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End w:id="0"/>
            <w:bookmarkEnd w:id="1"/>
            <w:bookmarkEnd w:id="2"/>
            <w:r>
              <w:rPr>
                <w:noProof/>
                <w:sz w:val="20"/>
                <w:lang w:val="en-US" w:eastAsia="zh-CN"/>
              </w:rPr>
              <w:drawing>
                <wp:anchor distT="0" distB="0" distL="114300" distR="114300" simplePos="0" relativeHeight="25165670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3"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234CAC"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4" w:name="ddatee" w:colFirst="1" w:colLast="1"/>
            <w:bookmarkEnd w:id="3"/>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234CAC"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5" w:name="dsece" w:colFirst="1" w:colLast="1"/>
            <w:bookmarkEnd w:id="4"/>
          </w:p>
        </w:tc>
        <w:tc>
          <w:tcPr>
            <w:tcW w:w="8530" w:type="dxa"/>
            <w:gridSpan w:val="4"/>
            <w:tcBorders>
              <w:bottom w:val="single" w:sz="12" w:space="0" w:color="auto"/>
            </w:tcBorders>
            <w:vAlign w:val="bottom"/>
          </w:tcPr>
          <w:p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proofErr w:type="spellStart"/>
            <w:r w:rsidR="00F4281C">
              <w:rPr>
                <w:rFonts w:ascii="Arial" w:hAnsi="Arial"/>
                <w:sz w:val="32"/>
                <w:lang w:val="en-GB"/>
              </w:rPr>
              <w:t>Hammamet</w:t>
            </w:r>
            <w:proofErr w:type="spellEnd"/>
            <w:r w:rsidR="000E4393" w:rsidRPr="00F81B8E">
              <w:rPr>
                <w:rFonts w:ascii="Arial" w:hAnsi="Arial"/>
                <w:sz w:val="32"/>
                <w:lang w:val="en-GB"/>
              </w:rPr>
              <w:t>, 2</w:t>
            </w:r>
            <w:r w:rsidR="00F4281C">
              <w:rPr>
                <w:rFonts w:ascii="Arial" w:hAnsi="Arial"/>
                <w:sz w:val="32"/>
                <w:lang w:val="en-GB"/>
              </w:rPr>
              <w:t xml:space="preserve">5 October </w:t>
            </w:r>
            <w:r w:rsidR="000B01F8" w:rsidRPr="009D0F40">
              <w:rPr>
                <w:rFonts w:ascii="Arial" w:hAnsi="Arial"/>
                <w:sz w:val="36"/>
                <w:lang w:val="en-US"/>
              </w:rPr>
              <w:t>–</w:t>
            </w:r>
            <w:r w:rsidR="00F4281C">
              <w:rPr>
                <w:rFonts w:ascii="Arial" w:hAnsi="Arial"/>
                <w:sz w:val="32"/>
                <w:lang w:val="en-GB"/>
              </w:rPr>
              <w:t xml:space="preserve"> 3</w:t>
            </w:r>
            <w:r w:rsidR="000E4393" w:rsidRPr="00F81B8E">
              <w:rPr>
                <w:rFonts w:ascii="Arial" w:hAnsi="Arial"/>
                <w:sz w:val="32"/>
                <w:lang w:val="en-GB"/>
              </w:rPr>
              <w:t xml:space="preserve"> November 201</w:t>
            </w:r>
            <w:r w:rsidR="00F4281C">
              <w:rPr>
                <w:rFonts w:ascii="Arial" w:hAnsi="Arial"/>
                <w:sz w:val="32"/>
                <w:lang w:val="en-GB"/>
              </w:rPr>
              <w:t>6</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0B01F8"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c1tite" w:colFirst="1" w:colLast="1"/>
            <w:bookmarkEnd w:id="5"/>
          </w:p>
        </w:tc>
        <w:tc>
          <w:tcPr>
            <w:tcW w:w="8530" w:type="dxa"/>
            <w:gridSpan w:val="4"/>
          </w:tcPr>
          <w:p w:rsidR="008968B6" w:rsidRPr="008968B6" w:rsidRDefault="00316BC8" w:rsidP="00316BC8">
            <w:pPr>
              <w:tabs>
                <w:tab w:val="right" w:pos="9639"/>
              </w:tabs>
              <w:spacing w:before="120" w:line="240" w:lineRule="auto"/>
              <w:jc w:val="left"/>
              <w:rPr>
                <w:rFonts w:ascii="Arial" w:hAnsi="Arial"/>
                <w:b/>
                <w:bCs/>
                <w:sz w:val="36"/>
                <w:lang w:val="en-US"/>
              </w:rPr>
            </w:pPr>
            <w:r w:rsidRPr="00316BC8">
              <w:rPr>
                <w:rFonts w:ascii="Arial" w:hAnsi="Arial"/>
                <w:b/>
                <w:bCs/>
                <w:sz w:val="36"/>
                <w:lang w:val="en-US"/>
              </w:rPr>
              <w:t xml:space="preserve">Resolution 94 – </w:t>
            </w:r>
            <w:r w:rsidRPr="00316BC8">
              <w:rPr>
                <w:rFonts w:ascii="Arial" w:hAnsi="Arial"/>
                <w:b/>
                <w:bCs/>
                <w:sz w:val="36"/>
                <w:lang w:val="en-GB"/>
              </w:rPr>
              <w:t>Standardization work in the ITU Telecommunication Standardization Sector for cloud</w:t>
            </w:r>
            <w:r w:rsidRPr="00316BC8">
              <w:rPr>
                <w:rFonts w:ascii="Arial" w:hAnsi="Arial"/>
                <w:b/>
                <w:bCs/>
                <w:sz w:val="36"/>
                <w:lang w:val="en-GB"/>
              </w:rPr>
              <w:noBreakHyphen/>
              <w:t>based event data technology</w:t>
            </w:r>
          </w:p>
        </w:tc>
      </w:tr>
      <w:bookmarkEnd w:id="6"/>
      <w:tr w:rsidR="008968B6" w:rsidRPr="000B01F8"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7" w:name="dnum2e"/>
            <w:bookmarkEnd w:id="7"/>
          </w:p>
        </w:tc>
      </w:tr>
    </w:tbl>
    <w:p w:rsidR="008968B6" w:rsidRPr="008968B6" w:rsidRDefault="00720F3C" w:rsidP="008968B6">
      <w:pPr>
        <w:tabs>
          <w:tab w:val="right" w:pos="9639"/>
        </w:tabs>
        <w:spacing w:before="240" w:line="240" w:lineRule="auto"/>
        <w:jc w:val="right"/>
        <w:rPr>
          <w:sz w:val="20"/>
          <w:lang w:val="en-US"/>
        </w:rPr>
      </w:pPr>
      <w:bookmarkStart w:id="8" w:name="c2tope"/>
      <w:bookmarkEnd w:id="8"/>
      <w:r>
        <w:rPr>
          <w:noProof/>
          <w:lang w:val="en-US"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9"/>
          <w:headerReference w:type="default" r:id="rId10"/>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9" w:name="irecnoe"/>
      <w:bookmarkEnd w:id="9"/>
      <w:r w:rsidRPr="008968B6">
        <w:rPr>
          <w:lang w:val="en-US"/>
        </w:rPr>
        <w:lastRenderedPageBreak/>
        <w:t>FOREWORD</w:t>
      </w:r>
    </w:p>
    <w:p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88751E" w:rsidRPr="0088751E" w:rsidRDefault="0088751E" w:rsidP="0088751E">
      <w:pPr>
        <w:spacing w:line="240" w:lineRule="exact"/>
        <w:rPr>
          <w:sz w:val="20"/>
          <w:lang w:val="en-US"/>
        </w:rPr>
      </w:pPr>
      <w:r w:rsidRPr="0088751E">
        <w:rPr>
          <w:sz w:val="20"/>
          <w:lang w:val="en-US"/>
        </w:rPr>
        <w:t xml:space="preserve">The </w:t>
      </w:r>
      <w:bookmarkStart w:id="10"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0"/>
      <w:r w:rsidRPr="0088751E">
        <w:rPr>
          <w:sz w:val="20"/>
          <w:lang w:val="en-US"/>
        </w:rPr>
        <w:t>.</w:t>
      </w:r>
    </w:p>
    <w:p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1" w:name="iiannee"/>
      <w:bookmarkEnd w:id="11"/>
      <w:r w:rsidR="0088751E">
        <w:rPr>
          <w:sz w:val="20"/>
          <w:lang w:val="en-GB"/>
        </w:rPr>
        <w:t> </w:t>
      </w:r>
      <w:r w:rsidRPr="00F81B8E">
        <w:rPr>
          <w:sz w:val="20"/>
          <w:lang w:val="en-GB"/>
        </w:rPr>
        <w:t>201</w:t>
      </w:r>
      <w:r w:rsidR="00A4766C">
        <w:rPr>
          <w:sz w:val="20"/>
          <w:lang w:val="en-GB"/>
        </w:rPr>
        <w:t>6</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rsidR="003374BB" w:rsidRDefault="003374BB" w:rsidP="00316BC8">
      <w:pPr>
        <w:pStyle w:val="ResNo"/>
        <w:rPr>
          <w:lang w:val="en-GB"/>
        </w:rPr>
      </w:pPr>
      <w:r w:rsidRPr="000E4393">
        <w:rPr>
          <w:lang w:val="en-US"/>
        </w:rPr>
        <w:lastRenderedPageBreak/>
        <w:t xml:space="preserve">resolution </w:t>
      </w:r>
      <w:r w:rsidR="00316BC8">
        <w:rPr>
          <w:rStyle w:val="href"/>
          <w:lang w:val="en-US"/>
        </w:rPr>
        <w:t>94</w:t>
      </w:r>
      <w:r w:rsidR="00D26ECC">
        <w:rPr>
          <w:rStyle w:val="href"/>
          <w:lang w:val="en-US"/>
        </w:rPr>
        <w:t xml:space="preserve"> </w:t>
      </w:r>
      <w:r w:rsidR="00316BC8" w:rsidRPr="00F60CE8">
        <w:rPr>
          <w:lang w:val="en-GB"/>
        </w:rPr>
        <w:t>(</w:t>
      </w:r>
      <w:proofErr w:type="spellStart"/>
      <w:r w:rsidR="00316BC8" w:rsidRPr="00F60CE8">
        <w:rPr>
          <w:caps w:val="0"/>
          <w:lang w:val="en-GB"/>
        </w:rPr>
        <w:t>Hammamet</w:t>
      </w:r>
      <w:proofErr w:type="spellEnd"/>
      <w:r w:rsidR="00316BC8" w:rsidRPr="00F60CE8">
        <w:rPr>
          <w:lang w:val="en-GB"/>
        </w:rPr>
        <w:t>, 2016)</w:t>
      </w:r>
    </w:p>
    <w:p w:rsidR="00316BC8" w:rsidRDefault="00316BC8" w:rsidP="00316BC8">
      <w:pPr>
        <w:pStyle w:val="Restitle"/>
        <w:rPr>
          <w:lang w:val="en-GB"/>
        </w:rPr>
      </w:pPr>
      <w:r w:rsidRPr="003766A7">
        <w:rPr>
          <w:lang w:val="en-GB"/>
        </w:rPr>
        <w:t xml:space="preserve">Standardization work in the ITU Telecommunication Standardization </w:t>
      </w:r>
      <w:r w:rsidRPr="003766A7">
        <w:rPr>
          <w:lang w:val="en-GB"/>
        </w:rPr>
        <w:br/>
        <w:t>Sector for cloud</w:t>
      </w:r>
      <w:r w:rsidRPr="003766A7">
        <w:rPr>
          <w:lang w:val="en-GB"/>
        </w:rPr>
        <w:noBreakHyphen/>
        <w:t>based event data technology</w:t>
      </w:r>
    </w:p>
    <w:p w:rsidR="00316BC8" w:rsidRPr="003766A7" w:rsidRDefault="00316BC8" w:rsidP="00316BC8">
      <w:pPr>
        <w:pStyle w:val="Resref"/>
        <w:rPr>
          <w:lang w:val="en-US"/>
        </w:rPr>
      </w:pPr>
      <w:r w:rsidRPr="003766A7">
        <w:rPr>
          <w:lang w:val="en-US"/>
        </w:rPr>
        <w:t>(</w:t>
      </w:r>
      <w:proofErr w:type="spellStart"/>
      <w:r w:rsidRPr="003766A7">
        <w:rPr>
          <w:lang w:val="en-US"/>
        </w:rPr>
        <w:t>Hammamet</w:t>
      </w:r>
      <w:proofErr w:type="spellEnd"/>
      <w:r w:rsidRPr="003766A7">
        <w:rPr>
          <w:lang w:val="en-US"/>
        </w:rPr>
        <w:t>, 2016)</w:t>
      </w:r>
    </w:p>
    <w:p w:rsidR="00316BC8" w:rsidRPr="001902C7" w:rsidRDefault="00316BC8" w:rsidP="00316BC8">
      <w:pPr>
        <w:pStyle w:val="Normalaftertitle0"/>
      </w:pPr>
      <w:r w:rsidRPr="001902C7">
        <w:t>The World Telecommunication Standardization Assembly (</w:t>
      </w:r>
      <w:proofErr w:type="spellStart"/>
      <w:r w:rsidRPr="001902C7">
        <w:t>Hammamet</w:t>
      </w:r>
      <w:proofErr w:type="spellEnd"/>
      <w:r w:rsidRPr="001902C7">
        <w:t>, 2016)</w:t>
      </w:r>
    </w:p>
    <w:p w:rsidR="00316BC8" w:rsidRPr="003766A7" w:rsidRDefault="00316BC8" w:rsidP="00316BC8">
      <w:pPr>
        <w:pStyle w:val="Call"/>
        <w:rPr>
          <w:lang w:val="en-US"/>
        </w:rPr>
      </w:pPr>
      <w:r w:rsidRPr="003766A7">
        <w:rPr>
          <w:lang w:val="en-US"/>
        </w:rPr>
        <w:t>recalling</w:t>
      </w:r>
    </w:p>
    <w:p w:rsidR="00316BC8" w:rsidRPr="003766A7" w:rsidRDefault="00316BC8" w:rsidP="00316BC8">
      <w:pPr>
        <w:rPr>
          <w:lang w:val="en-US"/>
        </w:rPr>
      </w:pPr>
      <w:r w:rsidRPr="003766A7">
        <w:rPr>
          <w:lang w:val="en-US"/>
        </w:rPr>
        <w:t>the relevant provisions of Article 1 of the ITU Constitution, in particular No. 17, which stipulates that the Union is to promote the adoption of measures for ensuring the safety of life through the cooperation of telecommunication services,</w:t>
      </w:r>
    </w:p>
    <w:p w:rsidR="00316BC8" w:rsidRPr="003766A7" w:rsidRDefault="00316BC8" w:rsidP="00316BC8">
      <w:pPr>
        <w:pStyle w:val="Call"/>
        <w:rPr>
          <w:lang w:val="en-US"/>
        </w:rPr>
      </w:pPr>
      <w:r w:rsidRPr="003766A7">
        <w:rPr>
          <w:lang w:val="en-US"/>
        </w:rPr>
        <w:t>considering</w:t>
      </w:r>
    </w:p>
    <w:p w:rsidR="00316BC8" w:rsidRPr="003766A7" w:rsidRDefault="00316BC8" w:rsidP="00316BC8">
      <w:pPr>
        <w:rPr>
          <w:lang w:val="en-US"/>
        </w:rPr>
      </w:pPr>
      <w:r w:rsidRPr="003766A7">
        <w:rPr>
          <w:i/>
          <w:iCs/>
          <w:lang w:val="en-US"/>
        </w:rPr>
        <w:t>a)</w:t>
      </w:r>
      <w:r w:rsidRPr="003766A7">
        <w:rPr>
          <w:lang w:val="en-US"/>
        </w:rPr>
        <w:tab/>
        <w:t>the importance of cockpit voice recorder (CVR)/flight data recorder (FDR) as tools for increasing aviation safety;</w:t>
      </w:r>
    </w:p>
    <w:p w:rsidR="00316BC8" w:rsidRPr="003766A7" w:rsidRDefault="00316BC8" w:rsidP="00316BC8">
      <w:pPr>
        <w:rPr>
          <w:lang w:val="en-US"/>
        </w:rPr>
      </w:pPr>
      <w:r w:rsidRPr="003766A7">
        <w:rPr>
          <w:i/>
          <w:iCs/>
          <w:lang w:val="en-US"/>
        </w:rPr>
        <w:t>b)</w:t>
      </w:r>
      <w:r w:rsidRPr="003766A7">
        <w:rPr>
          <w:lang w:val="en-US"/>
        </w:rPr>
        <w:tab/>
        <w:t>the growing interest in event data recorders (EDR) to improve the safety and quality of life in all industries , e.g. </w:t>
      </w:r>
      <w:r w:rsidRPr="003766A7" w:rsidDel="004F3EAE">
        <w:rPr>
          <w:lang w:val="en-US"/>
        </w:rPr>
        <w:t xml:space="preserve"> </w:t>
      </w:r>
      <w:r w:rsidRPr="003766A7">
        <w:rPr>
          <w:lang w:val="en-US"/>
        </w:rPr>
        <w:t>EDR for transportation (automated driving), digital fault recorder (DFR) for utilities (smart grid, smart water management), and cardiac event recorder (CER) for healthcare (connected medical devices/implants);</w:t>
      </w:r>
    </w:p>
    <w:p w:rsidR="00316BC8" w:rsidRPr="003766A7" w:rsidRDefault="00316BC8" w:rsidP="00316BC8">
      <w:pPr>
        <w:rPr>
          <w:lang w:val="en-US"/>
        </w:rPr>
      </w:pPr>
      <w:r w:rsidRPr="003766A7">
        <w:rPr>
          <w:i/>
          <w:iCs/>
          <w:lang w:val="en-US"/>
        </w:rPr>
        <w:t>c)</w:t>
      </w:r>
      <w:r w:rsidRPr="003766A7">
        <w:rPr>
          <w:lang w:val="en-US"/>
        </w:rPr>
        <w:tab/>
        <w:t>the important role of cloud computing as an enabler of network access to a scalable and elastic pool of shareable physical or virtual resources with self-service provisioning and administration on demand;</w:t>
      </w:r>
    </w:p>
    <w:p w:rsidR="00316BC8" w:rsidRPr="003766A7" w:rsidRDefault="00316BC8" w:rsidP="00316BC8">
      <w:pPr>
        <w:rPr>
          <w:lang w:val="en-US"/>
        </w:rPr>
      </w:pPr>
      <w:r w:rsidRPr="003766A7">
        <w:rPr>
          <w:i/>
          <w:iCs/>
          <w:lang w:val="en-US"/>
        </w:rPr>
        <w:t>d)</w:t>
      </w:r>
      <w:r w:rsidRPr="003766A7">
        <w:rPr>
          <w:lang w:val="en-US"/>
        </w:rPr>
        <w:tab/>
        <w:t>the need for ensuring information security in cloud computing and the Internet of things (</w:t>
      </w:r>
      <w:proofErr w:type="spellStart"/>
      <w:r w:rsidRPr="003766A7">
        <w:rPr>
          <w:lang w:val="en-US"/>
        </w:rPr>
        <w:t>IoT</w:t>
      </w:r>
      <w:proofErr w:type="spellEnd"/>
      <w:r w:rsidRPr="003766A7">
        <w:rPr>
          <w:lang w:val="en-US"/>
        </w:rPr>
        <w:t>),</w:t>
      </w:r>
    </w:p>
    <w:p w:rsidR="00316BC8" w:rsidRPr="003766A7" w:rsidRDefault="00316BC8" w:rsidP="00316BC8">
      <w:pPr>
        <w:pStyle w:val="Call"/>
        <w:rPr>
          <w:lang w:val="en-US"/>
        </w:rPr>
      </w:pPr>
      <w:r w:rsidRPr="003766A7">
        <w:rPr>
          <w:lang w:val="en-US"/>
        </w:rPr>
        <w:t>noting</w:t>
      </w:r>
    </w:p>
    <w:p w:rsidR="00316BC8" w:rsidRPr="003766A7" w:rsidRDefault="00316BC8" w:rsidP="00316BC8">
      <w:pPr>
        <w:rPr>
          <w:lang w:val="en-US"/>
        </w:rPr>
      </w:pPr>
      <w:r w:rsidRPr="003766A7">
        <w:rPr>
          <w:i/>
          <w:iCs/>
          <w:lang w:val="en-US"/>
        </w:rPr>
        <w:t>a)</w:t>
      </w:r>
      <w:r w:rsidRPr="003766A7">
        <w:rPr>
          <w:lang w:val="en-US"/>
        </w:rPr>
        <w:tab/>
        <w:t>that the ITU Telecommunication Standardization Sector (ITU</w:t>
      </w:r>
      <w:r w:rsidRPr="003766A7">
        <w:rPr>
          <w:lang w:val="en-US"/>
        </w:rPr>
        <w:noBreakHyphen/>
        <w:t xml:space="preserve">T) should play a leading role in the development of standards for EDR application in cloud computing and </w:t>
      </w:r>
      <w:proofErr w:type="spellStart"/>
      <w:r w:rsidRPr="003766A7">
        <w:rPr>
          <w:lang w:val="en-US"/>
        </w:rPr>
        <w:t>IoT</w:t>
      </w:r>
      <w:proofErr w:type="spellEnd"/>
      <w:r w:rsidRPr="003766A7">
        <w:rPr>
          <w:lang w:val="en-US"/>
        </w:rPr>
        <w:t>;</w:t>
      </w:r>
    </w:p>
    <w:p w:rsidR="00316BC8" w:rsidRPr="003766A7" w:rsidRDefault="00316BC8" w:rsidP="00316BC8">
      <w:pPr>
        <w:rPr>
          <w:lang w:val="en-US"/>
        </w:rPr>
      </w:pPr>
      <w:r w:rsidRPr="003766A7">
        <w:rPr>
          <w:i/>
          <w:iCs/>
          <w:lang w:val="en-US"/>
        </w:rPr>
        <w:t>b)</w:t>
      </w:r>
      <w:r w:rsidRPr="003766A7">
        <w:rPr>
          <w:lang w:val="en-US"/>
        </w:rPr>
        <w:tab/>
        <w:t>that a standards ecosystem should be created, with ITU</w:t>
      </w:r>
      <w:r w:rsidRPr="003766A7">
        <w:rPr>
          <w:lang w:val="en-US"/>
        </w:rPr>
        <w:noBreakHyphen/>
        <w:t xml:space="preserve">T at its </w:t>
      </w:r>
      <w:proofErr w:type="spellStart"/>
      <w:r w:rsidRPr="003766A7">
        <w:rPr>
          <w:lang w:val="en-US"/>
        </w:rPr>
        <w:t>centre</w:t>
      </w:r>
      <w:proofErr w:type="spellEnd"/>
      <w:r w:rsidRPr="003766A7">
        <w:rPr>
          <w:lang w:val="en-US"/>
        </w:rPr>
        <w:t>,</w:t>
      </w:r>
    </w:p>
    <w:p w:rsidR="00316BC8" w:rsidRPr="003766A7" w:rsidRDefault="00316BC8" w:rsidP="00316BC8">
      <w:pPr>
        <w:pStyle w:val="Call"/>
        <w:rPr>
          <w:lang w:val="en-US"/>
        </w:rPr>
      </w:pPr>
      <w:r w:rsidRPr="003766A7">
        <w:rPr>
          <w:lang w:val="en-US"/>
        </w:rPr>
        <w:t>recognizing</w:t>
      </w:r>
    </w:p>
    <w:p w:rsidR="00316BC8" w:rsidRPr="003766A7" w:rsidRDefault="00316BC8" w:rsidP="00316BC8">
      <w:pPr>
        <w:rPr>
          <w:i/>
          <w:iCs/>
          <w:lang w:val="en-US"/>
        </w:rPr>
      </w:pPr>
      <w:r w:rsidRPr="003766A7">
        <w:rPr>
          <w:i/>
          <w:iCs/>
          <w:lang w:val="en-US"/>
        </w:rPr>
        <w:t>a)</w:t>
      </w:r>
      <w:r w:rsidRPr="003766A7">
        <w:rPr>
          <w:lang w:val="en-US"/>
        </w:rPr>
        <w:tab/>
        <w:t>the successful conclusion of the ITU</w:t>
      </w:r>
      <w:r w:rsidRPr="003766A7">
        <w:rPr>
          <w:lang w:val="en-US"/>
        </w:rPr>
        <w:noBreakHyphen/>
        <w:t>T Focus Group on aviation applications of cloud computing for flight data monitoring (FG AC), studying the feasibility of using cloud computing in an aviation context and of streaming flight data;</w:t>
      </w:r>
    </w:p>
    <w:p w:rsidR="00316BC8" w:rsidRPr="003766A7" w:rsidRDefault="00316BC8" w:rsidP="00316BC8">
      <w:pPr>
        <w:rPr>
          <w:lang w:val="en-US"/>
        </w:rPr>
      </w:pPr>
      <w:r w:rsidRPr="003766A7">
        <w:rPr>
          <w:i/>
          <w:iCs/>
          <w:lang w:val="en-US"/>
        </w:rPr>
        <w:t>b)</w:t>
      </w:r>
      <w:r w:rsidRPr="003766A7">
        <w:rPr>
          <w:lang w:val="en-US"/>
        </w:rPr>
        <w:tab/>
        <w:t>the relevant achievements of ITU</w:t>
      </w:r>
      <w:r w:rsidRPr="003766A7">
        <w:rPr>
          <w:lang w:val="en-US"/>
        </w:rPr>
        <w:noBreakHyphen/>
        <w:t>T Study Groups 13 (cloud computing, big data analytics), 16 (intelligent transport systems (ITS), connected healthcare/e</w:t>
      </w:r>
      <w:r w:rsidRPr="003766A7">
        <w:rPr>
          <w:lang w:val="en-US"/>
        </w:rPr>
        <w:noBreakHyphen/>
        <w:t>health), 17 (cloud-computing security) and 20 (</w:t>
      </w:r>
      <w:proofErr w:type="spellStart"/>
      <w:r w:rsidRPr="003766A7">
        <w:rPr>
          <w:lang w:val="en-US"/>
        </w:rPr>
        <w:t>IoT</w:t>
      </w:r>
      <w:proofErr w:type="spellEnd"/>
      <w:r w:rsidRPr="003766A7">
        <w:rPr>
          <w:lang w:val="en-US"/>
        </w:rPr>
        <w:t xml:space="preserve"> and its applications, with an initial focus on smart cities and communities);</w:t>
      </w:r>
    </w:p>
    <w:p w:rsidR="00316BC8" w:rsidRPr="003766A7" w:rsidRDefault="00316BC8" w:rsidP="00316BC8">
      <w:pPr>
        <w:rPr>
          <w:lang w:val="en-US"/>
        </w:rPr>
      </w:pPr>
      <w:r w:rsidRPr="003766A7">
        <w:rPr>
          <w:i/>
          <w:iCs/>
          <w:lang w:val="en-US"/>
        </w:rPr>
        <w:t>c)</w:t>
      </w:r>
      <w:r w:rsidRPr="003766A7">
        <w:rPr>
          <w:lang w:val="en-US"/>
        </w:rPr>
        <w:tab/>
        <w:t>that ITU</w:t>
      </w:r>
      <w:r w:rsidRPr="003766A7">
        <w:rPr>
          <w:lang w:val="en-US"/>
        </w:rPr>
        <w:noBreakHyphen/>
        <w:t>T has unmatched advantages when it comes to requirements and architecture standards;</w:t>
      </w:r>
    </w:p>
    <w:p w:rsidR="00316BC8" w:rsidRPr="003766A7" w:rsidRDefault="00316BC8" w:rsidP="00316BC8">
      <w:pPr>
        <w:rPr>
          <w:lang w:val="en-US"/>
        </w:rPr>
      </w:pPr>
      <w:r w:rsidRPr="003766A7">
        <w:rPr>
          <w:i/>
          <w:iCs/>
          <w:lang w:val="en-US"/>
        </w:rPr>
        <w:t>d)</w:t>
      </w:r>
      <w:r w:rsidRPr="003766A7">
        <w:rPr>
          <w:lang w:val="en-US"/>
        </w:rPr>
        <w:t xml:space="preserve"> </w:t>
      </w:r>
      <w:r w:rsidRPr="003766A7">
        <w:rPr>
          <w:lang w:val="en-US"/>
        </w:rPr>
        <w:tab/>
        <w:t>that foundation work on EDR requirements and architecture standards be initiated so that a set of standards may be developed through industry-wide synergy,</w:t>
      </w:r>
    </w:p>
    <w:p w:rsidR="00316BC8" w:rsidRPr="003766A7" w:rsidRDefault="00316BC8" w:rsidP="00316BC8">
      <w:pPr>
        <w:pStyle w:val="Call"/>
        <w:rPr>
          <w:lang w:val="en-US"/>
        </w:rPr>
      </w:pPr>
      <w:r w:rsidRPr="003766A7">
        <w:rPr>
          <w:lang w:val="en-US"/>
        </w:rPr>
        <w:lastRenderedPageBreak/>
        <w:t>resolves to instruct Study Groups 13, 16, 17 and 20 of the ITU Telecommunication Standardization Sector</w:t>
      </w:r>
    </w:p>
    <w:p w:rsidR="00316BC8" w:rsidRPr="003766A7" w:rsidRDefault="00316BC8" w:rsidP="00316BC8">
      <w:pPr>
        <w:keepNext/>
        <w:keepLines/>
        <w:rPr>
          <w:lang w:val="en-US"/>
        </w:rPr>
      </w:pPr>
      <w:r w:rsidRPr="003766A7">
        <w:rPr>
          <w:lang w:val="en-US"/>
        </w:rPr>
        <w:t>1</w:t>
      </w:r>
      <w:r w:rsidRPr="003766A7">
        <w:rPr>
          <w:lang w:val="en-US"/>
        </w:rPr>
        <w:tab/>
        <w:t>to evaluate existing, evolving and new Recommendations with respect to cloud-based event data technology;</w:t>
      </w:r>
    </w:p>
    <w:p w:rsidR="00316BC8" w:rsidRPr="003766A7" w:rsidRDefault="00316BC8" w:rsidP="00316BC8">
      <w:pPr>
        <w:rPr>
          <w:lang w:val="en-US"/>
        </w:rPr>
      </w:pPr>
      <w:r w:rsidRPr="003766A7">
        <w:rPr>
          <w:lang w:val="en-US"/>
        </w:rPr>
        <w:t>2</w:t>
      </w:r>
      <w:r w:rsidRPr="003766A7">
        <w:rPr>
          <w:lang w:val="en-US"/>
        </w:rPr>
        <w:tab/>
        <w:t>to make recommendations to the Telecommunication Standardization Advisory Group on how to address the topics that are outside the mandate of the study groups,</w:t>
      </w:r>
    </w:p>
    <w:p w:rsidR="00316BC8" w:rsidRPr="003766A7" w:rsidRDefault="00316BC8" w:rsidP="00316BC8">
      <w:pPr>
        <w:pStyle w:val="Call"/>
        <w:rPr>
          <w:lang w:val="en-US"/>
        </w:rPr>
      </w:pPr>
      <w:r w:rsidRPr="003766A7">
        <w:rPr>
          <w:lang w:val="en-US"/>
        </w:rPr>
        <w:t>instructs the Telecommunication Standardization Advisory Group</w:t>
      </w:r>
    </w:p>
    <w:p w:rsidR="00316BC8" w:rsidRPr="003766A7" w:rsidRDefault="00316BC8" w:rsidP="00316BC8">
      <w:pPr>
        <w:rPr>
          <w:lang w:val="en-US"/>
        </w:rPr>
      </w:pPr>
      <w:r w:rsidRPr="003766A7">
        <w:rPr>
          <w:lang w:val="en-US"/>
        </w:rPr>
        <w:t>to drive a concerted effort across relevant study groups to accelerate standardization work on cloud</w:t>
      </w:r>
      <w:r w:rsidRPr="003766A7">
        <w:rPr>
          <w:lang w:val="en-US"/>
        </w:rPr>
        <w:noBreakHyphen/>
        <w:t>based event data technology,</w:t>
      </w:r>
    </w:p>
    <w:p w:rsidR="00316BC8" w:rsidRPr="003766A7" w:rsidRDefault="00316BC8" w:rsidP="00316BC8">
      <w:pPr>
        <w:pStyle w:val="Call"/>
        <w:rPr>
          <w:lang w:val="en-US"/>
        </w:rPr>
      </w:pPr>
      <w:r w:rsidRPr="003766A7">
        <w:rPr>
          <w:lang w:val="en-US"/>
        </w:rPr>
        <w:t>instructs the Director of the Telecommunication Standardization Bureau</w:t>
      </w:r>
    </w:p>
    <w:p w:rsidR="00316BC8" w:rsidRPr="003766A7" w:rsidRDefault="00316BC8" w:rsidP="00316BC8">
      <w:pPr>
        <w:rPr>
          <w:lang w:val="en-US"/>
        </w:rPr>
      </w:pPr>
      <w:r w:rsidRPr="003766A7">
        <w:rPr>
          <w:lang w:val="en-US"/>
        </w:rPr>
        <w:t>1</w:t>
      </w:r>
      <w:r w:rsidRPr="003766A7">
        <w:rPr>
          <w:lang w:val="en-US"/>
        </w:rPr>
        <w:tab/>
        <w:t>to provide the necessary assistance to speed up standardization work on cloud-based event data technology and to encourage participation and contributions from Member States, particularly developing countries;</w:t>
      </w:r>
    </w:p>
    <w:p w:rsidR="00316BC8" w:rsidRPr="003766A7" w:rsidRDefault="00316BC8" w:rsidP="00316BC8">
      <w:pPr>
        <w:rPr>
          <w:lang w:val="en-US"/>
        </w:rPr>
      </w:pPr>
      <w:r w:rsidRPr="003766A7">
        <w:rPr>
          <w:lang w:val="en-US"/>
        </w:rPr>
        <w:t>2</w:t>
      </w:r>
      <w:r w:rsidRPr="003766A7">
        <w:rPr>
          <w:lang w:val="en-US"/>
        </w:rPr>
        <w:tab/>
        <w:t>to organize (a) workshop(s) to collect requirements and inputs on this topic from a wide range of various stakeholders,</w:t>
      </w:r>
    </w:p>
    <w:p w:rsidR="00316BC8" w:rsidRPr="003766A7" w:rsidRDefault="00316BC8" w:rsidP="00316BC8">
      <w:pPr>
        <w:pStyle w:val="Call"/>
        <w:rPr>
          <w:lang w:val="en-US"/>
        </w:rPr>
      </w:pPr>
      <w:r w:rsidRPr="003766A7">
        <w:rPr>
          <w:lang w:val="en-US"/>
        </w:rPr>
        <w:t xml:space="preserve">invites Member States, Sector Members, Associates and academia </w:t>
      </w:r>
    </w:p>
    <w:p w:rsidR="00316BC8" w:rsidRPr="003766A7" w:rsidRDefault="00316BC8" w:rsidP="00316BC8">
      <w:pPr>
        <w:rPr>
          <w:lang w:val="en-US"/>
        </w:rPr>
      </w:pPr>
      <w:r w:rsidRPr="003766A7">
        <w:rPr>
          <w:lang w:val="en-US"/>
        </w:rPr>
        <w:t>to submit contributions for developing standards for cloud-based event data technology.</w:t>
      </w:r>
    </w:p>
    <w:p w:rsidR="00316BC8" w:rsidRDefault="00316BC8" w:rsidP="00316BC8">
      <w:pPr>
        <w:tabs>
          <w:tab w:val="clear" w:pos="794"/>
          <w:tab w:val="clear" w:pos="1191"/>
          <w:tab w:val="clear" w:pos="1588"/>
          <w:tab w:val="clear" w:pos="1985"/>
        </w:tabs>
        <w:overflowPunct/>
        <w:autoSpaceDE/>
        <w:autoSpaceDN/>
        <w:adjustRightInd/>
        <w:spacing w:before="0" w:line="240" w:lineRule="auto"/>
        <w:jc w:val="left"/>
        <w:textAlignment w:val="auto"/>
        <w:rPr>
          <w:lang w:val="en-US"/>
        </w:rPr>
      </w:pPr>
    </w:p>
    <w:p w:rsidR="00316BC8" w:rsidRDefault="00316BC8" w:rsidP="00316BC8">
      <w:pPr>
        <w:tabs>
          <w:tab w:val="clear" w:pos="794"/>
          <w:tab w:val="clear" w:pos="1191"/>
          <w:tab w:val="clear" w:pos="1588"/>
          <w:tab w:val="clear" w:pos="1985"/>
        </w:tabs>
        <w:overflowPunct/>
        <w:autoSpaceDE/>
        <w:autoSpaceDN/>
        <w:adjustRightInd/>
        <w:spacing w:before="0" w:line="240" w:lineRule="auto"/>
        <w:jc w:val="left"/>
        <w:textAlignment w:val="auto"/>
        <w:rPr>
          <w:lang w:val="en-US"/>
        </w:rPr>
      </w:pPr>
    </w:p>
    <w:p w:rsidR="00316BC8" w:rsidRDefault="00316BC8" w:rsidP="00316BC8">
      <w:pPr>
        <w:tabs>
          <w:tab w:val="clear" w:pos="794"/>
          <w:tab w:val="clear" w:pos="1191"/>
          <w:tab w:val="clear" w:pos="1588"/>
          <w:tab w:val="clear" w:pos="1985"/>
        </w:tabs>
        <w:overflowPunct/>
        <w:autoSpaceDE/>
        <w:autoSpaceDN/>
        <w:adjustRightInd/>
        <w:spacing w:before="0" w:line="240" w:lineRule="auto"/>
        <w:jc w:val="left"/>
        <w:textAlignment w:val="auto"/>
        <w:rPr>
          <w:lang w:val="en-US"/>
        </w:rPr>
      </w:pPr>
    </w:p>
    <w:p w:rsidR="00316BC8" w:rsidRDefault="00316BC8" w:rsidP="00316BC8">
      <w:pPr>
        <w:tabs>
          <w:tab w:val="clear" w:pos="794"/>
          <w:tab w:val="clear" w:pos="1191"/>
          <w:tab w:val="clear" w:pos="1588"/>
          <w:tab w:val="clear" w:pos="1985"/>
        </w:tabs>
        <w:overflowPunct/>
        <w:autoSpaceDE/>
        <w:autoSpaceDN/>
        <w:adjustRightInd/>
        <w:spacing w:before="0" w:line="240" w:lineRule="auto"/>
        <w:jc w:val="left"/>
        <w:textAlignment w:val="auto"/>
        <w:rPr>
          <w:lang w:val="en-US"/>
        </w:rPr>
      </w:pPr>
    </w:p>
    <w:p w:rsidR="00316BC8" w:rsidRPr="003766A7" w:rsidRDefault="00316BC8" w:rsidP="00316BC8">
      <w:pPr>
        <w:tabs>
          <w:tab w:val="clear" w:pos="794"/>
          <w:tab w:val="clear" w:pos="1191"/>
          <w:tab w:val="clear" w:pos="1588"/>
          <w:tab w:val="clear" w:pos="1985"/>
        </w:tabs>
        <w:overflowPunct/>
        <w:autoSpaceDE/>
        <w:autoSpaceDN/>
        <w:adjustRightInd/>
        <w:spacing w:before="0" w:line="240" w:lineRule="auto"/>
        <w:jc w:val="left"/>
        <w:textAlignment w:val="auto"/>
        <w:rPr>
          <w:lang w:val="en-US"/>
        </w:rPr>
      </w:pPr>
    </w:p>
    <w:p w:rsidR="00A4766C" w:rsidRDefault="00A4766C" w:rsidP="000E4393">
      <w:pPr>
        <w:rPr>
          <w:lang w:val="en-GB"/>
        </w:rPr>
      </w:pPr>
    </w:p>
    <w:p w:rsidR="00A4766C" w:rsidRDefault="00A4766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bookmarkStart w:id="12" w:name="_GoBack"/>
      <w:bookmarkEnd w:id="12"/>
    </w:p>
    <w:p w:rsidR="00E03ABC" w:rsidRPr="000E4393" w:rsidRDefault="00E03ABC" w:rsidP="000E4393">
      <w:pPr>
        <w:rPr>
          <w:lang w:val="en-US"/>
        </w:rPr>
      </w:pPr>
    </w:p>
    <w:sectPr w:rsidR="00E03ABC" w:rsidRPr="000E4393" w:rsidSect="00A4766C">
      <w:headerReference w:type="even" r:id="rId13"/>
      <w:footerReference w:type="even" r:id="rId14"/>
      <w:headerReference w:type="first" r:id="rId15"/>
      <w:footerReference w:type="first" r:id="rId16"/>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8968B6" w:rsidRDefault="000D3CE4" w:rsidP="008968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Pr="00234CAC" w:rsidRDefault="00234CAC" w:rsidP="00234CAC">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FB4D7A">
      <w:rPr>
        <w:b w:val="0"/>
        <w:bCs/>
        <w:noProof/>
        <w:lang w:val="en-US"/>
      </w:rPr>
      <w:t>2</w:t>
    </w:r>
    <w:r w:rsidRPr="00B73379">
      <w:rPr>
        <w:b w:val="0"/>
        <w:bCs/>
      </w:rPr>
      <w:fldChar w:fldCharType="end"/>
    </w:r>
    <w:r>
      <w:rPr>
        <w:lang w:val="en-US"/>
      </w:rPr>
      <w:tab/>
      <w:t xml:space="preserve">WTSA-16 – Resolution </w:t>
    </w:r>
    <w:r>
      <w:fldChar w:fldCharType="begin"/>
    </w:r>
    <w:r>
      <w:rPr>
        <w:lang w:val="en-US"/>
      </w:rPr>
      <w:instrText>styleref href</w:instrText>
    </w:r>
    <w:r>
      <w:fldChar w:fldCharType="separate"/>
    </w:r>
    <w:r w:rsidR="00FB4D7A">
      <w:rPr>
        <w:noProof/>
      </w:rPr>
      <w:t>94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Pr="00A4766C" w:rsidRDefault="00A4766C" w:rsidP="00706D36">
    <w:pPr>
      <w:pStyle w:val="FooterQP"/>
      <w:rPr>
        <w:lang w:val="en-US"/>
      </w:rPr>
    </w:pPr>
    <w:r>
      <w:rPr>
        <w:lang w:val="en-US"/>
      </w:rPr>
      <w:tab/>
    </w:r>
    <w:r>
      <w:rPr>
        <w:lang w:val="en-US"/>
      </w:rPr>
      <w:tab/>
      <w:t>WTSA-1</w:t>
    </w:r>
    <w:r w:rsidR="00706D36">
      <w:rPr>
        <w:lang w:val="en-US"/>
      </w:rPr>
      <w:t>6</w:t>
    </w:r>
    <w:r>
      <w:rPr>
        <w:lang w:val="en-US"/>
      </w:rPr>
      <w:t xml:space="preserve"> – Resolution </w:t>
    </w:r>
    <w:r>
      <w:fldChar w:fldCharType="begin"/>
    </w:r>
    <w:r>
      <w:rPr>
        <w:lang w:val="en-US"/>
      </w:rPr>
      <w:instrText>styleref href</w:instrText>
    </w:r>
    <w:r w:rsidR="00316BC8">
      <w:fldChar w:fldCharType="separate"/>
    </w:r>
    <w:r w:rsidR="00FB4D7A">
      <w:rPr>
        <w:noProof/>
      </w:rPr>
      <w:t>94</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FB4D7A">
      <w:rPr>
        <w:b w:val="0"/>
        <w:bCs/>
        <w:noProof/>
        <w:lang w:val="en-US"/>
      </w:rPr>
      <w:t>1</w:t>
    </w:r>
    <w:r w:rsidRPr="00B73379">
      <w:rPr>
        <w:b w:val="0"/>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5CD" w:rsidRDefault="008075CD">
      <w:r>
        <w:t>____________________</w:t>
      </w:r>
    </w:p>
  </w:footnote>
  <w:footnote w:type="continuationSeparator" w:id="0">
    <w:p w:rsidR="008075CD" w:rsidRDefault="00807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Default="00C72AF4">
    <w:pPr>
      <w:pStyle w:val="Header"/>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Default="00A476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B01F8"/>
    <w:rsid w:val="000B071B"/>
    <w:rsid w:val="000B47CD"/>
    <w:rsid w:val="000B5A36"/>
    <w:rsid w:val="000C22AE"/>
    <w:rsid w:val="000D378F"/>
    <w:rsid w:val="000D3CE4"/>
    <w:rsid w:val="000D5219"/>
    <w:rsid w:val="000D6DAE"/>
    <w:rsid w:val="000E4393"/>
    <w:rsid w:val="001309FB"/>
    <w:rsid w:val="001B4A76"/>
    <w:rsid w:val="001C5240"/>
    <w:rsid w:val="001C604C"/>
    <w:rsid w:val="002204D5"/>
    <w:rsid w:val="002210D5"/>
    <w:rsid w:val="00227040"/>
    <w:rsid w:val="00234CAC"/>
    <w:rsid w:val="00237B40"/>
    <w:rsid w:val="00246C17"/>
    <w:rsid w:val="002742C3"/>
    <w:rsid w:val="002C182C"/>
    <w:rsid w:val="002D5607"/>
    <w:rsid w:val="00316BC8"/>
    <w:rsid w:val="00331B2F"/>
    <w:rsid w:val="003374BB"/>
    <w:rsid w:val="0038237B"/>
    <w:rsid w:val="003C3FD9"/>
    <w:rsid w:val="003D116F"/>
    <w:rsid w:val="003D7A8C"/>
    <w:rsid w:val="003F293E"/>
    <w:rsid w:val="004568D2"/>
    <w:rsid w:val="004612A7"/>
    <w:rsid w:val="00462F6A"/>
    <w:rsid w:val="00467305"/>
    <w:rsid w:val="0048772A"/>
    <w:rsid w:val="004F2E56"/>
    <w:rsid w:val="00501F47"/>
    <w:rsid w:val="00504D1F"/>
    <w:rsid w:val="00524FB2"/>
    <w:rsid w:val="005569CA"/>
    <w:rsid w:val="00562EF2"/>
    <w:rsid w:val="00574CFF"/>
    <w:rsid w:val="005D1D45"/>
    <w:rsid w:val="00601999"/>
    <w:rsid w:val="00611CD0"/>
    <w:rsid w:val="00631549"/>
    <w:rsid w:val="006425B4"/>
    <w:rsid w:val="00653C1B"/>
    <w:rsid w:val="00665F6E"/>
    <w:rsid w:val="006678D7"/>
    <w:rsid w:val="00693D4F"/>
    <w:rsid w:val="00697D23"/>
    <w:rsid w:val="006B0459"/>
    <w:rsid w:val="006B5987"/>
    <w:rsid w:val="006E13C5"/>
    <w:rsid w:val="00706D36"/>
    <w:rsid w:val="00707551"/>
    <w:rsid w:val="007116DC"/>
    <w:rsid w:val="0071403C"/>
    <w:rsid w:val="00720F3C"/>
    <w:rsid w:val="0074102F"/>
    <w:rsid w:val="007550BF"/>
    <w:rsid w:val="00780423"/>
    <w:rsid w:val="00783EB8"/>
    <w:rsid w:val="007958DD"/>
    <w:rsid w:val="007E0240"/>
    <w:rsid w:val="008075CD"/>
    <w:rsid w:val="00851E30"/>
    <w:rsid w:val="0088751E"/>
    <w:rsid w:val="008968B6"/>
    <w:rsid w:val="008B4CF6"/>
    <w:rsid w:val="008C7FC3"/>
    <w:rsid w:val="008D6D8D"/>
    <w:rsid w:val="009055E3"/>
    <w:rsid w:val="00905B41"/>
    <w:rsid w:val="00916468"/>
    <w:rsid w:val="0092650E"/>
    <w:rsid w:val="00931EE1"/>
    <w:rsid w:val="009330E7"/>
    <w:rsid w:val="00934946"/>
    <w:rsid w:val="0095090C"/>
    <w:rsid w:val="00974C0C"/>
    <w:rsid w:val="009755D7"/>
    <w:rsid w:val="00995C81"/>
    <w:rsid w:val="009C2357"/>
    <w:rsid w:val="009D10A5"/>
    <w:rsid w:val="009D26AE"/>
    <w:rsid w:val="009F7009"/>
    <w:rsid w:val="00A01A91"/>
    <w:rsid w:val="00A24E9A"/>
    <w:rsid w:val="00A26B1A"/>
    <w:rsid w:val="00A4766C"/>
    <w:rsid w:val="00A83D3D"/>
    <w:rsid w:val="00AA2D89"/>
    <w:rsid w:val="00AE4C26"/>
    <w:rsid w:val="00B2392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64078"/>
    <w:rsid w:val="00C72AF4"/>
    <w:rsid w:val="00CD10C2"/>
    <w:rsid w:val="00CD3865"/>
    <w:rsid w:val="00CE767E"/>
    <w:rsid w:val="00CF024D"/>
    <w:rsid w:val="00D26ECC"/>
    <w:rsid w:val="00D4292A"/>
    <w:rsid w:val="00D457B6"/>
    <w:rsid w:val="00D53D18"/>
    <w:rsid w:val="00D66950"/>
    <w:rsid w:val="00D8497D"/>
    <w:rsid w:val="00D94D9E"/>
    <w:rsid w:val="00DA7D60"/>
    <w:rsid w:val="00DB2AF8"/>
    <w:rsid w:val="00DB5592"/>
    <w:rsid w:val="00DE48B4"/>
    <w:rsid w:val="00E03ABC"/>
    <w:rsid w:val="00E154E2"/>
    <w:rsid w:val="00E300EC"/>
    <w:rsid w:val="00E51820"/>
    <w:rsid w:val="00E56BAB"/>
    <w:rsid w:val="00E67297"/>
    <w:rsid w:val="00E758D6"/>
    <w:rsid w:val="00E82452"/>
    <w:rsid w:val="00E83C1C"/>
    <w:rsid w:val="00E96B11"/>
    <w:rsid w:val="00E96C27"/>
    <w:rsid w:val="00EE1126"/>
    <w:rsid w:val="00EE2FE2"/>
    <w:rsid w:val="00F0099E"/>
    <w:rsid w:val="00F12607"/>
    <w:rsid w:val="00F15F98"/>
    <w:rsid w:val="00F34748"/>
    <w:rsid w:val="00F4281C"/>
    <w:rsid w:val="00F67E96"/>
    <w:rsid w:val="00FA70B7"/>
    <w:rsid w:val="00FB4D7A"/>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character" w:customStyle="1" w:styleId="Smbolodenotaalpie">
    <w:name w:val="Símbolo de nota al pie"/>
    <w:rsid w:val="002C182C"/>
    <w:rPr>
      <w:position w:val="5"/>
      <w:sz w:val="18"/>
    </w:r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TableNotitle0">
    <w:name w:val="Table_No &amp; title"/>
    <w:basedOn w:val="Normal"/>
    <w:next w:val="Tablehead"/>
    <w:rsid w:val="008B4CF6"/>
    <w:pPr>
      <w:keepNext/>
      <w:keepLines/>
      <w:spacing w:before="360" w:after="120" w:line="240" w:lineRule="auto"/>
      <w:jc w:val="center"/>
    </w:pPr>
    <w:rPr>
      <w:b/>
      <w:sz w:val="24"/>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Rec">
    <w:name w:val="Rec_#"/>
    <w:basedOn w:val="Normal"/>
    <w:next w:val="Normal"/>
    <w:rsid w:val="00CF024D"/>
    <w:pPr>
      <w:keepNext/>
      <w:keepLines/>
      <w:spacing w:before="480" w:line="240" w:lineRule="auto"/>
      <w:jc w:val="left"/>
    </w:pPr>
    <w:rPr>
      <w:b/>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9</TotalTime>
  <Pages>4</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4846</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 study group re</dc:creator>
  <cp:keywords>.Book 1,,Book 1</cp:keywords>
  <dc:description>ASM                                 1.12.04      SP_x000d_
Corr. BAT                         8.12.04      SP</dc:description>
  <cp:lastModifiedBy>Al-Yammouni, Hala</cp:lastModifiedBy>
  <cp:revision>5</cp:revision>
  <cp:lastPrinted>2016-12-14T10:26:00Z</cp:lastPrinted>
  <dcterms:created xsi:type="dcterms:W3CDTF">2016-12-14T10:14:00Z</dcterms:created>
  <dcterms:modified xsi:type="dcterms:W3CDTF">2016-12-14T10:27:00Z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