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EB30F2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EB30F2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EB30F2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EB30F2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EB30F2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EB30F2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EB30F2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EB30F2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EB30F2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EB30F2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EB30F2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EB30F2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EB30F2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EB30F2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EB30F2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EB30F2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EB30F2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EB30F2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EB30F2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EB30F2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EB30F2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EB30F2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EB30F2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EB30F2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EB30F2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EB30F2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EB30F2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EB30F2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EB30F2" w:rsidRDefault="00EA2A26" w:rsidP="00367A2B">
            <w:pPr>
              <w:rPr>
                <w:lang w:val="ru-RU"/>
              </w:rPr>
            </w:pPr>
          </w:p>
        </w:tc>
      </w:tr>
      <w:tr w:rsidR="00EA2A26" w:rsidRPr="00EB30F2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EB30F2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5E06EC2F" w:rsidR="00EA2A26" w:rsidRPr="00EB30F2" w:rsidRDefault="001B5C6B" w:rsidP="001D247D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EB30F2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1D247D" w:rsidRPr="00EB30F2">
              <w:rPr>
                <w:spacing w:val="-6"/>
                <w:sz w:val="44"/>
                <w:szCs w:val="44"/>
                <w:lang w:val="ru-RU"/>
              </w:rPr>
              <w:t>92</w:t>
            </w:r>
            <w:r w:rsidR="00845E8E" w:rsidRPr="00EB30F2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1D247D" w:rsidRPr="00EB30F2">
              <w:rPr>
                <w:spacing w:val="-6"/>
                <w:sz w:val="44"/>
                <w:szCs w:val="44"/>
                <w:lang w:val="ru-RU"/>
              </w:rPr>
      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      </w:r>
          </w:p>
          <w:p w14:paraId="51262F1D" w14:textId="77777777" w:rsidR="00EA2A26" w:rsidRPr="00EB30F2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EB30F2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EB30F2">
        <w:rPr>
          <w:rFonts w:ascii="Arial" w:eastAsia="Avenir Next W1G Medium" w:hAnsi="Arial" w:cs="Arial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EB30F2">
        <w:rPr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EB30F2" w:rsidRDefault="00EA2A26" w:rsidP="00EA2A26">
      <w:pPr>
        <w:jc w:val="left"/>
        <w:rPr>
          <w:lang w:val="ru-RU"/>
        </w:rPr>
        <w:sectPr w:rsidR="00EA2A26" w:rsidRPr="00EB30F2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EB30F2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EB30F2">
        <w:rPr>
          <w:lang w:val="ru-RU"/>
        </w:rPr>
        <w:lastRenderedPageBreak/>
        <w:t>ПРЕДИСЛОВИЕ</w:t>
      </w:r>
    </w:p>
    <w:p w14:paraId="09A8E349" w14:textId="77777777" w:rsidR="00E60A09" w:rsidRPr="00EB30F2" w:rsidRDefault="00E60A09" w:rsidP="00E60A09">
      <w:pPr>
        <w:rPr>
          <w:sz w:val="20"/>
          <w:lang w:val="ru-RU"/>
        </w:rPr>
      </w:pPr>
      <w:bookmarkStart w:id="2" w:name="iitextf"/>
      <w:r w:rsidRPr="00EB30F2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EB30F2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EB30F2" w:rsidRDefault="00E60A09" w:rsidP="00E60A09">
      <w:pPr>
        <w:rPr>
          <w:sz w:val="20"/>
          <w:lang w:val="ru-RU"/>
        </w:rPr>
      </w:pPr>
      <w:r w:rsidRPr="00EB30F2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EB30F2" w:rsidRDefault="00E60A09" w:rsidP="00E60A09">
      <w:pPr>
        <w:rPr>
          <w:sz w:val="20"/>
          <w:lang w:val="ru-RU"/>
        </w:rPr>
      </w:pPr>
      <w:r w:rsidRPr="00EB30F2">
        <w:rPr>
          <w:sz w:val="20"/>
          <w:lang w:val="ru-RU"/>
        </w:rPr>
        <w:t xml:space="preserve">Утверждение </w:t>
      </w:r>
      <w:r w:rsidRPr="00EB30F2">
        <w:rPr>
          <w:caps/>
          <w:sz w:val="20"/>
          <w:lang w:val="ru-RU"/>
        </w:rPr>
        <w:t>р</w:t>
      </w:r>
      <w:r w:rsidRPr="00EB30F2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EB30F2">
        <w:rPr>
          <w:sz w:val="20"/>
          <w:lang w:val="ru-RU"/>
        </w:rPr>
        <w:t>.</w:t>
      </w:r>
    </w:p>
    <w:p w14:paraId="7104090E" w14:textId="77777777" w:rsidR="00E60A09" w:rsidRPr="00EB30F2" w:rsidRDefault="00E60A09" w:rsidP="00E60A09">
      <w:pPr>
        <w:rPr>
          <w:lang w:val="ru-RU"/>
        </w:rPr>
      </w:pPr>
      <w:r w:rsidRPr="00EB30F2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EB30F2" w:rsidRDefault="00E60A09" w:rsidP="00E60A09">
      <w:pPr>
        <w:rPr>
          <w:lang w:val="ru-RU"/>
        </w:rPr>
      </w:pPr>
    </w:p>
    <w:p w14:paraId="1BF1A502" w14:textId="77777777" w:rsidR="00E60A09" w:rsidRPr="00EB30F2" w:rsidRDefault="00E60A09" w:rsidP="00E60A09">
      <w:pPr>
        <w:rPr>
          <w:lang w:val="ru-RU"/>
        </w:rPr>
      </w:pPr>
    </w:p>
    <w:p w14:paraId="2053FC85" w14:textId="77777777" w:rsidR="00E60A09" w:rsidRPr="00EB30F2" w:rsidRDefault="00E60A09" w:rsidP="00E60A09">
      <w:pPr>
        <w:rPr>
          <w:lang w:val="ru-RU"/>
        </w:rPr>
      </w:pPr>
    </w:p>
    <w:p w14:paraId="510B3609" w14:textId="77777777" w:rsidR="00E60A09" w:rsidRPr="00EB30F2" w:rsidRDefault="00E60A09" w:rsidP="00E60A09">
      <w:pPr>
        <w:rPr>
          <w:lang w:val="ru-RU"/>
        </w:rPr>
      </w:pPr>
    </w:p>
    <w:p w14:paraId="3624C831" w14:textId="77777777" w:rsidR="00E60A09" w:rsidRPr="00EB30F2" w:rsidRDefault="00E60A09" w:rsidP="00E60A09">
      <w:pPr>
        <w:rPr>
          <w:lang w:val="ru-RU"/>
        </w:rPr>
      </w:pPr>
    </w:p>
    <w:p w14:paraId="3C20E03C" w14:textId="77777777" w:rsidR="00E60A09" w:rsidRPr="00EB30F2" w:rsidRDefault="00E60A09" w:rsidP="00E60A09">
      <w:pPr>
        <w:rPr>
          <w:lang w:val="ru-RU"/>
        </w:rPr>
      </w:pPr>
    </w:p>
    <w:p w14:paraId="54472EDE" w14:textId="77777777" w:rsidR="00E60A09" w:rsidRPr="00EB30F2" w:rsidRDefault="00E60A09" w:rsidP="00E60A09">
      <w:pPr>
        <w:rPr>
          <w:lang w:val="ru-RU"/>
        </w:rPr>
      </w:pPr>
    </w:p>
    <w:p w14:paraId="49DDE904" w14:textId="77777777" w:rsidR="00E60A09" w:rsidRPr="00EB30F2" w:rsidRDefault="00E60A09" w:rsidP="00E60A09">
      <w:pPr>
        <w:rPr>
          <w:lang w:val="ru-RU"/>
        </w:rPr>
      </w:pPr>
    </w:p>
    <w:p w14:paraId="61412DA5" w14:textId="77777777" w:rsidR="00E60A09" w:rsidRPr="00EB30F2" w:rsidRDefault="00E60A09" w:rsidP="00E60A09">
      <w:pPr>
        <w:rPr>
          <w:lang w:val="ru-RU"/>
        </w:rPr>
      </w:pPr>
    </w:p>
    <w:p w14:paraId="1C810210" w14:textId="77777777" w:rsidR="00E60A09" w:rsidRPr="00EB30F2" w:rsidRDefault="00E60A09" w:rsidP="00E60A09">
      <w:pPr>
        <w:rPr>
          <w:lang w:val="ru-RU"/>
        </w:rPr>
      </w:pPr>
    </w:p>
    <w:p w14:paraId="1C38E19A" w14:textId="77777777" w:rsidR="00E60A09" w:rsidRPr="00EB30F2" w:rsidRDefault="00E60A09" w:rsidP="00E60A09">
      <w:pPr>
        <w:rPr>
          <w:lang w:val="ru-RU"/>
        </w:rPr>
      </w:pPr>
    </w:p>
    <w:p w14:paraId="4D3396DA" w14:textId="77777777" w:rsidR="00E60A09" w:rsidRPr="00EB30F2" w:rsidRDefault="00E60A09" w:rsidP="00E60A09">
      <w:pPr>
        <w:rPr>
          <w:lang w:val="ru-RU"/>
        </w:rPr>
      </w:pPr>
    </w:p>
    <w:p w14:paraId="4F2F1517" w14:textId="77777777" w:rsidR="00E60A09" w:rsidRPr="00EB30F2" w:rsidRDefault="00E60A09" w:rsidP="00E60A09">
      <w:pPr>
        <w:rPr>
          <w:lang w:val="ru-RU"/>
        </w:rPr>
      </w:pPr>
    </w:p>
    <w:p w14:paraId="5C4902C6" w14:textId="77777777" w:rsidR="00E60A09" w:rsidRPr="00EB30F2" w:rsidRDefault="00E60A09" w:rsidP="00E60A09">
      <w:pPr>
        <w:rPr>
          <w:lang w:val="ru-RU"/>
        </w:rPr>
      </w:pPr>
    </w:p>
    <w:p w14:paraId="77FC4396" w14:textId="77777777" w:rsidR="00E60A09" w:rsidRPr="00EB30F2" w:rsidRDefault="00E60A09" w:rsidP="00E60A09">
      <w:pPr>
        <w:rPr>
          <w:lang w:val="ru-RU"/>
        </w:rPr>
      </w:pPr>
    </w:p>
    <w:p w14:paraId="66D8DB35" w14:textId="77777777" w:rsidR="008B6349" w:rsidRPr="00EB30F2" w:rsidRDefault="008B6349" w:rsidP="00E60A09">
      <w:pPr>
        <w:rPr>
          <w:lang w:val="ru-RU"/>
        </w:rPr>
      </w:pPr>
    </w:p>
    <w:p w14:paraId="48008D63" w14:textId="77777777" w:rsidR="008B6349" w:rsidRPr="00EB30F2" w:rsidRDefault="008B6349" w:rsidP="00E60A09">
      <w:pPr>
        <w:rPr>
          <w:lang w:val="ru-RU"/>
        </w:rPr>
      </w:pPr>
    </w:p>
    <w:p w14:paraId="36C41597" w14:textId="77777777" w:rsidR="008B6349" w:rsidRPr="00EB30F2" w:rsidRDefault="008B6349" w:rsidP="00E60A09">
      <w:pPr>
        <w:rPr>
          <w:lang w:val="ru-RU"/>
        </w:rPr>
      </w:pPr>
    </w:p>
    <w:p w14:paraId="29854E5F" w14:textId="77777777" w:rsidR="008B6349" w:rsidRPr="00EB30F2" w:rsidRDefault="008B6349" w:rsidP="00E60A09">
      <w:pPr>
        <w:rPr>
          <w:lang w:val="ru-RU"/>
        </w:rPr>
      </w:pPr>
    </w:p>
    <w:p w14:paraId="3941F9B3" w14:textId="77777777" w:rsidR="008B6349" w:rsidRPr="00EB30F2" w:rsidRDefault="008B6349" w:rsidP="00E60A09">
      <w:pPr>
        <w:rPr>
          <w:lang w:val="ru-RU"/>
        </w:rPr>
      </w:pPr>
    </w:p>
    <w:p w14:paraId="33823CA9" w14:textId="77777777" w:rsidR="00E60A09" w:rsidRPr="00EB30F2" w:rsidRDefault="00E60A09" w:rsidP="00E60A09">
      <w:pPr>
        <w:rPr>
          <w:lang w:val="ru-RU"/>
        </w:rPr>
      </w:pPr>
    </w:p>
    <w:p w14:paraId="265DF33E" w14:textId="77777777" w:rsidR="00E60A09" w:rsidRPr="00EB30F2" w:rsidRDefault="00E60A09" w:rsidP="00E60A09">
      <w:pPr>
        <w:rPr>
          <w:lang w:val="ru-RU"/>
        </w:rPr>
      </w:pPr>
    </w:p>
    <w:p w14:paraId="7D494ED0" w14:textId="77777777" w:rsidR="00E60A09" w:rsidRPr="00EB30F2" w:rsidRDefault="00E60A09" w:rsidP="00E60A09">
      <w:pPr>
        <w:rPr>
          <w:lang w:val="ru-RU"/>
        </w:rPr>
      </w:pPr>
    </w:p>
    <w:p w14:paraId="3554E9A0" w14:textId="77777777" w:rsidR="00E60A09" w:rsidRPr="00EB30F2" w:rsidRDefault="00E60A09" w:rsidP="00E60A09">
      <w:pPr>
        <w:rPr>
          <w:lang w:val="ru-RU"/>
        </w:rPr>
      </w:pPr>
    </w:p>
    <w:p w14:paraId="0D1B6C2B" w14:textId="77777777" w:rsidR="00D324F1" w:rsidRPr="00EB30F2" w:rsidRDefault="00D324F1" w:rsidP="00E60A09">
      <w:pPr>
        <w:rPr>
          <w:lang w:val="ru-RU"/>
        </w:rPr>
      </w:pPr>
    </w:p>
    <w:p w14:paraId="648D7BD9" w14:textId="77777777" w:rsidR="00D324F1" w:rsidRPr="00EB30F2" w:rsidRDefault="00D324F1" w:rsidP="00E60A09">
      <w:pPr>
        <w:rPr>
          <w:lang w:val="ru-RU"/>
        </w:rPr>
      </w:pPr>
    </w:p>
    <w:p w14:paraId="15937F0A" w14:textId="3B24DFE4" w:rsidR="00E60A09" w:rsidRPr="00EB30F2" w:rsidRDefault="00E60A09" w:rsidP="00E60A09">
      <w:pPr>
        <w:jc w:val="center"/>
        <w:rPr>
          <w:sz w:val="20"/>
          <w:lang w:val="ru-RU"/>
        </w:rPr>
      </w:pPr>
      <w:r w:rsidRPr="00EB30F2">
        <w:rPr>
          <w:sz w:val="20"/>
          <w:lang w:val="ru-RU"/>
        </w:rPr>
        <w:sym w:font="Symbol" w:char="F0E3"/>
      </w:r>
      <w:r w:rsidRPr="00EB30F2">
        <w:rPr>
          <w:sz w:val="20"/>
          <w:lang w:val="ru-RU"/>
        </w:rPr>
        <w:t>  ITU  </w:t>
      </w:r>
      <w:bookmarkStart w:id="3" w:name="iiannee"/>
      <w:bookmarkEnd w:id="3"/>
      <w:r w:rsidRPr="00EB30F2">
        <w:rPr>
          <w:sz w:val="20"/>
          <w:lang w:val="ru-RU"/>
        </w:rPr>
        <w:t>2024</w:t>
      </w:r>
    </w:p>
    <w:p w14:paraId="5A25B5AD" w14:textId="3FBBDADE" w:rsidR="008968B6" w:rsidRPr="00EB30F2" w:rsidRDefault="00E60A09" w:rsidP="00EA2A26">
      <w:pPr>
        <w:rPr>
          <w:lang w:val="ru-RU"/>
        </w:rPr>
      </w:pPr>
      <w:r w:rsidRPr="00EB30F2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EB30F2" w:rsidRDefault="00B73379" w:rsidP="003374BB">
      <w:pPr>
        <w:pStyle w:val="ResNo"/>
        <w:rPr>
          <w:lang w:val="ru-RU"/>
        </w:rPr>
        <w:sectPr w:rsidR="00B73379" w:rsidRPr="00EB30F2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A5601D3" w14:textId="07BADBEB" w:rsidR="0027743C" w:rsidRPr="00EB30F2" w:rsidRDefault="0027743C" w:rsidP="0027743C">
      <w:pPr>
        <w:pStyle w:val="ResNo"/>
        <w:rPr>
          <w:lang w:val="ru-RU"/>
        </w:rPr>
      </w:pPr>
      <w:r w:rsidRPr="00EB30F2">
        <w:rPr>
          <w:lang w:val="ru-RU"/>
        </w:rPr>
        <w:lastRenderedPageBreak/>
        <w:t xml:space="preserve">РЕЗОЛЮЦИЯ </w:t>
      </w:r>
      <w:r w:rsidRPr="00EB30F2">
        <w:rPr>
          <w:rStyle w:val="href"/>
          <w:lang w:val="ru-RU"/>
        </w:rPr>
        <w:t>92</w:t>
      </w:r>
      <w:r w:rsidRPr="00EB30F2">
        <w:rPr>
          <w:lang w:val="ru-RU"/>
        </w:rPr>
        <w:t xml:space="preserve"> </w:t>
      </w:r>
      <w:r w:rsidR="003B31B5" w:rsidRPr="00EB30F2">
        <w:rPr>
          <w:caps w:val="0"/>
          <w:lang w:val="ru-RU"/>
        </w:rPr>
        <w:t>(</w:t>
      </w:r>
      <w:proofErr w:type="spellStart"/>
      <w:r w:rsidR="003B31B5" w:rsidRPr="00EB30F2">
        <w:rPr>
          <w:caps w:val="0"/>
          <w:lang w:val="ru-RU"/>
        </w:rPr>
        <w:t>Пересм</w:t>
      </w:r>
      <w:proofErr w:type="spellEnd"/>
      <w:r w:rsidR="003B31B5" w:rsidRPr="00EB30F2">
        <w:rPr>
          <w:caps w:val="0"/>
          <w:lang w:val="ru-RU"/>
        </w:rPr>
        <w:t>. Нью-Дели, 2024 г.)</w:t>
      </w:r>
    </w:p>
    <w:p w14:paraId="4090D7AA" w14:textId="21C9317D" w:rsidR="0027743C" w:rsidRPr="00EB30F2" w:rsidRDefault="0027743C" w:rsidP="0027743C">
      <w:pPr>
        <w:pStyle w:val="Restitle"/>
        <w:rPr>
          <w:lang w:val="ru-RU"/>
        </w:rPr>
      </w:pPr>
      <w:bookmarkStart w:id="4" w:name="_Toc112777503"/>
      <w:r w:rsidRPr="00EB30F2">
        <w:rPr>
          <w:lang w:val="ru-RU"/>
        </w:rPr>
        <w:t>Активизация деятельности Сектора стандартизации электросвязи МСЭ в</w:t>
      </w:r>
      <w:r w:rsidR="000329A6" w:rsidRPr="00EB30F2">
        <w:rPr>
          <w:lang w:val="ru-RU"/>
        </w:rPr>
        <w:t> </w:t>
      </w:r>
      <w:r w:rsidRPr="00EB30F2">
        <w:rPr>
          <w:lang w:val="ru-RU"/>
        </w:rPr>
        <w:t xml:space="preserve">области стандартизации не связанных с радио аспектов </w:t>
      </w:r>
      <w:r w:rsidRPr="00EB30F2">
        <w:rPr>
          <w:lang w:val="ru-RU"/>
        </w:rPr>
        <w:br/>
        <w:t>Международной подвижной электросвязи</w:t>
      </w:r>
      <w:bookmarkEnd w:id="4"/>
    </w:p>
    <w:p w14:paraId="0FAE70B3" w14:textId="77777777" w:rsidR="0027743C" w:rsidRPr="00EB30F2" w:rsidRDefault="0027743C" w:rsidP="0027743C">
      <w:pPr>
        <w:pStyle w:val="Resref"/>
        <w:rPr>
          <w:lang w:val="ru-RU"/>
        </w:rPr>
      </w:pPr>
      <w:r w:rsidRPr="00EB30F2">
        <w:rPr>
          <w:lang w:val="ru-RU"/>
        </w:rPr>
        <w:t>(</w:t>
      </w:r>
      <w:proofErr w:type="spellStart"/>
      <w:r w:rsidRPr="00EB30F2">
        <w:rPr>
          <w:lang w:val="ru-RU"/>
        </w:rPr>
        <w:t>Хаммамет</w:t>
      </w:r>
      <w:proofErr w:type="spellEnd"/>
      <w:r w:rsidRPr="00EB30F2">
        <w:rPr>
          <w:lang w:val="ru-RU"/>
        </w:rPr>
        <w:t>, 2016 г.; Женева, 2022 г.; Нью-Дели, 2024 г.)</w:t>
      </w:r>
    </w:p>
    <w:p w14:paraId="322631A2" w14:textId="77777777" w:rsidR="0027743C" w:rsidRPr="00EB30F2" w:rsidRDefault="0027743C" w:rsidP="0027743C">
      <w:pPr>
        <w:pStyle w:val="Normalaftertitle0"/>
        <w:rPr>
          <w:lang w:val="ru-RU"/>
        </w:rPr>
      </w:pPr>
      <w:r w:rsidRPr="00EB30F2">
        <w:rPr>
          <w:lang w:val="ru-RU"/>
        </w:rPr>
        <w:t>Всемирная ассамблея по стандартизации электросвязи (Нью-Дели, 2024 г.),</w:t>
      </w:r>
    </w:p>
    <w:p w14:paraId="7E4AECF0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учитывая</w:t>
      </w:r>
      <w:r w:rsidRPr="00EB30F2">
        <w:rPr>
          <w:i w:val="0"/>
          <w:iCs/>
          <w:lang w:val="ru-RU"/>
        </w:rPr>
        <w:t>,</w:t>
      </w:r>
    </w:p>
    <w:p w14:paraId="1B70B245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a)</w:t>
      </w:r>
      <w:r w:rsidRPr="00EB30F2">
        <w:rPr>
          <w:lang w:val="ru-RU"/>
        </w:rPr>
        <w:tab/>
        <w:t>что Международная подвижная электросвязь (IMT) является корневой частью названия, охватывающего одновременно все системы IMT и их дальнейшее развитие, включая IMT-2000, IMT</w:t>
      </w:r>
      <w:r w:rsidRPr="00EB30F2">
        <w:rPr>
          <w:lang w:val="ru-RU"/>
        </w:rPr>
        <w:noBreakHyphen/>
        <w:t>Advanced, IMT-2020 и IMT-2030 (см. Резолюцию МСЭ-R 56 (</w:t>
      </w:r>
      <w:proofErr w:type="spellStart"/>
      <w:r w:rsidRPr="00EB30F2">
        <w:rPr>
          <w:lang w:val="ru-RU"/>
        </w:rPr>
        <w:t>Пересм</w:t>
      </w:r>
      <w:proofErr w:type="spellEnd"/>
      <w:r w:rsidRPr="00EB30F2">
        <w:rPr>
          <w:lang w:val="ru-RU"/>
        </w:rPr>
        <w:t>. Дубай, 2023 г.) Ассамблеи радиосвязи;</w:t>
      </w:r>
    </w:p>
    <w:p w14:paraId="4D73B6F0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b)</w:t>
      </w:r>
      <w:r w:rsidRPr="00EB30F2">
        <w:rPr>
          <w:lang w:val="ru-RU"/>
        </w:rPr>
        <w:tab/>
        <w:t>что системы IMT способствуют глобальному экономическому и социальному развитию и что системы IMT предназначены для предоставления услуг электросвязи во всемирном масштабе независимо от местоположения, сети или используемого терминала;</w:t>
      </w:r>
    </w:p>
    <w:p w14:paraId="6B3E0607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c)</w:t>
      </w:r>
      <w:r w:rsidRPr="00EB30F2">
        <w:rPr>
          <w:lang w:val="ru-RU"/>
        </w:rPr>
        <w:tab/>
        <w:t>что в Рекомендации 207 (</w:t>
      </w:r>
      <w:proofErr w:type="spellStart"/>
      <w:r w:rsidRPr="00EB30F2">
        <w:rPr>
          <w:lang w:val="ru-RU"/>
        </w:rPr>
        <w:t>Пересм</w:t>
      </w:r>
      <w:proofErr w:type="spellEnd"/>
      <w:r w:rsidRPr="00EB30F2">
        <w:rPr>
          <w:lang w:val="ru-RU"/>
        </w:rPr>
        <w:t>. Шарм-эль-Шейх, 2019 г.) Всемирной конференции радиосвязи о будущих системах IMT предусматривается, среди прочего, что будущее развитие IMT на период до 2020 года и далее приведет к повышению скоростей передачи данных по сравнению со скоростями систем IMT, развернутых в настоящее время;</w:t>
      </w:r>
    </w:p>
    <w:p w14:paraId="457A2983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d)</w:t>
      </w:r>
      <w:r w:rsidRPr="00EB30F2">
        <w:rPr>
          <w:i/>
          <w:iCs/>
          <w:lang w:val="ru-RU"/>
        </w:rPr>
        <w:tab/>
      </w:r>
      <w:r w:rsidRPr="00EB30F2">
        <w:rPr>
          <w:lang w:val="ru-RU"/>
        </w:rPr>
        <w:t>что растет интерес к внедрению появляющихся технологий и решений, основанных на стандартах открытых сетей радиодоступа на базе IMT;</w:t>
      </w:r>
    </w:p>
    <w:p w14:paraId="7A9760E0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lang w:val="ru-RU"/>
        </w:rPr>
        <w:t>e)</w:t>
      </w:r>
      <w:r w:rsidRPr="00EB30F2">
        <w:rPr>
          <w:lang w:val="ru-RU"/>
        </w:rPr>
        <w:tab/>
        <w:t>системы IMT используются и будут широко использоваться в ближайшем будущем для создания ориентированной на пользователя информационной экосистемы, и это внесет важный позитивный вклад в достижение Целей Организации Объединенных Наций в области устойчивого развития (ЦУР);</w:t>
      </w:r>
    </w:p>
    <w:p w14:paraId="1C6C6CDC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f)</w:t>
      </w:r>
      <w:r w:rsidRPr="00EB30F2">
        <w:rPr>
          <w:lang w:val="ru-RU"/>
        </w:rPr>
        <w:tab/>
        <w:t>что Сектор стандартизации электросвязи МСЭ (МСЭ-Т) активно продолжает свои исследования не связанных с радио аспектов стандартизации систем IMT;</w:t>
      </w:r>
    </w:p>
    <w:p w14:paraId="0698F497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g)</w:t>
      </w:r>
      <w:r w:rsidRPr="00EB30F2">
        <w:rPr>
          <w:lang w:val="ru-RU"/>
        </w:rPr>
        <w:tab/>
        <w:t>что разработка дорожной карты по всем видам деятельности по стандартам в области IMT, осуществляемой Сектором радиосвязи МСЭ (МСЭ-R) и МСЭ-Т, с тем чтобы они могли независимым образом организовывать и проводить свою работу по IMT, а также координировать ее для обеспечения полного упорядочения и согласования программ работы в рамках дополнительной структуры, представляет собой эффективное средство достижения прогресса в обоих Секторах и что такая концепция дорожной карты содействует установлению контактов с другими организациями, не входящими в МСЭ, по вопросам, касающимся IMT;</w:t>
      </w:r>
    </w:p>
    <w:p w14:paraId="34EBEEF7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h)</w:t>
      </w:r>
      <w:r w:rsidRPr="00EB30F2">
        <w:rPr>
          <w:lang w:val="ru-RU"/>
        </w:rPr>
        <w:tab/>
        <w:t>что исследовательские комиссии МСЭ-Т и МСЭ-R осуществляли и продолжают осуществлять эффективную неофициальную координацию через взаимодействие в вопросе разработки для обоих Секторов Рекомендаций по IMT;</w:t>
      </w:r>
    </w:p>
    <w:p w14:paraId="5A3B56B7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br w:type="page"/>
      </w:r>
    </w:p>
    <w:p w14:paraId="317A9448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lastRenderedPageBreak/>
        <w:t>i)</w:t>
      </w:r>
      <w:r w:rsidRPr="00EB30F2">
        <w:rPr>
          <w:lang w:val="ru-RU"/>
        </w:rPr>
        <w:tab/>
        <w:t>что в Резолюции 43 (</w:t>
      </w:r>
      <w:proofErr w:type="spellStart"/>
      <w:r w:rsidRPr="00EB30F2">
        <w:rPr>
          <w:lang w:val="ru-RU"/>
        </w:rPr>
        <w:t>Пересм</w:t>
      </w:r>
      <w:proofErr w:type="spellEnd"/>
      <w:r w:rsidRPr="00EB30F2">
        <w:rPr>
          <w:lang w:val="ru-RU"/>
        </w:rPr>
        <w:t>. Буэнос-Айрес, 2017 г.) Всемирной конференции по развитию электросвязи (ВКРЭ) признается постоянная необходимость содействия использованию систем IMT во всем мире, в особенности в развивающихся странах</w:t>
      </w:r>
      <w:r w:rsidRPr="00EB30F2">
        <w:rPr>
          <w:rStyle w:val="FootnoteReference"/>
          <w:lang w:val="ru-RU"/>
        </w:rPr>
        <w:footnoteReference w:customMarkFollows="1" w:id="1"/>
        <w:t>1</w:t>
      </w:r>
      <w:r w:rsidRPr="00EB30F2">
        <w:rPr>
          <w:lang w:val="ru-RU"/>
        </w:rPr>
        <w:t>;</w:t>
      </w:r>
    </w:p>
    <w:p w14:paraId="469753EA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j)</w:t>
      </w:r>
      <w:r w:rsidRPr="00EB30F2">
        <w:rPr>
          <w:lang w:val="ru-RU"/>
        </w:rPr>
        <w:tab/>
        <w:t>что в Справочнике МСЭ-R по г</w:t>
      </w:r>
      <w:r w:rsidRPr="00EB30F2">
        <w:rPr>
          <w:color w:val="000000"/>
          <w:lang w:val="ru-RU"/>
        </w:rPr>
        <w:t xml:space="preserve">лобальным тенденциям в области Международной подвижной электросвязи приводится определение </w:t>
      </w:r>
      <w:r w:rsidRPr="00EB30F2">
        <w:rPr>
          <w:lang w:val="ru-RU"/>
        </w:rPr>
        <w:t>IMT и соответствующим сторонам даны общие руководящие указания по вопросам, касающимся развертывания систем IMT и внедрения их сетей IMT-2000 и IMT-Advanced, а также</w:t>
      </w:r>
      <w:r w:rsidRPr="00EB30F2">
        <w:rPr>
          <w:szCs w:val="24"/>
          <w:bdr w:val="none" w:sz="0" w:space="0" w:color="auto" w:frame="1"/>
          <w:lang w:val="ru-RU"/>
        </w:rPr>
        <w:t xml:space="preserve"> IMT-2020</w:t>
      </w:r>
      <w:r w:rsidRPr="00EB30F2">
        <w:rPr>
          <w:lang w:val="ru-RU"/>
        </w:rPr>
        <w:t>;</w:t>
      </w:r>
    </w:p>
    <w:p w14:paraId="367B15F8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k)</w:t>
      </w:r>
      <w:r w:rsidRPr="00EB30F2">
        <w:rPr>
          <w:i/>
          <w:iCs/>
          <w:lang w:val="ru-RU"/>
        </w:rPr>
        <w:tab/>
      </w:r>
      <w:r w:rsidRPr="00EB30F2">
        <w:rPr>
          <w:lang w:val="ru-RU"/>
        </w:rPr>
        <w:t>что в Отчете МСЭ-R M.</w:t>
      </w:r>
      <w:proofErr w:type="gramStart"/>
      <w:r w:rsidRPr="00EB30F2">
        <w:rPr>
          <w:lang w:val="ru-RU"/>
        </w:rPr>
        <w:t>2516-0</w:t>
      </w:r>
      <w:proofErr w:type="gramEnd"/>
      <w:r w:rsidRPr="00EB30F2">
        <w:rPr>
          <w:lang w:val="ru-RU"/>
        </w:rPr>
        <w:t xml:space="preserve"> представлен широкий обзор будущих технических аспектов наземных систем IMT, а в Рекомендации МСЭ-R M.2160-0 заложена основа будущего развития IMT-2030;</w:t>
      </w:r>
    </w:p>
    <w:p w14:paraId="2B069C64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l)</w:t>
      </w:r>
      <w:r w:rsidRPr="00EB30F2">
        <w:rPr>
          <w:lang w:val="ru-RU"/>
        </w:rPr>
        <w:tab/>
        <w:t>что 1-я Исследовательская комиссия Сектора развития электросвязи МСЭ (МСЭ-D) участвует в деятельности, которая тесно координируется с 13-й Исследовательской комиссией МСЭ‑Т и 5</w:t>
      </w:r>
      <w:r w:rsidRPr="00EB30F2">
        <w:rPr>
          <w:lang w:val="ru-RU"/>
        </w:rPr>
        <w:noBreakHyphen/>
        <w:t>й Исследовательской комиссией МСЭ-R, чтобы определить факторы, оказывающие влияние на эффективное развитие широкополосной связи, в том числе системы IMT, для развивающихся стран;</w:t>
      </w:r>
    </w:p>
    <w:p w14:paraId="37AA853D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m)</w:t>
      </w:r>
      <w:r w:rsidRPr="00EB30F2">
        <w:rPr>
          <w:lang w:val="ru-RU"/>
        </w:rPr>
        <w:tab/>
        <w:t>что 13-я Исследовательская комиссия МСЭ-Т приняла на себя ведущую роль по не связанным с радио аспектам в рамках координации управления проектами в области IMT-2020 по всем исследовательским комиссиям МСЭ-Т и успешно проводит исследования сетевых аспектов IMT</w:t>
      </w:r>
      <w:r w:rsidRPr="00EB30F2">
        <w:rPr>
          <w:lang w:val="ru-RU"/>
        </w:rPr>
        <w:noBreakHyphen/>
        <w:t xml:space="preserve">2020 и </w:t>
      </w:r>
      <w:r w:rsidRPr="00EB30F2">
        <w:rPr>
          <w:lang w:val="ru-RU" w:eastAsia="ja-JP"/>
        </w:rPr>
        <w:t>IMT-2030</w:t>
      </w:r>
      <w:r w:rsidRPr="00EB30F2">
        <w:rPr>
          <w:lang w:val="ru-RU"/>
        </w:rPr>
        <w:t xml:space="preserve">, которые включают исследования по темам: требования к сети и функциональная архитектура; </w:t>
      </w:r>
      <w:proofErr w:type="spellStart"/>
      <w:r w:rsidRPr="00EB30F2">
        <w:rPr>
          <w:lang w:val="ru-RU"/>
        </w:rPr>
        <w:t>программизация</w:t>
      </w:r>
      <w:proofErr w:type="spellEnd"/>
      <w:r w:rsidRPr="00EB30F2">
        <w:rPr>
          <w:lang w:val="ru-RU"/>
        </w:rPr>
        <w:t xml:space="preserve"> сетей; конвергенция фиксированной, подвижной и спутниковой связи; а также показатели работы сети и их применение для развивающихся стран;</w:t>
      </w:r>
    </w:p>
    <w:p w14:paraId="23C657FE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n)</w:t>
      </w:r>
      <w:r w:rsidRPr="00EB30F2">
        <w:rPr>
          <w:lang w:val="ru-RU"/>
        </w:rPr>
        <w:tab/>
        <w:t>что 13-я Исследовательская комиссия МСЭ-Т учредила Группу по совместной координационной деятельности в области IMT-2020 и далее (JCA-</w:t>
      </w:r>
      <w:r w:rsidRPr="00EB30F2">
        <w:rPr>
          <w:lang w:val="ru-RU" w:eastAsia="ja-JP"/>
        </w:rPr>
        <w:t>IMT2020</w:t>
      </w:r>
      <w:r w:rsidRPr="00EB30F2">
        <w:rPr>
          <w:lang w:val="ru-RU"/>
        </w:rPr>
        <w:t xml:space="preserve">) для координации работы МСЭ-Т по стандартизации IMT-2020 с уделением особого внимания не относящимся к радио аспектам </w:t>
      </w:r>
      <w:r w:rsidRPr="00EB30F2">
        <w:rPr>
          <w:rFonts w:asciiTheme="majorBidi" w:hAnsiTheme="majorBidi" w:cstheme="majorBidi"/>
          <w:szCs w:val="24"/>
          <w:lang w:val="ru-RU"/>
        </w:rPr>
        <w:t xml:space="preserve">IMT‑2020 и </w:t>
      </w:r>
      <w:r w:rsidRPr="00EB30F2">
        <w:rPr>
          <w:rFonts w:asciiTheme="majorBidi" w:hAnsiTheme="majorBidi" w:cstheme="majorBidi"/>
          <w:szCs w:val="24"/>
          <w:lang w:val="ru-RU" w:eastAsia="ja-JP"/>
        </w:rPr>
        <w:t xml:space="preserve">IMT-2030 </w:t>
      </w:r>
      <w:r w:rsidRPr="00EB30F2">
        <w:rPr>
          <w:lang w:val="ru-RU"/>
        </w:rPr>
        <w:t>в рамках МСЭ-Т и для координации связи с организациями по разработке стандартов (ОРС), консорциумами и форумами, также работающими над стандартами, связанными с IMT-2020 и IMT-2</w:t>
      </w:r>
      <w:r w:rsidRPr="00EB30F2">
        <w:rPr>
          <w:lang w:val="ru-RU" w:eastAsia="ja-JP"/>
        </w:rPr>
        <w:t>030</w:t>
      </w:r>
      <w:r w:rsidRPr="00EB30F2">
        <w:rPr>
          <w:lang w:val="ru-RU"/>
        </w:rPr>
        <w:t>;</w:t>
      </w:r>
    </w:p>
    <w:p w14:paraId="0B2A7528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o)</w:t>
      </w:r>
      <w:r w:rsidRPr="00EB30F2">
        <w:rPr>
          <w:i/>
          <w:iCs/>
          <w:lang w:val="ru-RU"/>
        </w:rPr>
        <w:tab/>
      </w:r>
      <w:r w:rsidRPr="00EB30F2">
        <w:rPr>
          <w:lang w:val="ru-RU"/>
        </w:rPr>
        <w:t>что JCA-</w:t>
      </w:r>
      <w:r w:rsidRPr="00EB30F2">
        <w:rPr>
          <w:lang w:val="ru-RU" w:eastAsia="ja-JP"/>
        </w:rPr>
        <w:t>IMT2020</w:t>
      </w:r>
      <w:r w:rsidRPr="00EB30F2">
        <w:rPr>
          <w:lang w:val="ru-RU"/>
        </w:rPr>
        <w:t xml:space="preserve"> ведет "дорожную карту" стандартизации IMT-2020 и IMT‑2030, в которой рассматриваются разрабатываемые и опубликованные спецификации МСЭ, других соответствующих ОРС, консорциумов и форумов;</w:t>
      </w:r>
    </w:p>
    <w:p w14:paraId="76DD36C0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t>p)</w:t>
      </w:r>
      <w:r w:rsidRPr="00EB30F2">
        <w:rPr>
          <w:lang w:val="ru-RU"/>
        </w:rPr>
        <w:tab/>
        <w:t>что 11-я Исследовательская комиссия МСЭ-Т успешно проводит исследования аспектов протоколов сигнализации и управления IMT-2020, которые включают исследования по темам: протоколы, поддерживающие технологии контроля и управления, требования к сигнализации и протоколы для присоединения к сети, включая управление мобильностью и ресурсами, протоколы, поддерживающие организацию сетей распределенного контента и ориентированную на информацию сеть, а также тестирование протоколов;</w:t>
      </w:r>
    </w:p>
    <w:p w14:paraId="1F8A5EEF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 w:eastAsia="ja-JP"/>
        </w:rPr>
        <w:t>q</w:t>
      </w:r>
      <w:r w:rsidRPr="00EB30F2">
        <w:rPr>
          <w:i/>
          <w:iCs/>
          <w:lang w:val="ru-RU"/>
        </w:rPr>
        <w:t>)</w:t>
      </w:r>
      <w:r w:rsidRPr="00EB30F2">
        <w:rPr>
          <w:lang w:val="ru-RU"/>
        </w:rPr>
        <w:tab/>
        <w:t>что 11-я Исследовательская комиссия МСЭ-Т учредила Оперативную группу по федерациям испытательных стендов для сетей IMT-2020 и последующих поколений (ОГ-</w:t>
      </w:r>
      <w:proofErr w:type="spellStart"/>
      <w:r w:rsidRPr="00EB30F2">
        <w:rPr>
          <w:lang w:val="ru-RU"/>
        </w:rPr>
        <w:t>TBFxG</w:t>
      </w:r>
      <w:proofErr w:type="spellEnd"/>
      <w:r w:rsidRPr="00EB30F2">
        <w:rPr>
          <w:lang w:val="ru-RU"/>
        </w:rPr>
        <w:t>) в целях разработки необходимых интерфейсов прикладного программирования (API);</w:t>
      </w:r>
    </w:p>
    <w:p w14:paraId="1A68C1FB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 w:eastAsia="ja-JP"/>
        </w:rPr>
        <w:t>r</w:t>
      </w:r>
      <w:r w:rsidRPr="00EB30F2">
        <w:rPr>
          <w:i/>
          <w:iCs/>
          <w:lang w:val="ru-RU"/>
        </w:rPr>
        <w:t>)</w:t>
      </w:r>
      <w:r w:rsidRPr="00EB30F2">
        <w:rPr>
          <w:i/>
          <w:iCs/>
          <w:lang w:val="ru-RU"/>
        </w:rPr>
        <w:tab/>
      </w:r>
      <w:r w:rsidRPr="00EB30F2">
        <w:rPr>
          <w:lang w:val="ru-RU"/>
        </w:rPr>
        <w:t>что 21-я Исследовательская комиссия МСЭ-Т успешно проводит исследования в области связи транспортного средства с различными объектами (V2X) на базе системы IMT;</w:t>
      </w:r>
    </w:p>
    <w:p w14:paraId="3FE674C7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br w:type="page"/>
      </w:r>
    </w:p>
    <w:p w14:paraId="071AD1C9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/>
        </w:rPr>
        <w:lastRenderedPageBreak/>
        <w:t>s)</w:t>
      </w:r>
      <w:r w:rsidRPr="00EB30F2">
        <w:rPr>
          <w:lang w:val="ru-RU"/>
        </w:rPr>
        <w:tab/>
        <w:t>что 17-я Исследовательская комиссия МСЭ-Т продолжает работу по противодействию угрозам и уязвимостям, которые влияют на усилия по укреплению доверия и безопасности при использовании систем IMT-2020, что включает исследования основ, руководящих указаний и возможностей, связанных с обеспечением безопасности и доверия применительно к сетям IMT-2020 и периферийным вычислениям;</w:t>
      </w:r>
    </w:p>
    <w:p w14:paraId="2AEEB72E" w14:textId="77777777" w:rsidR="0027743C" w:rsidRPr="00EB30F2" w:rsidRDefault="0027743C" w:rsidP="0027743C">
      <w:pPr>
        <w:rPr>
          <w:lang w:val="ru-RU"/>
        </w:rPr>
      </w:pPr>
      <w:r w:rsidRPr="00EB30F2">
        <w:rPr>
          <w:i/>
          <w:iCs/>
          <w:lang w:val="ru-RU" w:eastAsia="ja-JP"/>
        </w:rPr>
        <w:t>t</w:t>
      </w:r>
      <w:r w:rsidRPr="00EB30F2">
        <w:rPr>
          <w:i/>
          <w:iCs/>
          <w:lang w:val="ru-RU"/>
        </w:rPr>
        <w:t>)</w:t>
      </w:r>
      <w:r w:rsidRPr="00EB30F2">
        <w:rPr>
          <w:lang w:val="ru-RU"/>
        </w:rPr>
        <w:tab/>
        <w:t>что МСЭ-R работает над развитием IMT-2030,</w:t>
      </w:r>
    </w:p>
    <w:p w14:paraId="22F62B2A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отмечая</w:t>
      </w:r>
    </w:p>
    <w:p w14:paraId="58E2C0B9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Резолюцию 18 (</w:t>
      </w:r>
      <w:proofErr w:type="spellStart"/>
      <w:r w:rsidRPr="00EB30F2">
        <w:rPr>
          <w:lang w:val="ru-RU"/>
        </w:rPr>
        <w:t>Пересм</w:t>
      </w:r>
      <w:proofErr w:type="spellEnd"/>
      <w:r w:rsidRPr="00EB30F2">
        <w:rPr>
          <w:lang w:val="ru-RU"/>
        </w:rPr>
        <w:t>. Нью-Дели, 2024 г.) настоящей Ассамблеи об усилении координации и сотрудничества между тремя Секторами МСЭ по вопросам, представляющим взаимный интерес,</w:t>
      </w:r>
    </w:p>
    <w:p w14:paraId="0E086A94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 xml:space="preserve">решает предложить Консультативной группе по стандартизации электросвязи </w:t>
      </w:r>
    </w:p>
    <w:p w14:paraId="73ED5C6C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1</w:t>
      </w:r>
      <w:r w:rsidRPr="00EB30F2">
        <w:rPr>
          <w:lang w:val="ru-RU"/>
        </w:rPr>
        <w:tab/>
        <w:t xml:space="preserve">содействовать координации деятельности по стандартизации не относящихся к радио аспектов систем IMT (включая IMT-2020 и </w:t>
      </w:r>
      <w:r w:rsidRPr="00EB30F2">
        <w:rPr>
          <w:lang w:val="ru-RU" w:eastAsia="ja-JP"/>
        </w:rPr>
        <w:t>IMT-2030</w:t>
      </w:r>
      <w:r w:rsidRPr="00EB30F2">
        <w:rPr>
          <w:lang w:val="ru-RU"/>
        </w:rPr>
        <w:t>) между всеми соответствующими исследовательскими комиссиями, оперативными группами, группами по совместной координационной деятельности и т. п.;</w:t>
      </w:r>
    </w:p>
    <w:p w14:paraId="73FF7EF6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2</w:t>
      </w:r>
      <w:r w:rsidRPr="00EB30F2">
        <w:rPr>
          <w:lang w:val="ru-RU"/>
        </w:rPr>
        <w:tab/>
        <w:t>укреплять и ускорять деятельность, связанную с развитием и развертыванием систем IMT на основе стандартов для открытых и функционально совместимых сетевых технологий и решений, таких как не относящиеся к радио аспекты систем IMT для сетей доступа, в частности признавая проблемы, существующие в развивающихся странах;</w:t>
      </w:r>
    </w:p>
    <w:p w14:paraId="2BB69A94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3</w:t>
      </w:r>
      <w:r w:rsidRPr="00EB30F2">
        <w:rPr>
          <w:lang w:val="ru-RU"/>
        </w:rPr>
        <w:tab/>
        <w:t>обеспечить сотрудничество между соответствующими исследовательскими комиссиями МСЭ-T и соответствующими ОРС, форумами и консорциумами для открытых и функционально совместимых сетевых технологий и решений, включая не относящиеся к радио аспекты систем IMT для сетей доступа;</w:t>
      </w:r>
    </w:p>
    <w:p w14:paraId="1754F94F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4</w:t>
      </w:r>
      <w:r w:rsidRPr="00EB30F2">
        <w:rPr>
          <w:lang w:val="ru-RU"/>
        </w:rPr>
        <w:tab/>
        <w:t>содействовать совместно с 13-й Исследовательской комиссией МСЭ-Т и другими соответствующими исследовательскими комиссиями сотрудничеству с другими ОРС по широкому кругу вопросов, которые связаны с не относящимися к радио аспектами систем IMT,</w:t>
      </w:r>
    </w:p>
    <w:p w14:paraId="31ED0180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поручает исследовательским комиссиям Сектора стандартизации электросвязи МСЭ</w:t>
      </w:r>
    </w:p>
    <w:p w14:paraId="6C5F4F02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1</w:t>
      </w:r>
      <w:r w:rsidRPr="00EB30F2">
        <w:rPr>
          <w:lang w:val="ru-RU"/>
        </w:rPr>
        <w:tab/>
        <w:t xml:space="preserve">укреплять сотрудничество и координацию в деятельности по стандартизации систем IMT (включая IMT-2020 и </w:t>
      </w:r>
      <w:r w:rsidRPr="00EB30F2">
        <w:rPr>
          <w:lang w:val="ru-RU" w:eastAsia="ja-JP"/>
        </w:rPr>
        <w:t>IMT-2030</w:t>
      </w:r>
      <w:r w:rsidRPr="00EB30F2">
        <w:rPr>
          <w:lang w:val="ru-RU"/>
        </w:rPr>
        <w:t>) с другими соответствующими организациями по стандартам, с тем чтобы обеспечивать производительное и практичное стандартное решение для глобальной отрасли электросвязи/информационно-коммуникационных технологий (ИКТ);</w:t>
      </w:r>
    </w:p>
    <w:p w14:paraId="1F66F2D2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2</w:t>
      </w:r>
      <w:r w:rsidRPr="00EB30F2">
        <w:rPr>
          <w:lang w:val="ru-RU"/>
        </w:rPr>
        <w:tab/>
        <w:t>эффективно и результативно продвигать работу в области стандартизации не относящихся к радио аспектов систем IMT, а также применению соответствующих сетевых технологий для достижения ЦУР;</w:t>
      </w:r>
    </w:p>
    <w:p w14:paraId="4B7E15C4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3</w:t>
      </w:r>
      <w:r w:rsidRPr="00EB30F2">
        <w:rPr>
          <w:lang w:val="ru-RU"/>
        </w:rPr>
        <w:tab/>
        <w:t>содействовать работе МСЭ-Т по стандартизации требований развивающихся стран, связанных с IMT в целом и IMT-2020 и IMT-2030 в частности, уделяя особое внимание сокращению цифрового разрыва;</w:t>
      </w:r>
    </w:p>
    <w:p w14:paraId="3F15D1E0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4</w:t>
      </w:r>
      <w:r w:rsidRPr="00EB30F2">
        <w:rPr>
          <w:lang w:val="ru-RU"/>
        </w:rPr>
        <w:tab/>
        <w:t>нести ответственность за разработку и ежегодный отчет о стратегии МСЭ-Т по стандартам IMT;</w:t>
      </w:r>
    </w:p>
    <w:p w14:paraId="432157C4" w14:textId="77777777" w:rsidR="0027743C" w:rsidRPr="00EB30F2" w:rsidRDefault="0027743C" w:rsidP="0027743C">
      <w:pPr>
        <w:rPr>
          <w:lang w:val="ru-RU" w:eastAsia="ja-JP"/>
        </w:rPr>
      </w:pPr>
      <w:r w:rsidRPr="00EB30F2">
        <w:rPr>
          <w:lang w:val="ru-RU" w:eastAsia="ja-JP"/>
        </w:rPr>
        <w:t>5</w:t>
      </w:r>
      <w:r w:rsidRPr="00EB30F2">
        <w:rPr>
          <w:lang w:val="ru-RU" w:eastAsia="ja-JP"/>
        </w:rPr>
        <w:tab/>
      </w:r>
      <w:r w:rsidRPr="00EB30F2">
        <w:rPr>
          <w:lang w:val="ru-RU"/>
        </w:rPr>
        <w:t>содействовать работе в области стандартизации не относящихся к радио аспектов систем IMT для вертикально ориентированных отраслей, таких как интеллектуальное производство, а также повышения энергоэффективности и уменьшения сложности сетей</w:t>
      </w:r>
      <w:r w:rsidRPr="00EB30F2">
        <w:rPr>
          <w:lang w:val="ru-RU" w:eastAsia="ja-JP"/>
        </w:rPr>
        <w:t>,</w:t>
      </w:r>
    </w:p>
    <w:p w14:paraId="7785EFB6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поручает 2-й Исследовательской комиссии Сектора стандартизации электросвязи МСЭ</w:t>
      </w:r>
    </w:p>
    <w:p w14:paraId="684A0B88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продолжить исследования по направлениям деятельности в области стандартизации не связанных с радио аспектов управления сетями IMT,</w:t>
      </w:r>
    </w:p>
    <w:p w14:paraId="2FAABCE3" w14:textId="77777777" w:rsidR="00DF7914" w:rsidRPr="00EB30F2" w:rsidRDefault="00DF7914" w:rsidP="00DF7914">
      <w:pPr>
        <w:rPr>
          <w:lang w:val="ru-RU"/>
        </w:rPr>
      </w:pPr>
      <w:r w:rsidRPr="00EB30F2">
        <w:rPr>
          <w:lang w:val="ru-RU"/>
        </w:rPr>
        <w:br w:type="page"/>
      </w:r>
    </w:p>
    <w:p w14:paraId="7BA94854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lastRenderedPageBreak/>
        <w:t>поручает 3-й Исследовательской комиссии Сектора стандартизации электросвязи МСЭ</w:t>
      </w:r>
    </w:p>
    <w:p w14:paraId="2848BC3F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рассматривать проводимые в МСЭ-Т исследования, касающиеся, в том числе, регуляторных и экономических вопросов, которые связаны с системами IMT, в рамках своего мандата,</w:t>
      </w:r>
    </w:p>
    <w:p w14:paraId="096A8EF0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поручает 5-й Исследовательской комиссии Сектора стандартизации электросвязи МСЭ</w:t>
      </w:r>
    </w:p>
    <w:p w14:paraId="57FA3CB1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продолжить исследования по направлениям деятельности в области стандартизации, связанной с экологическими требованиями IМТ,</w:t>
      </w:r>
    </w:p>
    <w:p w14:paraId="35F73249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поручает 11-й Исследовательской комиссии Сектора стандартизации электросвязи МСЭ</w:t>
      </w:r>
    </w:p>
    <w:p w14:paraId="6750E825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продолжать содействовать исследованиям по направлениям деятельности в области стандартизации не связанных с радио аспектов требований к сигнализации IMT, протоколов и структур, спецификаций, методик и возможностей тестирования, а также функциональной совместимости для систем IMT,</w:t>
      </w:r>
    </w:p>
    <w:p w14:paraId="25E6B42D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поручает 12-й Исследовательской комиссии Сектора стандартизации электросвязи МСЭ</w:t>
      </w:r>
    </w:p>
    <w:p w14:paraId="1E9AE8EF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продолжать содействовать исследованиям по направлениям деятельности в области стандартизации не связанных с радио аспектов услуг, качества обслуживания и оценки пользователем качества услуги систем IMT,</w:t>
      </w:r>
    </w:p>
    <w:p w14:paraId="37E6D059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поручает 13-й Исследовательской комиссии Сектора стандартизации электросвязи МСЭ</w:t>
      </w:r>
    </w:p>
    <w:p w14:paraId="2CD3B0AA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1</w:t>
      </w:r>
      <w:r w:rsidRPr="00EB30F2">
        <w:rPr>
          <w:lang w:val="ru-RU"/>
        </w:rPr>
        <w:tab/>
        <w:t>поддерживать и вести дорожную карту деятельности МСЭ-Т в области стандартизации (и продолжать стимулировать эту деятельность), в которую должны входить направления работы по стандартизации аспектов систем IMT, не относящихся к радио, и совместно использовать ее с соответствующими группами МСЭ-R и МСЭ-D и внешними организациями, например в рамках работы по координации, обеспечиваемой JCA-</w:t>
      </w:r>
      <w:r w:rsidRPr="00EB30F2">
        <w:rPr>
          <w:lang w:val="ru-RU" w:eastAsia="ja-JP"/>
        </w:rPr>
        <w:t>IMT2020</w:t>
      </w:r>
      <w:r w:rsidRPr="00EB30F2">
        <w:rPr>
          <w:lang w:val="ru-RU"/>
        </w:rPr>
        <w:t>;</w:t>
      </w:r>
    </w:p>
    <w:p w14:paraId="502D246D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2</w:t>
      </w:r>
      <w:r w:rsidRPr="00EB30F2">
        <w:rPr>
          <w:lang w:val="ru-RU"/>
        </w:rPr>
        <w:tab/>
        <w:t>поддерживать и обновлять на ежегодной основе Добавление к Рекомендациям МСЭ-Т, содержащее актуальную версию дорожной карты деятельности по стандартизации систем IMT;</w:t>
      </w:r>
    </w:p>
    <w:p w14:paraId="6EDB4C0D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3</w:t>
      </w:r>
      <w:r w:rsidRPr="00EB30F2">
        <w:rPr>
          <w:lang w:val="ru-RU"/>
        </w:rPr>
        <w:tab/>
        <w:t xml:space="preserve">продолжать содействовать исследованиям не связанных с радио аспектов требований к сетям систем IMT и архитектуры таких сетей, включая </w:t>
      </w:r>
      <w:proofErr w:type="spellStart"/>
      <w:r w:rsidRPr="00EB30F2">
        <w:rPr>
          <w:lang w:val="ru-RU"/>
        </w:rPr>
        <w:t>программизацию</w:t>
      </w:r>
      <w:proofErr w:type="spellEnd"/>
      <w:r w:rsidRPr="00EB30F2">
        <w:rPr>
          <w:lang w:val="ru-RU"/>
        </w:rPr>
        <w:t xml:space="preserve"> сетей (например, не относящиеся к радио аспекты облачных сетей радиодоступа, периферийных вычислений с множественным доступом и т. п), "нарезку" сетей, открытость возможностей сети, в том числе присоединение открытых сетей и предоставление возможностей, управление сетями и их оркестровку, конвергенцию фиксированной, подвижной и спутниковой связи, показатели работы сети, цифровые двойники, автономные сети, появляющиеся сетевые технологии и применение искусственного интеллекта машинного обучения;</w:t>
      </w:r>
    </w:p>
    <w:p w14:paraId="6E01827C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4</w:t>
      </w:r>
      <w:r w:rsidRPr="00EB30F2">
        <w:rPr>
          <w:lang w:val="ru-RU"/>
        </w:rPr>
        <w:tab/>
        <w:t>поддерживать JCA-</w:t>
      </w:r>
      <w:r w:rsidRPr="00EB30F2">
        <w:rPr>
          <w:lang w:val="ru-RU" w:eastAsia="ja-JP"/>
        </w:rPr>
        <w:t>IMT2020</w:t>
      </w:r>
      <w:r w:rsidRPr="00EB30F2">
        <w:rPr>
          <w:lang w:val="ru-RU"/>
        </w:rPr>
        <w:t xml:space="preserve"> и продолжать координировать деятельность по стандартизации систем IMT между всеми соответствующими исследовательскими комиссиями, оперативными группами и другими ОРС,</w:t>
      </w:r>
    </w:p>
    <w:p w14:paraId="1DBFF40E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поручает 15-й Исследовательской комиссии Сектора стандартизации электросвязи МСЭ</w:t>
      </w:r>
    </w:p>
    <w:p w14:paraId="68027654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продолжать содействовать исследованиям по направлениям деятельности в области стандартизации не связанных с радио аспектов транспортных сетей IMT (в частности, периферийных и транзитных сетей), включая требования к сетям, архитектуру, функции и показатели работы, характеристики, опорные технологии, управление и контроль, синхронизацию и т. п. для систем IMT,</w:t>
      </w:r>
    </w:p>
    <w:p w14:paraId="41826C07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поручает 17-й Исследовательской комиссии Сектора стандартизации электросвязи МСЭ</w:t>
      </w:r>
    </w:p>
    <w:p w14:paraId="43771784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1</w:t>
      </w:r>
      <w:r w:rsidRPr="00EB30F2">
        <w:rPr>
          <w:lang w:val="ru-RU"/>
        </w:rPr>
        <w:tab/>
        <w:t>продолжать содействовать исследованиям по направлениям деятельности в области стандартизации, связанной с безопасностью и надежностью оконечных устройств, сетей и приложений систем IMT;</w:t>
      </w:r>
    </w:p>
    <w:p w14:paraId="4ACE0E06" w14:textId="77777777" w:rsidR="0027743C" w:rsidRPr="00EB30F2" w:rsidRDefault="0027743C" w:rsidP="0027743C">
      <w:pPr>
        <w:rPr>
          <w:lang w:val="ru-RU" w:eastAsia="ja-JP"/>
        </w:rPr>
      </w:pPr>
      <w:r w:rsidRPr="00EB30F2">
        <w:rPr>
          <w:lang w:val="ru-RU"/>
        </w:rPr>
        <w:t>2</w:t>
      </w:r>
      <w:r w:rsidRPr="00EB30F2">
        <w:rPr>
          <w:lang w:val="ru-RU"/>
        </w:rPr>
        <w:tab/>
        <w:t>поддерживать дорожную карту стандартизации в области безопасности IMT;</w:t>
      </w:r>
    </w:p>
    <w:p w14:paraId="32550480" w14:textId="77777777" w:rsidR="00DF7914" w:rsidRPr="00EB30F2" w:rsidRDefault="00DF79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EB30F2">
        <w:rPr>
          <w:lang w:val="ru-RU"/>
        </w:rPr>
        <w:br w:type="page"/>
      </w:r>
    </w:p>
    <w:p w14:paraId="5DFCEBAC" w14:textId="17EB20C6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lastRenderedPageBreak/>
        <w:t>3</w:t>
      </w:r>
      <w:r w:rsidRPr="00EB30F2">
        <w:rPr>
          <w:lang w:val="ru-RU"/>
        </w:rPr>
        <w:tab/>
        <w:t>поощрять координацию и сотрудничество с МСЭ-R и другими ОРС, такими как рабочая группа 3 по системным аспектам (SA3) Проекта партнерства третьего поколения (3GPP), по аспектам безопасности и устойчивости систем IMT в ходе разработки соответствующих спецификаций или Рекомендаций МСЭ-T,</w:t>
      </w:r>
    </w:p>
    <w:p w14:paraId="4AEA0A1D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поручает 20-й Исследовательской комиссии Сектора стандартизации электросвязи МСЭ</w:t>
      </w:r>
    </w:p>
    <w:p w14:paraId="0F92D234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 xml:space="preserve">продолжать рассмотрение не связанных с радио аспектов IMT, касающихся требований стандартизации технологий интернета вещей, включая приложения </w:t>
      </w:r>
      <w:proofErr w:type="spellStart"/>
      <w:r w:rsidRPr="00EB30F2">
        <w:rPr>
          <w:lang w:val="ru-RU"/>
        </w:rPr>
        <w:t>IoT</w:t>
      </w:r>
      <w:proofErr w:type="spellEnd"/>
      <w:r w:rsidRPr="00EB30F2">
        <w:rPr>
          <w:lang w:val="ru-RU"/>
        </w:rPr>
        <w:t xml:space="preserve"> для "умных" устойчивых городов и сообществ,</w:t>
      </w:r>
    </w:p>
    <w:p w14:paraId="0E96DC4D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поручает 21-й Исследовательской комиссии Сектора стандартизации электросвязи МСЭ</w:t>
      </w:r>
    </w:p>
    <w:p w14:paraId="4C8E2D6B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рассмотреть соответствующее воздействие будущих систем мультимедиа в автотранспортных средствах на стандартизацию не относящихся к радио аспектов систем IMT,</w:t>
      </w:r>
    </w:p>
    <w:p w14:paraId="05714B99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поручает Директору Бюро стандартизации электросвязи</w:t>
      </w:r>
    </w:p>
    <w:p w14:paraId="666DEB5F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1</w:t>
      </w:r>
      <w:r w:rsidRPr="00EB30F2">
        <w:rPr>
          <w:lang w:val="ru-RU"/>
        </w:rPr>
        <w:tab/>
        <w:t>довести настоящую Резолюцию до сведения Директоров Бюро радиосвязи и Бюро развития электросвязи;</w:t>
      </w:r>
    </w:p>
    <w:p w14:paraId="21EB7D98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2</w:t>
      </w:r>
      <w:r w:rsidRPr="00EB30F2">
        <w:rPr>
          <w:lang w:val="ru-RU"/>
        </w:rPr>
        <w:tab/>
        <w:t>продолжать проводить семинары и семинары-практикумы по не связанным с радио аспектам IMT, стратегиям в области стандартизации, техническим решениям, опорным технологиям и сетевым приложениям, учитывая конкретные национальные и региональные требования, поощряя участие развивающихся стран в деятельности по стандартизации,</w:t>
      </w:r>
    </w:p>
    <w:p w14:paraId="623E0124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настоятельно рекомендует Директорам трех Бюро</w:t>
      </w:r>
    </w:p>
    <w:p w14:paraId="7FBEA282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1</w:t>
      </w:r>
      <w:r w:rsidRPr="00EB30F2">
        <w:rPr>
          <w:lang w:val="ru-RU"/>
        </w:rPr>
        <w:tab/>
        <w:t>изучать новые способы повышения эффективности работы МСЭ по вопросам IMT и рассмотреть возможность создания обсерватории для систем IMT, включая, при необходимости, разработку соответствующих руководящих указаний, принимая во внимание бюджетные ограничения;</w:t>
      </w:r>
    </w:p>
    <w:p w14:paraId="4F6D4CA9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2</w:t>
      </w:r>
      <w:r w:rsidRPr="00EB30F2">
        <w:rPr>
          <w:lang w:val="ru-RU"/>
        </w:rPr>
        <w:tab/>
        <w:t>содействовать проведению исследований по направлениям деятельности в области стандартизации, связанной с регуляторными и экономическими вопросами, имеющими отношение к учету не связанных с радио аспектов сценариев использования систем IMT, а также к стимулированию и поддержке роста рынка, инноваций, сотрудничества и инвестиций в инфраструктуру электросвязи/ИКТ;</w:t>
      </w:r>
    </w:p>
    <w:p w14:paraId="67A830C6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3</w:t>
      </w:r>
      <w:r w:rsidRPr="00EB30F2">
        <w:rPr>
          <w:lang w:val="ru-RU"/>
        </w:rPr>
        <w:tab/>
        <w:t>разработать руководство по экономическим факторам и устойчивости не связанных с радио аспектов развертывания систем IMT,</w:t>
      </w:r>
    </w:p>
    <w:p w14:paraId="3A6402CF" w14:textId="77777777" w:rsidR="0027743C" w:rsidRPr="00EB30F2" w:rsidRDefault="0027743C" w:rsidP="0027743C">
      <w:pPr>
        <w:pStyle w:val="Call"/>
        <w:rPr>
          <w:lang w:val="ru-RU"/>
        </w:rPr>
      </w:pPr>
      <w:r w:rsidRPr="00EB30F2">
        <w:rPr>
          <w:lang w:val="ru-RU"/>
        </w:rPr>
        <w:t>предлагает Государствам-Членам, Членам Сектора, Ассоциированным членам и Академическим организациям</w:t>
      </w:r>
    </w:p>
    <w:p w14:paraId="29CC81BD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1</w:t>
      </w:r>
      <w:r w:rsidRPr="00EB30F2">
        <w:rPr>
          <w:lang w:val="ru-RU"/>
        </w:rPr>
        <w:tab/>
        <w:t>активно участвовать в деятельности МСЭ-Т по стандартизации, разрабатывая Рекомендации по не связанным с радио аспектам систем IMT;</w:t>
      </w:r>
    </w:p>
    <w:p w14:paraId="2599EE87" w14:textId="77777777" w:rsidR="0027743C" w:rsidRPr="00EB30F2" w:rsidRDefault="0027743C" w:rsidP="0027743C">
      <w:pPr>
        <w:rPr>
          <w:lang w:val="ru-RU"/>
        </w:rPr>
      </w:pPr>
      <w:r w:rsidRPr="00EB30F2">
        <w:rPr>
          <w:lang w:val="ru-RU"/>
        </w:rPr>
        <w:t>2</w:t>
      </w:r>
      <w:r w:rsidRPr="00EB30F2">
        <w:rPr>
          <w:lang w:val="ru-RU"/>
        </w:rPr>
        <w:tab/>
        <w:t>представлять данные по не связанным с радио стратегиям в области стандартизации, опыту развития сетей, сценариям применения, эффективному развертыванию и эксплуатации, внедрению и передовому опыту эксплуатации систем IMT на соответствующих семинарах и семинарах-практикумах, особенно в развивающихся странах.</w:t>
      </w:r>
    </w:p>
    <w:p w14:paraId="15E2B632" w14:textId="77777777" w:rsidR="0027743C" w:rsidRPr="00EB30F2" w:rsidRDefault="0027743C" w:rsidP="0027743C">
      <w:pPr>
        <w:rPr>
          <w:lang w:val="ru-RU"/>
        </w:rPr>
      </w:pPr>
    </w:p>
    <w:p w14:paraId="7375E701" w14:textId="77777777" w:rsidR="00151BAA" w:rsidRPr="00EB30F2" w:rsidRDefault="00151BAA" w:rsidP="0027743C">
      <w:pPr>
        <w:rPr>
          <w:lang w:val="ru-RU"/>
        </w:rPr>
      </w:pPr>
    </w:p>
    <w:sectPr w:rsidR="00151BAA" w:rsidRPr="00EB30F2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50CF0B6A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E12A16" w:rsidRPr="00E12A16">
      <w:rPr>
        <w:noProof/>
        <w:szCs w:val="22"/>
        <w:lang w:val="en-US"/>
      </w:rPr>
      <w:t>92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3EC18D3B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E12A16" w:rsidRPr="00E12A16">
      <w:rPr>
        <w:noProof/>
        <w:szCs w:val="22"/>
        <w:lang w:val="en-US"/>
      </w:rPr>
      <w:t>92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73C3EBCE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E12A16" w:rsidRPr="00E12A16">
      <w:rPr>
        <w:noProof/>
        <w:szCs w:val="22"/>
        <w:lang w:val="en-US"/>
      </w:rPr>
      <w:t>92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184499BD" w14:textId="77777777" w:rsidR="0027743C" w:rsidRPr="00141A31" w:rsidRDefault="0027743C" w:rsidP="0027743C">
      <w:pPr>
        <w:pStyle w:val="FootnoteText"/>
      </w:pPr>
      <w:r w:rsidRPr="00141A31">
        <w:rPr>
          <w:rStyle w:val="FootnoteReference"/>
        </w:rPr>
        <w:t>1</w:t>
      </w:r>
      <w:r w:rsidRPr="00141A31">
        <w:t xml:space="preserve"> </w:t>
      </w:r>
      <w:r w:rsidRPr="00141A31">
        <w:tab/>
        <w:t xml:space="preserve">К </w:t>
      </w:r>
      <w:proofErr w:type="spellStart"/>
      <w:r w:rsidRPr="00141A31">
        <w:t>таковым</w:t>
      </w:r>
      <w:proofErr w:type="spellEnd"/>
      <w:r w:rsidRPr="00141A31">
        <w:t xml:space="preserve"> </w:t>
      </w:r>
      <w:proofErr w:type="spellStart"/>
      <w:r w:rsidRPr="00141A31">
        <w:t>относятся</w:t>
      </w:r>
      <w:proofErr w:type="spellEnd"/>
      <w:r w:rsidRPr="00141A31">
        <w:t xml:space="preserve"> </w:t>
      </w:r>
      <w:proofErr w:type="spellStart"/>
      <w:r w:rsidRPr="00141A31">
        <w:t>наименее</w:t>
      </w:r>
      <w:proofErr w:type="spellEnd"/>
      <w:r w:rsidRPr="00141A31">
        <w:t xml:space="preserve"> </w:t>
      </w:r>
      <w:proofErr w:type="spellStart"/>
      <w:r w:rsidRPr="00141A31">
        <w:t>развитые</w:t>
      </w:r>
      <w:proofErr w:type="spellEnd"/>
      <w:r w:rsidRPr="00141A31">
        <w:t xml:space="preserve"> </w:t>
      </w:r>
      <w:proofErr w:type="spellStart"/>
      <w:r w:rsidRPr="00141A31">
        <w:t>страны</w:t>
      </w:r>
      <w:proofErr w:type="spellEnd"/>
      <w:r w:rsidRPr="00141A31">
        <w:t xml:space="preserve">, </w:t>
      </w:r>
      <w:proofErr w:type="spellStart"/>
      <w:r w:rsidRPr="00141A31">
        <w:t>малые</w:t>
      </w:r>
      <w:proofErr w:type="spellEnd"/>
      <w:r w:rsidRPr="00141A31">
        <w:t xml:space="preserve"> </w:t>
      </w:r>
      <w:proofErr w:type="spellStart"/>
      <w:r w:rsidRPr="00141A31">
        <w:t>островные</w:t>
      </w:r>
      <w:proofErr w:type="spellEnd"/>
      <w:r w:rsidRPr="00141A31">
        <w:t xml:space="preserve"> </w:t>
      </w:r>
      <w:proofErr w:type="spellStart"/>
      <w:r w:rsidRPr="00141A31">
        <w:t>развивающиеся</w:t>
      </w:r>
      <w:proofErr w:type="spellEnd"/>
      <w:r w:rsidRPr="00141A31">
        <w:t xml:space="preserve"> </w:t>
      </w:r>
      <w:proofErr w:type="spellStart"/>
      <w:r w:rsidRPr="00141A31">
        <w:t>государства</w:t>
      </w:r>
      <w:proofErr w:type="spellEnd"/>
      <w:r w:rsidRPr="00141A31">
        <w:t xml:space="preserve">, </w:t>
      </w:r>
      <w:proofErr w:type="spellStart"/>
      <w:r w:rsidRPr="00141A31">
        <w:t>развивающиеся</w:t>
      </w:r>
      <w:proofErr w:type="spellEnd"/>
      <w:r w:rsidRPr="00141A31">
        <w:t xml:space="preserve"> </w:t>
      </w:r>
      <w:proofErr w:type="spellStart"/>
      <w:r w:rsidRPr="00141A31">
        <w:t>страны</w:t>
      </w:r>
      <w:proofErr w:type="spellEnd"/>
      <w:r w:rsidRPr="00141A31">
        <w:t xml:space="preserve">, </w:t>
      </w:r>
      <w:proofErr w:type="spellStart"/>
      <w:r w:rsidRPr="00141A31">
        <w:t>не</w:t>
      </w:r>
      <w:proofErr w:type="spellEnd"/>
      <w:r w:rsidRPr="00141A31">
        <w:t xml:space="preserve"> </w:t>
      </w:r>
      <w:proofErr w:type="spellStart"/>
      <w:r w:rsidRPr="00141A31">
        <w:t>имеющие</w:t>
      </w:r>
      <w:proofErr w:type="spellEnd"/>
      <w:r w:rsidRPr="00141A31">
        <w:t xml:space="preserve"> </w:t>
      </w:r>
      <w:proofErr w:type="spellStart"/>
      <w:r w:rsidRPr="00141A31">
        <w:t>выхода</w:t>
      </w:r>
      <w:proofErr w:type="spellEnd"/>
      <w:r w:rsidRPr="00141A31">
        <w:t xml:space="preserve"> к </w:t>
      </w:r>
      <w:proofErr w:type="spellStart"/>
      <w:r w:rsidRPr="00141A31">
        <w:t>морю</w:t>
      </w:r>
      <w:proofErr w:type="spellEnd"/>
      <w:r w:rsidRPr="00141A31">
        <w:t>, а </w:t>
      </w:r>
      <w:proofErr w:type="spellStart"/>
      <w:r w:rsidRPr="00141A31">
        <w:t>также</w:t>
      </w:r>
      <w:proofErr w:type="spellEnd"/>
      <w:r w:rsidRPr="00141A31">
        <w:t xml:space="preserve"> </w:t>
      </w:r>
      <w:proofErr w:type="spellStart"/>
      <w:r w:rsidRPr="00141A31">
        <w:t>страны</w:t>
      </w:r>
      <w:proofErr w:type="spellEnd"/>
      <w:r w:rsidRPr="00141A31">
        <w:t xml:space="preserve"> с </w:t>
      </w:r>
      <w:proofErr w:type="spellStart"/>
      <w:r w:rsidRPr="00141A31">
        <w:t>переходной</w:t>
      </w:r>
      <w:proofErr w:type="spellEnd"/>
      <w:r w:rsidRPr="00141A31">
        <w:t xml:space="preserve"> </w:t>
      </w:r>
      <w:proofErr w:type="spellStart"/>
      <w:r w:rsidRPr="00141A31">
        <w:t>экономикой</w:t>
      </w:r>
      <w:proofErr w:type="spellEnd"/>
      <w:r w:rsidRPr="00141A3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29A6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247D"/>
    <w:rsid w:val="001D71B9"/>
    <w:rsid w:val="001F3813"/>
    <w:rsid w:val="00211056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7743C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B31B5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E7167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7552E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05AE"/>
    <w:rsid w:val="00D94D9E"/>
    <w:rsid w:val="00DA7D60"/>
    <w:rsid w:val="00DB2AF8"/>
    <w:rsid w:val="00DB5592"/>
    <w:rsid w:val="00DE48B4"/>
    <w:rsid w:val="00DF7914"/>
    <w:rsid w:val="00E03ABC"/>
    <w:rsid w:val="00E12A16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0F2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58</TotalTime>
  <Pages>7</Pages>
  <Words>1997</Words>
  <Characters>14313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16278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92 (Пересм. Нью-Дели, 2024 г.) Активизация деятельности Сектора стандартизации электросвязи МСЭ в области стандартизации не связанных с радио аспектов  Международной подвижной электросвязи</dc:title>
  <dc:subject>WORLD TELECOMMUNICATION STANDARDIZATION ASSEMBLY - Florianópolis, 5-14 October 2004</dc:subject>
  <dc:creator>ITU-T</dc:creator>
  <cp:keywords/>
  <dc:description/>
  <cp:lastModifiedBy>Berdyeva, Elena</cp:lastModifiedBy>
  <cp:revision>42</cp:revision>
  <cp:lastPrinted>2024-11-27T09:36:00Z</cp:lastPrinted>
  <dcterms:created xsi:type="dcterms:W3CDTF">2024-09-24T12:18:00Z</dcterms:created>
  <dcterms:modified xsi:type="dcterms:W3CDTF">2024-11-27T09:37:00Z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