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2F639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2F639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51262F1D" w14:textId="39DD4003" w:rsidR="00EA2A26" w:rsidRPr="00251518" w:rsidRDefault="00347EE0" w:rsidP="0078706B">
            <w:pPr>
              <w:pStyle w:val="BodyText"/>
              <w:spacing w:before="440" w:line="240" w:lineRule="auto"/>
              <w:jc w:val="left"/>
              <w:rPr>
                <w:lang w:val="es-ES"/>
              </w:rPr>
            </w:pPr>
            <w:r w:rsidRPr="00251518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251518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4876CD">
              <w:rPr>
                <w:spacing w:val="-6"/>
                <w:sz w:val="44"/>
                <w:szCs w:val="44"/>
                <w:lang w:val="es-ES"/>
              </w:rPr>
              <w:t>9</w:t>
            </w:r>
            <w:r w:rsidR="0078706B">
              <w:rPr>
                <w:spacing w:val="-6"/>
                <w:sz w:val="44"/>
                <w:szCs w:val="44"/>
                <w:lang w:val="es-ES"/>
              </w:rPr>
              <w:t>1</w:t>
            </w:r>
            <w:r w:rsidR="00845E8E" w:rsidRPr="00251518">
              <w:rPr>
                <w:spacing w:val="-6"/>
                <w:sz w:val="44"/>
                <w:szCs w:val="44"/>
                <w:lang w:val="es-ES"/>
              </w:rPr>
              <w:t xml:space="preserve"> –</w:t>
            </w:r>
            <w:r w:rsidR="00391AD6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78706B" w:rsidRPr="0078706B">
              <w:rPr>
                <w:spacing w:val="-6"/>
                <w:sz w:val="44"/>
                <w:szCs w:val="44"/>
                <w:lang w:val="es-ES"/>
              </w:rPr>
              <w:t>Mejora del acceso a un repositorio electrónico de información sobre planes de numeración publicados por el Sector de Normalización de las Telecomunicaciones de la UIT</w:t>
            </w:r>
          </w:p>
        </w:tc>
      </w:tr>
    </w:tbl>
    <w:p w14:paraId="7800F3B2" w14:textId="77777777" w:rsidR="00EA2A26" w:rsidRPr="0025151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51518" w:rsidRDefault="00EA2A26" w:rsidP="00EA2A26">
      <w:pPr>
        <w:jc w:val="left"/>
        <w:rPr>
          <w:lang w:val="es-ES"/>
        </w:rPr>
        <w:sectPr w:rsidR="00EA2A26" w:rsidRPr="0025151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DC1CCA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DC1CCA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076757D" w14:textId="77777777" w:rsidR="00B5549E" w:rsidRPr="008B7E09" w:rsidRDefault="00B5549E" w:rsidP="000E4393">
      <w:pPr>
        <w:spacing w:line="240" w:lineRule="exact"/>
        <w:jc w:val="center"/>
        <w:rPr>
          <w:sz w:val="20"/>
          <w:lang w:val="es-ES"/>
        </w:rPr>
      </w:pPr>
    </w:p>
    <w:p w14:paraId="7D9C158F" w14:textId="77777777" w:rsidR="00CD2832" w:rsidRPr="008B7E09" w:rsidRDefault="00CD2832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64E6E8F0" w:rsidR="00AA1264" w:rsidRDefault="00347EE0" w:rsidP="00AA1264">
      <w:pPr>
        <w:pStyle w:val="ResNo"/>
        <w:rPr>
          <w:lang w:val="es-ES"/>
        </w:rPr>
      </w:pPr>
      <w:r w:rsidRPr="00DD5D50">
        <w:rPr>
          <w:lang w:val="es-ES"/>
        </w:rPr>
        <w:lastRenderedPageBreak/>
        <w:t>RESOLUCIÓN</w:t>
      </w:r>
      <w:r w:rsidR="00AA1264" w:rsidRPr="00DD5D50">
        <w:rPr>
          <w:lang w:val="es-ES"/>
        </w:rPr>
        <w:t xml:space="preserve"> </w:t>
      </w:r>
      <w:r w:rsidR="004876CD">
        <w:rPr>
          <w:rStyle w:val="href"/>
          <w:lang w:val="es-ES"/>
        </w:rPr>
        <w:t>9</w:t>
      </w:r>
      <w:r w:rsidR="0078706B">
        <w:rPr>
          <w:rStyle w:val="href"/>
          <w:lang w:val="es-ES"/>
        </w:rPr>
        <w:t>1</w:t>
      </w:r>
      <w:r w:rsidR="00AA1264" w:rsidRPr="00DD5D50">
        <w:rPr>
          <w:lang w:val="es-ES"/>
        </w:rPr>
        <w:t xml:space="preserve"> </w:t>
      </w:r>
      <w:r w:rsidR="00F008B8">
        <w:rPr>
          <w:caps w:val="0"/>
          <w:lang w:val="es-ES"/>
        </w:rPr>
        <w:t>(</w:t>
      </w:r>
      <w:r w:rsidR="00496EA5">
        <w:rPr>
          <w:caps w:val="0"/>
          <w:lang w:val="es-ES"/>
        </w:rPr>
        <w:t>Rev. </w:t>
      </w:r>
      <w:r w:rsidR="00DD5D50" w:rsidRPr="005C2A3C">
        <w:rPr>
          <w:caps w:val="0"/>
          <w:lang w:val="es-ES"/>
        </w:rPr>
        <w:t>Nueva Delhi</w:t>
      </w:r>
      <w:r w:rsidR="00DD5D50" w:rsidRPr="005C2A3C">
        <w:rPr>
          <w:lang w:val="es-ES"/>
        </w:rPr>
        <w:t>, 2024</w:t>
      </w:r>
      <w:r w:rsidR="00DD5D50">
        <w:rPr>
          <w:lang w:val="es-ES"/>
        </w:rPr>
        <w:t>)</w:t>
      </w:r>
    </w:p>
    <w:p w14:paraId="49EBA3B5" w14:textId="77777777" w:rsidR="0078706B" w:rsidRPr="0014777C" w:rsidRDefault="0078706B" w:rsidP="00C42673">
      <w:pPr>
        <w:pStyle w:val="Restitle"/>
        <w:rPr>
          <w:lang w:val="es-ES_tradnl"/>
        </w:rPr>
      </w:pPr>
      <w:bookmarkStart w:id="2" w:name="_Toc111990555"/>
      <w:r w:rsidRPr="0014777C">
        <w:rPr>
          <w:lang w:val="es-ES_tradnl"/>
        </w:rPr>
        <w:t xml:space="preserve">Mejora del acceso a un repositorio electrónico de información sobre planes de numeración publicados por el Sector de Normalización </w:t>
      </w:r>
      <w:r w:rsidRPr="0014777C">
        <w:rPr>
          <w:lang w:val="es-ES_tradnl"/>
        </w:rPr>
        <w:br/>
        <w:t>de las Telecomunicaciones de la UIT</w:t>
      </w:r>
      <w:bookmarkEnd w:id="2"/>
    </w:p>
    <w:p w14:paraId="6FF44066" w14:textId="77777777" w:rsidR="0078706B" w:rsidRPr="0014777C" w:rsidRDefault="0078706B" w:rsidP="00C42673">
      <w:pPr>
        <w:pStyle w:val="Resref"/>
        <w:rPr>
          <w:bCs/>
          <w:lang w:val="es-ES_tradnl"/>
        </w:rPr>
      </w:pPr>
      <w:r w:rsidRPr="0014777C">
        <w:rPr>
          <w:lang w:val="es-ES_tradnl"/>
        </w:rPr>
        <w:t>(Hammamet, 2016; Ginebra, 2022; Nueva Delhi, 2024)</w:t>
      </w:r>
    </w:p>
    <w:p w14:paraId="08578D9B" w14:textId="77777777" w:rsidR="0078706B" w:rsidRPr="0014777C" w:rsidRDefault="0078706B" w:rsidP="00C42673">
      <w:pPr>
        <w:pStyle w:val="Normalaftertitle01"/>
        <w:rPr>
          <w:lang w:val="es-ES_tradnl"/>
        </w:rPr>
      </w:pPr>
      <w:r w:rsidRPr="0014777C">
        <w:rPr>
          <w:lang w:val="es-ES_tradnl"/>
        </w:rPr>
        <w:t>La Asamblea Mundial de Normalización de las Telecomunicaciones (Nueva Delhi, 2024),</w:t>
      </w:r>
    </w:p>
    <w:p w14:paraId="21E03339" w14:textId="77777777" w:rsidR="0078706B" w:rsidRPr="0014777C" w:rsidRDefault="0078706B" w:rsidP="00C42673">
      <w:pPr>
        <w:pStyle w:val="Call"/>
        <w:rPr>
          <w:lang w:val="es-ES_tradnl"/>
        </w:rPr>
      </w:pPr>
      <w:r w:rsidRPr="0014777C">
        <w:rPr>
          <w:lang w:val="es-ES_tradnl"/>
        </w:rPr>
        <w:t>considerando</w:t>
      </w:r>
    </w:p>
    <w:p w14:paraId="3119E939" w14:textId="77777777" w:rsidR="0078706B" w:rsidRPr="0014777C" w:rsidRDefault="0078706B" w:rsidP="00C42673">
      <w:pPr>
        <w:rPr>
          <w:i/>
          <w:iCs/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la Oficina de Normalización de las Telecomunicaciones (TSB) facilita el acceso electrónico a información sobre determinados planes de numeración;</w:t>
      </w:r>
    </w:p>
    <w:p w14:paraId="4A150F8A" w14:textId="77777777" w:rsidR="0078706B" w:rsidRPr="0014777C" w:rsidRDefault="0078706B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mejorar el acceso electrónico redundaría en beneficio de los Estados Miembros y los operadores de telecomunicaciones internacionales o empresas de explotación, por cuanto contribuiría a aumentar la fiabilidad de las redes de telecomunicaciones y los servicios que se ofrecen a través de éstas y a garantizar los ingresos de los operadores y podría ayudar en la lucha contra la utilización indebida de recursos de numeración de las telecomunicaciones internacionales,</w:t>
      </w:r>
    </w:p>
    <w:p w14:paraId="25020730" w14:textId="77777777" w:rsidR="0078706B" w:rsidRPr="0014777C" w:rsidRDefault="0078706B" w:rsidP="00C42673">
      <w:pPr>
        <w:pStyle w:val="Call"/>
        <w:rPr>
          <w:lang w:val="es-ES_tradnl"/>
        </w:rPr>
      </w:pPr>
      <w:r w:rsidRPr="0014777C">
        <w:rPr>
          <w:lang w:val="es-ES_tradnl"/>
        </w:rPr>
        <w:t>observando</w:t>
      </w:r>
    </w:p>
    <w:p w14:paraId="59DA7F0C" w14:textId="77777777" w:rsidR="0078706B" w:rsidRPr="0014777C" w:rsidRDefault="0078706B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el Sector de Normalización de las Telecomunicaciones de la UIT (UIT-T) ha de desempeñar un papel fundamental en el desarrollo y el mantenimiento del repositorio electrónico mencionado en la presente Resolución;</w:t>
      </w:r>
    </w:p>
    <w:p w14:paraId="2E48DB8F" w14:textId="77777777" w:rsidR="0078706B" w:rsidRPr="0014777C" w:rsidRDefault="0078706B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es necesario estudiar y definir los requisitos para la inclusión de información en dicho repositorio electrónico;</w:t>
      </w:r>
    </w:p>
    <w:p w14:paraId="3C1BBB84" w14:textId="77777777" w:rsidR="0078706B" w:rsidRPr="0014777C" w:rsidRDefault="0078706B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en la Recomendación UIT-T E.129 se invita a todos los organismos reguladores nacionales a notificar a la UIT sus planes de numeración nacional (recursos adjudicados y atribuidos);</w:t>
      </w:r>
    </w:p>
    <w:p w14:paraId="0EF58422" w14:textId="77777777" w:rsidR="0078706B" w:rsidRPr="0014777C" w:rsidRDefault="0078706B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que todos los organismos reglamentarios nacionales son responsables de la información sobre los planes de numeración;</w:t>
      </w:r>
    </w:p>
    <w:p w14:paraId="7BDAC345" w14:textId="77777777" w:rsidR="0078706B" w:rsidRPr="0014777C" w:rsidRDefault="0078706B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la amplia demanda de recursos de numeración, denominación, direccionamiento e identificación (NDDI) a raíz de la llegada de nuevas tecnologías y aplicaciones (por ejemplo, Internet de las cosas, comunicaciones entre máquinas y redes y servicios innovadores a nivel mundial);</w:t>
      </w:r>
    </w:p>
    <w:p w14:paraId="128233BE" w14:textId="77777777" w:rsidR="0078706B" w:rsidRPr="0014777C" w:rsidRDefault="0078706B" w:rsidP="00C42673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>que la fiabilidad de la información sobre los recursos NDDI reservados, asignados y atribuidos en cada país reviste gran importancia para garantizar la interconectividad de las telecomunicaciones a escala mundial,</w:t>
      </w:r>
    </w:p>
    <w:p w14:paraId="2807B54D" w14:textId="77777777" w:rsidR="0078706B" w:rsidRPr="0014777C" w:rsidRDefault="0078706B" w:rsidP="00C42673">
      <w:pPr>
        <w:pStyle w:val="Call"/>
        <w:rPr>
          <w:lang w:val="es-ES_tradnl"/>
        </w:rPr>
      </w:pPr>
      <w:r w:rsidRPr="0014777C">
        <w:rPr>
          <w:lang w:val="es-ES_tradnl"/>
        </w:rPr>
        <w:t>resuelve encargar a la Comisión de Estudio 2 del Sector de Normalización de las Telecomunicaciones de la UIT</w:t>
      </w:r>
    </w:p>
    <w:p w14:paraId="4AC30411" w14:textId="77777777" w:rsidR="0078706B" w:rsidRPr="0014777C" w:rsidRDefault="0078706B" w:rsidP="00C42673">
      <w:pPr>
        <w:rPr>
          <w:lang w:val="es-ES_tradnl"/>
        </w:rPr>
      </w:pPr>
      <w:r w:rsidRPr="0014777C">
        <w:rPr>
          <w:lang w:val="es-ES_tradnl"/>
        </w:rPr>
        <w:t>que estudie esta cuestión sobre la base de las contribuciones recibidas y de la información procedente de la TSB y que organice los trabajos necesarios para determinar los requisitos del acceso electrónico al repositorio de recursos de numeración reservados, asignados o atribuidos a cada operador/proveedor de servicios (en la medida de lo posible) en cada país, incluida la presentación de los planes nacionales de numeración E.164 de conformidad con la Recomendación UIT-T E.129 y los recursos de numeración internacionales asignados por el Director de la TSB,</w:t>
      </w:r>
    </w:p>
    <w:p w14:paraId="367FE9C0" w14:textId="77777777" w:rsidR="0078706B" w:rsidRPr="0014777C" w:rsidRDefault="0078706B" w:rsidP="1C7B5B94">
      <w:pPr>
        <w:pStyle w:val="Call"/>
        <w:rPr>
          <w:lang w:val="es-ES"/>
        </w:rPr>
      </w:pPr>
      <w:r w:rsidRPr="1C7B5B94">
        <w:rPr>
          <w:lang w:val="es-ES"/>
        </w:rPr>
        <w:lastRenderedPageBreak/>
        <w:t>encarga al Director de la Oficina de Normalización de las Telecomunicaciones</w:t>
      </w:r>
    </w:p>
    <w:p w14:paraId="643741F7" w14:textId="77777777" w:rsidR="0078706B" w:rsidRPr="0014777C" w:rsidRDefault="0078706B" w:rsidP="00C4267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que preste la asistencia necesaria a los Miembros de la UIT proporcionando datos pormenorizados sobre recursos de información existentes relativos a la presentación de planes nacionales de numeración y recursos de numeración internacionales;</w:t>
      </w:r>
    </w:p>
    <w:p w14:paraId="36EA8B0E" w14:textId="77777777" w:rsidR="0078706B" w:rsidRPr="0014777C" w:rsidRDefault="0078706B" w:rsidP="00C4267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que, de acuerdo con los resultados de los estudios de la Comisión de Estudio 2 del UIT</w:t>
      </w:r>
      <w:r w:rsidRPr="0014777C">
        <w:rPr>
          <w:lang w:val="es-ES_tradnl"/>
        </w:rPr>
        <w:noBreakHyphen/>
        <w:t>T antes mencionados, organice y mantenga el repositorio electrónico descrito anteriormente, dentro de los límites del presupuesto atribuido,</w:t>
      </w:r>
    </w:p>
    <w:p w14:paraId="5EE56842" w14:textId="77777777" w:rsidR="0078706B" w:rsidRPr="0014777C" w:rsidRDefault="0078706B" w:rsidP="00C42673">
      <w:pPr>
        <w:pStyle w:val="Call"/>
        <w:rPr>
          <w:lang w:val="es-ES_tradnl"/>
        </w:rPr>
      </w:pPr>
      <w:r w:rsidRPr="0014777C">
        <w:rPr>
          <w:lang w:val="es-ES_tradnl"/>
        </w:rPr>
        <w:t>invita a los Estados Miembros, los Miembros de Sector, Asociados e Instituciones Académicas</w:t>
      </w:r>
    </w:p>
    <w:p w14:paraId="21DD9374" w14:textId="77777777" w:rsidR="0078706B" w:rsidRPr="0014777C" w:rsidRDefault="0078706B" w:rsidP="00C4267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a presentar contribuciones a las reuniones de la Comisión de Estudio 2 del UIT-T y el Grupo Asesor de Normalización de las Telecomunicaciones (GANT), con miras a organizar dicho repositorio electrónico;</w:t>
      </w:r>
    </w:p>
    <w:p w14:paraId="4C6E9D0F" w14:textId="38825593" w:rsidR="0078706B" w:rsidRPr="0014777C" w:rsidRDefault="0078706B" w:rsidP="00C4267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a presentar contribuciones a las reuniones de la Comisión de Estudio 2 del UIT-T y el GANT sobre los requisitos para el acceso electrónico al repositorio de recursos de numeración nacional que gestiona el</w:t>
      </w:r>
      <w:r>
        <w:rPr>
          <w:lang w:val="es-ES_tradnl"/>
        </w:rPr>
        <w:t> </w:t>
      </w:r>
      <w:r w:rsidRPr="0014777C"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T,</w:t>
      </w:r>
    </w:p>
    <w:p w14:paraId="4A8C3312" w14:textId="77777777" w:rsidR="0078706B" w:rsidRPr="0014777C" w:rsidRDefault="0078706B" w:rsidP="00C42673">
      <w:pPr>
        <w:pStyle w:val="Call"/>
        <w:rPr>
          <w:lang w:val="es-ES_tradnl"/>
        </w:rPr>
      </w:pPr>
      <w:r w:rsidRPr="0014777C">
        <w:rPr>
          <w:lang w:val="es-ES_tradnl"/>
        </w:rPr>
        <w:t>alienta a los Estados Miembros</w:t>
      </w:r>
    </w:p>
    <w:p w14:paraId="7F902595" w14:textId="77777777" w:rsidR="0078706B" w:rsidRPr="0014777C" w:rsidRDefault="0078706B" w:rsidP="00C42673">
      <w:pPr>
        <w:rPr>
          <w:lang w:val="es-ES_tradnl"/>
        </w:rPr>
      </w:pPr>
      <w:r w:rsidRPr="0014777C">
        <w:rPr>
          <w:lang w:val="es-ES_tradnl"/>
        </w:rPr>
        <w:t>a que, de conformidad con las Recomendaciones UIT-T pertinentes, faciliten información sobre sus planes nacionales de numeración, y enmiendas a los mismos, de forma oportuna y con arreglo al formato establecido en la Recomendación UIT-T E.129, para velar por que el repositorio electrónico esté en orden y se mantenga al día.</w:t>
      </w:r>
    </w:p>
    <w:p w14:paraId="57FEC27C" w14:textId="77777777" w:rsidR="0078706B" w:rsidRDefault="0078706B" w:rsidP="0078706B">
      <w:pPr>
        <w:rPr>
          <w:lang w:val="es-ES_tradnl"/>
        </w:rPr>
      </w:pPr>
    </w:p>
    <w:p w14:paraId="473744A4" w14:textId="77777777" w:rsidR="0078706B" w:rsidRDefault="0078706B" w:rsidP="0078706B">
      <w:pPr>
        <w:rPr>
          <w:lang w:val="es-ES_tradnl"/>
        </w:rPr>
      </w:pPr>
    </w:p>
    <w:p w14:paraId="6EF9DE81" w14:textId="77777777" w:rsidR="0078706B" w:rsidRDefault="0078706B" w:rsidP="0078706B">
      <w:pPr>
        <w:rPr>
          <w:lang w:val="es-ES_tradnl"/>
        </w:rPr>
      </w:pPr>
    </w:p>
    <w:p w14:paraId="63270F3D" w14:textId="77777777" w:rsidR="0078706B" w:rsidRDefault="0078706B" w:rsidP="0078706B">
      <w:pPr>
        <w:rPr>
          <w:lang w:val="es-ES_tradnl"/>
        </w:rPr>
      </w:pPr>
    </w:p>
    <w:p w14:paraId="4AB95523" w14:textId="77777777" w:rsidR="0078706B" w:rsidRDefault="0078706B" w:rsidP="0078706B">
      <w:pPr>
        <w:rPr>
          <w:lang w:val="es-ES_tradnl"/>
        </w:rPr>
      </w:pPr>
    </w:p>
    <w:p w14:paraId="7E0AC269" w14:textId="77777777" w:rsidR="0078706B" w:rsidRDefault="0078706B" w:rsidP="0078706B">
      <w:pPr>
        <w:rPr>
          <w:lang w:val="es-ES_tradnl"/>
        </w:rPr>
      </w:pPr>
    </w:p>
    <w:p w14:paraId="4C314F59" w14:textId="77777777" w:rsidR="0078706B" w:rsidRDefault="0078706B" w:rsidP="0078706B">
      <w:pPr>
        <w:rPr>
          <w:lang w:val="es-ES_tradnl"/>
        </w:rPr>
      </w:pPr>
    </w:p>
    <w:p w14:paraId="505CE7D9" w14:textId="77777777" w:rsidR="0078706B" w:rsidRDefault="0078706B" w:rsidP="0078706B">
      <w:pPr>
        <w:rPr>
          <w:lang w:val="es-ES_tradnl"/>
        </w:rPr>
      </w:pPr>
    </w:p>
    <w:p w14:paraId="47B52380" w14:textId="77777777" w:rsidR="0078706B" w:rsidRDefault="0078706B" w:rsidP="0078706B">
      <w:pPr>
        <w:rPr>
          <w:lang w:val="es-ES_tradnl"/>
        </w:rPr>
      </w:pPr>
    </w:p>
    <w:p w14:paraId="60260485" w14:textId="77777777" w:rsidR="0078706B" w:rsidRDefault="0078706B" w:rsidP="0078706B">
      <w:pPr>
        <w:rPr>
          <w:lang w:val="es-ES_tradnl"/>
        </w:rPr>
      </w:pPr>
    </w:p>
    <w:p w14:paraId="01FF7E49" w14:textId="77777777" w:rsidR="0078706B" w:rsidRDefault="0078706B" w:rsidP="0078706B">
      <w:pPr>
        <w:rPr>
          <w:lang w:val="es-ES_tradnl"/>
        </w:rPr>
      </w:pPr>
    </w:p>
    <w:p w14:paraId="4ABCE0AE" w14:textId="77777777" w:rsidR="0078706B" w:rsidRDefault="0078706B" w:rsidP="0078706B">
      <w:pPr>
        <w:rPr>
          <w:lang w:val="es-ES_tradnl"/>
        </w:rPr>
      </w:pPr>
    </w:p>
    <w:p w14:paraId="70CB87AC" w14:textId="77777777" w:rsidR="0078706B" w:rsidRDefault="0078706B" w:rsidP="0078706B">
      <w:pPr>
        <w:rPr>
          <w:lang w:val="es-ES_tradnl"/>
        </w:rPr>
      </w:pPr>
    </w:p>
    <w:p w14:paraId="3E236E41" w14:textId="77777777" w:rsidR="0078706B" w:rsidRDefault="0078706B" w:rsidP="0078706B">
      <w:pPr>
        <w:rPr>
          <w:lang w:val="es-ES_tradnl"/>
        </w:rPr>
      </w:pPr>
    </w:p>
    <w:p w14:paraId="06F597CA" w14:textId="77777777" w:rsidR="0078706B" w:rsidRDefault="0078706B" w:rsidP="0078706B">
      <w:pPr>
        <w:rPr>
          <w:lang w:val="es-ES_tradnl"/>
        </w:rPr>
      </w:pPr>
    </w:p>
    <w:p w14:paraId="15E583AB" w14:textId="77777777" w:rsidR="0078706B" w:rsidRPr="00B87CDD" w:rsidRDefault="0078706B" w:rsidP="0078706B">
      <w:pPr>
        <w:rPr>
          <w:lang w:val="es-ES_tradnl"/>
        </w:rPr>
      </w:pPr>
    </w:p>
    <w:p w14:paraId="42DE0EC8" w14:textId="77777777" w:rsidR="0078706B" w:rsidRPr="0014777C" w:rsidRDefault="0078706B" w:rsidP="0078706B">
      <w:pPr>
        <w:rPr>
          <w:lang w:val="es-ES_tradnl"/>
        </w:rPr>
      </w:pPr>
    </w:p>
    <w:sectPr w:rsidR="0078706B" w:rsidRPr="0014777C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562D" w14:textId="77777777" w:rsidR="00AC4BB8" w:rsidRDefault="00AC4BB8">
      <w:r>
        <w:separator/>
      </w:r>
    </w:p>
  </w:endnote>
  <w:endnote w:type="continuationSeparator" w:id="0">
    <w:p w14:paraId="0DE9726D" w14:textId="77777777" w:rsidR="00AC4BB8" w:rsidRDefault="00A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8C0A" w14:textId="77777777" w:rsidR="002F6393" w:rsidRDefault="002F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E5D5" w14:textId="77777777" w:rsidR="002F6393" w:rsidRDefault="002F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8F78" w14:textId="77777777" w:rsidR="002F6393" w:rsidRDefault="002F63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E51A6F0" w:rsidR="00C72AF4" w:rsidRPr="00D50046" w:rsidRDefault="00700AE2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AMNT-24 – Resolución </w:t>
    </w:r>
    <w:r w:rsidR="00D50046">
      <w:fldChar w:fldCharType="begin"/>
    </w:r>
    <w:r w:rsidR="00D50046">
      <w:rPr>
        <w:lang w:val="en-US"/>
      </w:rPr>
      <w:instrText>styleref href</w:instrText>
    </w:r>
    <w:r w:rsidR="00D50046">
      <w:fldChar w:fldCharType="separate"/>
    </w:r>
    <w:r w:rsidR="000A7F21">
      <w:rPr>
        <w:noProof/>
        <w:lang w:val="en-US"/>
      </w:rPr>
      <w:t>91</w:t>
    </w:r>
    <w:r w:rsidR="00D50046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F5A429B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F6393">
      <w:rPr>
        <w:lang w:val="en-US"/>
      </w:rPr>
      <w:t xml:space="preserve">AMNT-24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A7F21">
      <w:rPr>
        <w:noProof/>
        <w:lang w:val="en-US"/>
      </w:rPr>
      <w:t>91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75A052C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r w:rsidR="00347EE0">
      <w:rPr>
        <w:lang w:val="en-US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A7F21">
      <w:rPr>
        <w:noProof/>
        <w:lang w:val="en-US"/>
      </w:rPr>
      <w:t>91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91F0" w14:textId="77777777" w:rsidR="00AC4BB8" w:rsidRDefault="00AC4BB8">
      <w:r>
        <w:t>____________________</w:t>
      </w:r>
    </w:p>
  </w:footnote>
  <w:footnote w:type="continuationSeparator" w:id="0">
    <w:p w14:paraId="109843B8" w14:textId="77777777" w:rsidR="00AC4BB8" w:rsidRDefault="00AC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3FF" w14:textId="77777777" w:rsidR="002F6393" w:rsidRDefault="002F6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40FA"/>
    <w:rsid w:val="00006C17"/>
    <w:rsid w:val="00011D78"/>
    <w:rsid w:val="00017B45"/>
    <w:rsid w:val="00023463"/>
    <w:rsid w:val="000308B9"/>
    <w:rsid w:val="0003253E"/>
    <w:rsid w:val="000328F5"/>
    <w:rsid w:val="0003503D"/>
    <w:rsid w:val="0004155C"/>
    <w:rsid w:val="00051442"/>
    <w:rsid w:val="00065F07"/>
    <w:rsid w:val="00070490"/>
    <w:rsid w:val="00077A2D"/>
    <w:rsid w:val="00082DD3"/>
    <w:rsid w:val="00084AD7"/>
    <w:rsid w:val="000A381D"/>
    <w:rsid w:val="000A7F21"/>
    <w:rsid w:val="000B071B"/>
    <w:rsid w:val="000B3DBF"/>
    <w:rsid w:val="000B47CD"/>
    <w:rsid w:val="000B5A36"/>
    <w:rsid w:val="000C22AE"/>
    <w:rsid w:val="000C7B81"/>
    <w:rsid w:val="000D378F"/>
    <w:rsid w:val="000D3CE4"/>
    <w:rsid w:val="000D5219"/>
    <w:rsid w:val="000D6C83"/>
    <w:rsid w:val="000D6DAE"/>
    <w:rsid w:val="000E4393"/>
    <w:rsid w:val="00111EA8"/>
    <w:rsid w:val="00117D80"/>
    <w:rsid w:val="001309FB"/>
    <w:rsid w:val="0017525B"/>
    <w:rsid w:val="001762A1"/>
    <w:rsid w:val="001776E1"/>
    <w:rsid w:val="00184AAF"/>
    <w:rsid w:val="001A21DC"/>
    <w:rsid w:val="001B4A76"/>
    <w:rsid w:val="001C0F52"/>
    <w:rsid w:val="001C5240"/>
    <w:rsid w:val="001C604C"/>
    <w:rsid w:val="001E064E"/>
    <w:rsid w:val="001F3813"/>
    <w:rsid w:val="00211E22"/>
    <w:rsid w:val="002178BA"/>
    <w:rsid w:val="002204D5"/>
    <w:rsid w:val="002210D5"/>
    <w:rsid w:val="00227040"/>
    <w:rsid w:val="00237B40"/>
    <w:rsid w:val="002442BA"/>
    <w:rsid w:val="002462EF"/>
    <w:rsid w:val="00246C17"/>
    <w:rsid w:val="00251518"/>
    <w:rsid w:val="00256336"/>
    <w:rsid w:val="002742C3"/>
    <w:rsid w:val="002A37D9"/>
    <w:rsid w:val="002C182C"/>
    <w:rsid w:val="002D5607"/>
    <w:rsid w:val="002E1B7B"/>
    <w:rsid w:val="002E6A20"/>
    <w:rsid w:val="002F389D"/>
    <w:rsid w:val="002F6393"/>
    <w:rsid w:val="00317D22"/>
    <w:rsid w:val="00331B2F"/>
    <w:rsid w:val="003374BB"/>
    <w:rsid w:val="00347EE0"/>
    <w:rsid w:val="0035222D"/>
    <w:rsid w:val="003634BA"/>
    <w:rsid w:val="00364A0E"/>
    <w:rsid w:val="0038237B"/>
    <w:rsid w:val="003873BF"/>
    <w:rsid w:val="00390873"/>
    <w:rsid w:val="00391AD6"/>
    <w:rsid w:val="003A1924"/>
    <w:rsid w:val="003C3FD9"/>
    <w:rsid w:val="003D116F"/>
    <w:rsid w:val="003D7A8C"/>
    <w:rsid w:val="003E18C1"/>
    <w:rsid w:val="003F293E"/>
    <w:rsid w:val="00401308"/>
    <w:rsid w:val="00406157"/>
    <w:rsid w:val="00406B22"/>
    <w:rsid w:val="00423BC5"/>
    <w:rsid w:val="004568D2"/>
    <w:rsid w:val="004612A7"/>
    <w:rsid w:val="00462F6A"/>
    <w:rsid w:val="00467305"/>
    <w:rsid w:val="0047011F"/>
    <w:rsid w:val="004876CD"/>
    <w:rsid w:val="0048772A"/>
    <w:rsid w:val="00496EA5"/>
    <w:rsid w:val="004A1F7E"/>
    <w:rsid w:val="004A3D58"/>
    <w:rsid w:val="004A58A4"/>
    <w:rsid w:val="004B7CB1"/>
    <w:rsid w:val="004D7DA4"/>
    <w:rsid w:val="004F2E56"/>
    <w:rsid w:val="00501F47"/>
    <w:rsid w:val="00503942"/>
    <w:rsid w:val="00504D1F"/>
    <w:rsid w:val="00514AB2"/>
    <w:rsid w:val="00524FB2"/>
    <w:rsid w:val="0053765D"/>
    <w:rsid w:val="00551B43"/>
    <w:rsid w:val="005569CA"/>
    <w:rsid w:val="00562EF2"/>
    <w:rsid w:val="00574CFF"/>
    <w:rsid w:val="00597C80"/>
    <w:rsid w:val="005A48CF"/>
    <w:rsid w:val="005C3E96"/>
    <w:rsid w:val="005D0420"/>
    <w:rsid w:val="005D1D45"/>
    <w:rsid w:val="00601999"/>
    <w:rsid w:val="00611A53"/>
    <w:rsid w:val="00611CD0"/>
    <w:rsid w:val="006144AB"/>
    <w:rsid w:val="00631549"/>
    <w:rsid w:val="006425B4"/>
    <w:rsid w:val="00653C1B"/>
    <w:rsid w:val="00661781"/>
    <w:rsid w:val="00665F6E"/>
    <w:rsid w:val="006678D7"/>
    <w:rsid w:val="006824D9"/>
    <w:rsid w:val="00684F2B"/>
    <w:rsid w:val="006870A0"/>
    <w:rsid w:val="00693D4F"/>
    <w:rsid w:val="00697D23"/>
    <w:rsid w:val="006B0459"/>
    <w:rsid w:val="006B5987"/>
    <w:rsid w:val="006E13C5"/>
    <w:rsid w:val="00700AE2"/>
    <w:rsid w:val="00706D36"/>
    <w:rsid w:val="00707551"/>
    <w:rsid w:val="007116DC"/>
    <w:rsid w:val="0071403C"/>
    <w:rsid w:val="00717E4B"/>
    <w:rsid w:val="00720F3C"/>
    <w:rsid w:val="00722088"/>
    <w:rsid w:val="00724D33"/>
    <w:rsid w:val="00725BC9"/>
    <w:rsid w:val="00726747"/>
    <w:rsid w:val="0074102F"/>
    <w:rsid w:val="00753EC3"/>
    <w:rsid w:val="007550BF"/>
    <w:rsid w:val="00756678"/>
    <w:rsid w:val="007636F9"/>
    <w:rsid w:val="0076539C"/>
    <w:rsid w:val="007771C5"/>
    <w:rsid w:val="00780423"/>
    <w:rsid w:val="00781E25"/>
    <w:rsid w:val="00783EB8"/>
    <w:rsid w:val="0078706B"/>
    <w:rsid w:val="00787192"/>
    <w:rsid w:val="007958DD"/>
    <w:rsid w:val="007E0240"/>
    <w:rsid w:val="007F32A3"/>
    <w:rsid w:val="008075CD"/>
    <w:rsid w:val="00807BA6"/>
    <w:rsid w:val="00834699"/>
    <w:rsid w:val="00837339"/>
    <w:rsid w:val="00845E8E"/>
    <w:rsid w:val="00851E30"/>
    <w:rsid w:val="0088751E"/>
    <w:rsid w:val="00891F50"/>
    <w:rsid w:val="008968B6"/>
    <w:rsid w:val="008972C5"/>
    <w:rsid w:val="008B2B07"/>
    <w:rsid w:val="008B4CF6"/>
    <w:rsid w:val="008B7E09"/>
    <w:rsid w:val="008C7FC3"/>
    <w:rsid w:val="008D6D8D"/>
    <w:rsid w:val="008D7D48"/>
    <w:rsid w:val="00901958"/>
    <w:rsid w:val="009055E3"/>
    <w:rsid w:val="00905B41"/>
    <w:rsid w:val="00916468"/>
    <w:rsid w:val="0092650E"/>
    <w:rsid w:val="00927427"/>
    <w:rsid w:val="00931C08"/>
    <w:rsid w:val="00931EE1"/>
    <w:rsid w:val="009330E7"/>
    <w:rsid w:val="00934946"/>
    <w:rsid w:val="009423EF"/>
    <w:rsid w:val="0095090C"/>
    <w:rsid w:val="00951280"/>
    <w:rsid w:val="00952426"/>
    <w:rsid w:val="0096323D"/>
    <w:rsid w:val="009732A2"/>
    <w:rsid w:val="00974C0C"/>
    <w:rsid w:val="009755D7"/>
    <w:rsid w:val="009C2357"/>
    <w:rsid w:val="009D10A5"/>
    <w:rsid w:val="009D26AE"/>
    <w:rsid w:val="009D5BCF"/>
    <w:rsid w:val="009E1DCF"/>
    <w:rsid w:val="009F7009"/>
    <w:rsid w:val="009F73E5"/>
    <w:rsid w:val="00A01A91"/>
    <w:rsid w:val="00A07A58"/>
    <w:rsid w:val="00A146FC"/>
    <w:rsid w:val="00A24E9A"/>
    <w:rsid w:val="00A26B1A"/>
    <w:rsid w:val="00A3085D"/>
    <w:rsid w:val="00A4766C"/>
    <w:rsid w:val="00A5746D"/>
    <w:rsid w:val="00A65D98"/>
    <w:rsid w:val="00A71BCC"/>
    <w:rsid w:val="00A72377"/>
    <w:rsid w:val="00A75601"/>
    <w:rsid w:val="00A83D3D"/>
    <w:rsid w:val="00AA1264"/>
    <w:rsid w:val="00AA2D89"/>
    <w:rsid w:val="00AA6DF9"/>
    <w:rsid w:val="00AC4AF1"/>
    <w:rsid w:val="00AC4BB8"/>
    <w:rsid w:val="00AE4C26"/>
    <w:rsid w:val="00B150A9"/>
    <w:rsid w:val="00B17501"/>
    <w:rsid w:val="00B2011C"/>
    <w:rsid w:val="00B23929"/>
    <w:rsid w:val="00B241C9"/>
    <w:rsid w:val="00B3059C"/>
    <w:rsid w:val="00B33CAA"/>
    <w:rsid w:val="00B36E85"/>
    <w:rsid w:val="00B50CB4"/>
    <w:rsid w:val="00B50D4E"/>
    <w:rsid w:val="00B50F17"/>
    <w:rsid w:val="00B53A88"/>
    <w:rsid w:val="00B5549E"/>
    <w:rsid w:val="00B56BC0"/>
    <w:rsid w:val="00B67290"/>
    <w:rsid w:val="00B71A76"/>
    <w:rsid w:val="00B73379"/>
    <w:rsid w:val="00B73B62"/>
    <w:rsid w:val="00B7553A"/>
    <w:rsid w:val="00B92804"/>
    <w:rsid w:val="00BB34EA"/>
    <w:rsid w:val="00BC13B0"/>
    <w:rsid w:val="00BE53DB"/>
    <w:rsid w:val="00BE564D"/>
    <w:rsid w:val="00BE58E6"/>
    <w:rsid w:val="00BF610E"/>
    <w:rsid w:val="00C12E70"/>
    <w:rsid w:val="00C30E1E"/>
    <w:rsid w:val="00C32F69"/>
    <w:rsid w:val="00C42785"/>
    <w:rsid w:val="00C64078"/>
    <w:rsid w:val="00C706FC"/>
    <w:rsid w:val="00C72AF4"/>
    <w:rsid w:val="00C815EB"/>
    <w:rsid w:val="00C94EDF"/>
    <w:rsid w:val="00CD10C2"/>
    <w:rsid w:val="00CD2832"/>
    <w:rsid w:val="00CD3865"/>
    <w:rsid w:val="00CE767E"/>
    <w:rsid w:val="00CF024D"/>
    <w:rsid w:val="00D20887"/>
    <w:rsid w:val="00D21504"/>
    <w:rsid w:val="00D26850"/>
    <w:rsid w:val="00D26ECC"/>
    <w:rsid w:val="00D26F3B"/>
    <w:rsid w:val="00D27855"/>
    <w:rsid w:val="00D407AC"/>
    <w:rsid w:val="00D4292A"/>
    <w:rsid w:val="00D457B6"/>
    <w:rsid w:val="00D47C7E"/>
    <w:rsid w:val="00D50046"/>
    <w:rsid w:val="00D54881"/>
    <w:rsid w:val="00D66950"/>
    <w:rsid w:val="00D74D57"/>
    <w:rsid w:val="00D76D88"/>
    <w:rsid w:val="00D8497D"/>
    <w:rsid w:val="00D94D9E"/>
    <w:rsid w:val="00DA125E"/>
    <w:rsid w:val="00DA7D60"/>
    <w:rsid w:val="00DB2AF8"/>
    <w:rsid w:val="00DB350D"/>
    <w:rsid w:val="00DB5592"/>
    <w:rsid w:val="00DC1CCA"/>
    <w:rsid w:val="00DD5D50"/>
    <w:rsid w:val="00DE48B4"/>
    <w:rsid w:val="00DF69A0"/>
    <w:rsid w:val="00E03ABC"/>
    <w:rsid w:val="00E154E2"/>
    <w:rsid w:val="00E20918"/>
    <w:rsid w:val="00E300EC"/>
    <w:rsid w:val="00E339A6"/>
    <w:rsid w:val="00E47B1E"/>
    <w:rsid w:val="00E51820"/>
    <w:rsid w:val="00E56BAB"/>
    <w:rsid w:val="00E67297"/>
    <w:rsid w:val="00E758D6"/>
    <w:rsid w:val="00E75929"/>
    <w:rsid w:val="00E82452"/>
    <w:rsid w:val="00E83C1C"/>
    <w:rsid w:val="00E87FF6"/>
    <w:rsid w:val="00E96927"/>
    <w:rsid w:val="00E96B11"/>
    <w:rsid w:val="00E96C27"/>
    <w:rsid w:val="00EA12A2"/>
    <w:rsid w:val="00EA2A26"/>
    <w:rsid w:val="00EB3556"/>
    <w:rsid w:val="00EC4C99"/>
    <w:rsid w:val="00EE1126"/>
    <w:rsid w:val="00EE2FE2"/>
    <w:rsid w:val="00EE4B7A"/>
    <w:rsid w:val="00F008B8"/>
    <w:rsid w:val="00F0099E"/>
    <w:rsid w:val="00F12607"/>
    <w:rsid w:val="00F14CC8"/>
    <w:rsid w:val="00F15F98"/>
    <w:rsid w:val="00F34748"/>
    <w:rsid w:val="00F4104C"/>
    <w:rsid w:val="00F4281C"/>
    <w:rsid w:val="00F42B66"/>
    <w:rsid w:val="00F557F4"/>
    <w:rsid w:val="00F576B9"/>
    <w:rsid w:val="00F67E96"/>
    <w:rsid w:val="00F84A96"/>
    <w:rsid w:val="00F9067E"/>
    <w:rsid w:val="00FA2510"/>
    <w:rsid w:val="00FA48C5"/>
    <w:rsid w:val="00FA591A"/>
    <w:rsid w:val="00FA70B7"/>
    <w:rsid w:val="00FC2788"/>
    <w:rsid w:val="00FD23A9"/>
    <w:rsid w:val="00FE3BEC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DD5D50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D5D50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uiPriority w:val="99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character" w:customStyle="1" w:styleId="TabletextChar">
    <w:name w:val="Table_text Char"/>
    <w:link w:val="Tabletext"/>
    <w:qFormat/>
    <w:locked/>
    <w:rsid w:val="00DD5D50"/>
    <w:rPr>
      <w:rFonts w:ascii="Times New Roman" w:hAnsi="Times New Roman"/>
      <w:lang w:val="fr-FR" w:eastAsia="en-US"/>
    </w:rPr>
  </w:style>
  <w:style w:type="paragraph" w:customStyle="1" w:styleId="Normalaftertitle00">
    <w:name w:val="Normal after title00"/>
    <w:basedOn w:val="Normal"/>
    <w:next w:val="Normal"/>
    <w:rsid w:val="00DD5D5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  <w:style w:type="paragraph" w:customStyle="1" w:styleId="Reasons">
    <w:name w:val="Reasons"/>
    <w:basedOn w:val="Normal"/>
    <w:uiPriority w:val="99"/>
    <w:qFormat/>
    <w:rsid w:val="00077A2D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  <w:style w:type="paragraph" w:customStyle="1" w:styleId="Normalaftertitle01">
    <w:name w:val="Normal after title0"/>
    <w:basedOn w:val="Normal"/>
    <w:next w:val="Normal"/>
    <w:rsid w:val="00391A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88</TotalTime>
  <Pages>4</Pages>
  <Words>875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91 – Mejora del acceso a un repositorio electrónico de información sobre planes de numeración publicados por el Sector de Normalización de las Telecomunicaciones de la UIT</vt:lpstr>
    </vt:vector>
  </TitlesOfParts>
  <Company>ITU</Company>
  <LinksUpToDate>false</LinksUpToDate>
  <CharactersWithSpaces>5883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91 – Mejora del acceso a un repositorio electrónico de información sobre planes de numeración publicados por el Sector de Normalización de las Telecomunicaciones de la UIT</dc:title>
  <dc:subject>ASAMBLEA MUNDIAL DE NORMALIZACIÓN DE LAS TELECOMUNICACIONES</dc:subject>
  <dc:creator>ITU-T</dc:creator>
  <cp:keywords/>
  <dc:description/>
  <cp:lastModifiedBy>Saez Grau, Ricardo</cp:lastModifiedBy>
  <cp:revision>78</cp:revision>
  <cp:lastPrinted>2024-11-27T13:39:00Z</cp:lastPrinted>
  <dcterms:created xsi:type="dcterms:W3CDTF">2024-11-26T13:57:00Z</dcterms:created>
  <dcterms:modified xsi:type="dcterms:W3CDTF">2024-11-27T13:39:00Z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