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bookmarkStart w:id="0" w:name="_Hlk101245378"/>
      <w:bookmarkEnd w:id="0"/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7CEE1D06" w14:textId="21193CD5" w:rsidR="00A7542F" w:rsidRPr="00B34D5F" w:rsidRDefault="00714A00" w:rsidP="00116562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116562">
        <w:rPr>
          <w:rFonts w:ascii="Dubai" w:hAnsi="Dubai" w:cs="Dubai"/>
          <w:sz w:val="48"/>
          <w:szCs w:val="48"/>
        </w:rPr>
        <w:t>91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bookmarkStart w:id="1" w:name="_Toc476751162"/>
      <w:r w:rsidR="00116562" w:rsidRPr="00116562">
        <w:rPr>
          <w:rFonts w:ascii="Dubai" w:hAnsi="Dubai" w:cs="Dubai" w:hint="cs"/>
          <w:sz w:val="48"/>
          <w:szCs w:val="48"/>
          <w:rtl/>
          <w:lang w:bidi="ar-SA"/>
        </w:rPr>
        <w:t>تحسين النفاذ إلى مستودع معلومات إلكتروني</w:t>
      </w:r>
      <w:r w:rsidR="00116562" w:rsidRPr="00116562">
        <w:rPr>
          <w:rFonts w:ascii="Dubai" w:hAnsi="Dubai" w:cs="Dubai"/>
          <w:sz w:val="48"/>
          <w:szCs w:val="48"/>
          <w:lang w:bidi="ar-SA"/>
        </w:rPr>
        <w:t xml:space="preserve"> </w:t>
      </w:r>
      <w:r w:rsidR="00116562" w:rsidRPr="00116562">
        <w:rPr>
          <w:rFonts w:ascii="Dubai" w:hAnsi="Dubai" w:cs="Dubai" w:hint="cs"/>
          <w:sz w:val="48"/>
          <w:szCs w:val="48"/>
          <w:rtl/>
          <w:lang w:bidi="ar-SA"/>
        </w:rPr>
        <w:t xml:space="preserve">عن </w:t>
      </w:r>
      <w:r w:rsidR="00116562" w:rsidRPr="00116562">
        <w:rPr>
          <w:rFonts w:ascii="Dubai" w:hAnsi="Dubai" w:cs="Dubai"/>
          <w:sz w:val="48"/>
          <w:szCs w:val="48"/>
          <w:rtl/>
          <w:lang w:bidi="ar-SA"/>
        </w:rPr>
        <w:t xml:space="preserve">خطط الترقيم </w:t>
      </w:r>
      <w:r w:rsidR="00116562" w:rsidRPr="00116562">
        <w:rPr>
          <w:rFonts w:ascii="Dubai" w:hAnsi="Dubai" w:cs="Dubai" w:hint="cs"/>
          <w:sz w:val="48"/>
          <w:szCs w:val="48"/>
          <w:rtl/>
          <w:lang w:bidi="ar-SA"/>
        </w:rPr>
        <w:t>التي ينشرها قطاع</w:t>
      </w:r>
      <w:r w:rsidR="00116562" w:rsidRPr="00116562">
        <w:rPr>
          <w:rFonts w:ascii="Dubai" w:hAnsi="Dubai" w:cs="Dubai" w:hint="eastAsia"/>
          <w:sz w:val="48"/>
          <w:szCs w:val="48"/>
          <w:rtl/>
          <w:lang w:bidi="ar"/>
        </w:rPr>
        <w:t> </w:t>
      </w:r>
      <w:r w:rsidR="00116562" w:rsidRPr="00116562">
        <w:rPr>
          <w:rFonts w:ascii="Dubai" w:hAnsi="Dubai" w:cs="Dubai" w:hint="cs"/>
          <w:sz w:val="48"/>
          <w:szCs w:val="48"/>
          <w:rtl/>
          <w:lang w:bidi="ar-SA"/>
        </w:rPr>
        <w:t>تقييس</w:t>
      </w:r>
      <w:r w:rsidR="00116562" w:rsidRPr="00116562">
        <w:rPr>
          <w:rFonts w:ascii="Dubai" w:hAnsi="Dubai" w:cs="Dubai" w:hint="eastAsia"/>
          <w:sz w:val="48"/>
          <w:szCs w:val="48"/>
          <w:rtl/>
          <w:lang w:bidi="ar"/>
        </w:rPr>
        <w:t> </w:t>
      </w:r>
      <w:r w:rsidR="00116562" w:rsidRPr="00116562">
        <w:rPr>
          <w:rFonts w:ascii="Dubai" w:hAnsi="Dubai" w:cs="Dubai" w:hint="cs"/>
          <w:sz w:val="48"/>
          <w:szCs w:val="48"/>
          <w:rtl/>
          <w:lang w:bidi="ar-SA"/>
        </w:rPr>
        <w:t>الاتصالات</w:t>
      </w:r>
      <w:r w:rsidR="00116562" w:rsidRPr="00116562" w:rsidDel="00E40B72">
        <w:rPr>
          <w:rFonts w:ascii="Dubai" w:hAnsi="Dubai" w:cs="Dubai"/>
          <w:sz w:val="48"/>
          <w:szCs w:val="48"/>
          <w:rtl/>
          <w:lang w:bidi="ar"/>
        </w:rPr>
        <w:t xml:space="preserve"> </w:t>
      </w:r>
      <w:r w:rsidR="00116562" w:rsidRPr="00116562">
        <w:rPr>
          <w:rFonts w:ascii="Dubai" w:hAnsi="Dubai" w:cs="Dubai" w:hint="cs"/>
          <w:sz w:val="48"/>
          <w:szCs w:val="48"/>
          <w:rtl/>
          <w:lang w:bidi="ar-SA"/>
        </w:rPr>
        <w:t>للاتحاد الدولي للاتصالات</w:t>
      </w:r>
      <w:bookmarkEnd w:id="1"/>
      <w:r w:rsidR="00B34D5F">
        <w:rPr>
          <w:rFonts w:ascii="Dubai" w:hAnsi="Dubai" w:cs="Dubai"/>
          <w:sz w:val="48"/>
          <w:szCs w:val="48"/>
          <w:lang w:bidi="ar-SA"/>
        </w:rPr>
        <w:br/>
      </w: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22F44B26" w:rsidR="00A7542F" w:rsidRDefault="00A7542F" w:rsidP="00A7542F">
      <w:pPr>
        <w:spacing w:before="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3ACAD" w14:textId="77777777" w:rsidR="00542F6E" w:rsidRDefault="00542F6E" w:rsidP="00542F6E">
      <w:pPr>
        <w:rPr>
          <w:lang w:bidi="ar-EG"/>
        </w:rPr>
      </w:pPr>
    </w:p>
    <w:p w14:paraId="7BA3C376" w14:textId="77777777" w:rsidR="00542F6E" w:rsidRDefault="00542F6E" w:rsidP="00E417B9">
      <w:pPr>
        <w:jc w:val="center"/>
        <w:rPr>
          <w:sz w:val="36"/>
          <w:szCs w:val="36"/>
          <w:rtl/>
          <w:lang w:bidi="ar-EG"/>
        </w:rPr>
        <w:sectPr w:rsidR="00542F6E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5D1A9B" w:rsidRDefault="00A7542F" w:rsidP="00A7542F">
      <w:pPr>
        <w:jc w:val="center"/>
        <w:rPr>
          <w:sz w:val="36"/>
          <w:szCs w:val="36"/>
          <w:rtl/>
          <w:lang w:bidi="ar-EG"/>
        </w:rPr>
      </w:pPr>
      <w:r w:rsidRPr="005D1A9B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AA4C49">
        <w:rPr>
          <w:sz w:val="20"/>
          <w:szCs w:val="20"/>
          <w:lang w:bidi="ar-EG"/>
        </w:rPr>
        <w:t>(ITU</w:t>
      </w:r>
      <w:r w:rsidR="0059276A" w:rsidRPr="00AA4C49">
        <w:rPr>
          <w:sz w:val="20"/>
          <w:szCs w:val="20"/>
          <w:lang w:bidi="ar-EG"/>
        </w:rPr>
        <w:noBreakHyphen/>
      </w:r>
      <w:r w:rsidRPr="00AA4C49">
        <w:rPr>
          <w:sz w:val="20"/>
          <w:szCs w:val="20"/>
          <w:lang w:bidi="ar-EG"/>
        </w:rPr>
        <w:t>T)</w:t>
      </w:r>
      <w:r w:rsidRPr="00AA4C49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AA4C49">
        <w:rPr>
          <w:sz w:val="20"/>
          <w:szCs w:val="20"/>
          <w:lang w:bidi="ar-EG"/>
        </w:rPr>
        <w:t>(WTSA)</w:t>
      </w:r>
      <w:r w:rsidRPr="00AA4C49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AA4C49">
        <w:rPr>
          <w:sz w:val="20"/>
          <w:szCs w:val="20"/>
          <w:lang w:bidi="ar-EG"/>
        </w:rPr>
        <w:t>1</w:t>
      </w:r>
      <w:r w:rsidRPr="00AA4C49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AA4C49">
        <w:rPr>
          <w:rFonts w:hint="eastAsia"/>
          <w:sz w:val="20"/>
          <w:szCs w:val="20"/>
          <w:rtl/>
          <w:lang w:bidi="ar-EG"/>
        </w:rPr>
        <w:t> </w:t>
      </w:r>
      <w:r w:rsidRPr="00AA4C49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AA4C49">
        <w:rPr>
          <w:sz w:val="20"/>
          <w:szCs w:val="20"/>
          <w:lang w:bidi="ar-EG"/>
        </w:rPr>
        <w:t>(ISO)</w:t>
      </w:r>
      <w:r w:rsidRPr="00AA4C49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AA4C49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AA4C49">
        <w:rPr>
          <w:rFonts w:hint="cs"/>
          <w:sz w:val="20"/>
          <w:szCs w:val="20"/>
          <w:rtl/>
          <w:lang w:bidi="ar-EG"/>
        </w:rPr>
        <w:t xml:space="preserve"> الدولية </w:t>
      </w:r>
      <w:r w:rsidRPr="00AA4C49">
        <w:rPr>
          <w:sz w:val="20"/>
          <w:szCs w:val="20"/>
          <w:lang w:bidi="ar-EG"/>
        </w:rPr>
        <w:t>(IEC)</w:t>
      </w:r>
      <w:r w:rsidRPr="00AA4C49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AA4C49" w:rsidRDefault="00A7542F" w:rsidP="00A7542F">
      <w:pPr>
        <w:spacing w:after="180"/>
        <w:jc w:val="center"/>
        <w:rPr>
          <w:sz w:val="20"/>
          <w:szCs w:val="20"/>
        </w:rPr>
      </w:pPr>
      <w:r w:rsidRPr="00AA4C49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AA4C49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023AD8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1E3117B8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116562">
        <w:rPr>
          <w:rStyle w:val="href"/>
        </w:rPr>
        <w:t>91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775ED68C" w:rsidR="00ED026F" w:rsidRPr="00AB1C4B" w:rsidRDefault="00116562" w:rsidP="00116562">
      <w:pPr>
        <w:pStyle w:val="Restitle"/>
        <w:rPr>
          <w:noProof/>
          <w:rtl/>
          <w:lang w:val="fr-FR" w:bidi="ar-EG"/>
        </w:rPr>
      </w:pPr>
      <w:r w:rsidRPr="00116562">
        <w:rPr>
          <w:rFonts w:hint="cs"/>
          <w:noProof/>
          <w:rtl/>
        </w:rPr>
        <w:t>تحسين النفاذ إلى مستودع معلومات إلكتروني</w:t>
      </w:r>
      <w:r w:rsidRPr="00116562">
        <w:rPr>
          <w:noProof/>
        </w:rPr>
        <w:t xml:space="preserve"> </w:t>
      </w:r>
      <w:r w:rsidRPr="00116562">
        <w:rPr>
          <w:rFonts w:hint="cs"/>
          <w:noProof/>
          <w:rtl/>
        </w:rPr>
        <w:t xml:space="preserve">عن </w:t>
      </w:r>
      <w:r w:rsidRPr="00116562">
        <w:rPr>
          <w:noProof/>
          <w:rtl/>
        </w:rPr>
        <w:t xml:space="preserve">خطط الترقيم </w:t>
      </w:r>
      <w:r w:rsidRPr="00116562">
        <w:rPr>
          <w:rFonts w:hint="cs"/>
          <w:noProof/>
          <w:rtl/>
        </w:rPr>
        <w:t>التي ينشرها قطاع</w:t>
      </w:r>
      <w:r w:rsidRPr="00116562">
        <w:rPr>
          <w:rFonts w:hint="eastAsia"/>
          <w:noProof/>
          <w:rtl/>
          <w:lang w:bidi="ar"/>
        </w:rPr>
        <w:t> </w:t>
      </w:r>
      <w:r w:rsidRPr="00116562">
        <w:rPr>
          <w:rFonts w:hint="cs"/>
          <w:noProof/>
          <w:rtl/>
        </w:rPr>
        <w:t>تقييس</w:t>
      </w:r>
      <w:r w:rsidRPr="00116562">
        <w:rPr>
          <w:rFonts w:hint="eastAsia"/>
          <w:noProof/>
          <w:rtl/>
          <w:lang w:bidi="ar"/>
        </w:rPr>
        <w:t> </w:t>
      </w:r>
      <w:r w:rsidRPr="00116562">
        <w:rPr>
          <w:rFonts w:hint="cs"/>
          <w:noProof/>
          <w:rtl/>
        </w:rPr>
        <w:t>الاتصالات</w:t>
      </w:r>
      <w:r w:rsidRPr="00116562" w:rsidDel="00E40B72">
        <w:rPr>
          <w:noProof/>
          <w:rtl/>
          <w:lang w:bidi="ar"/>
        </w:rPr>
        <w:t xml:space="preserve"> </w:t>
      </w:r>
      <w:r w:rsidRPr="00116562">
        <w:rPr>
          <w:rFonts w:hint="cs"/>
          <w:noProof/>
          <w:rtl/>
          <w:lang w:bidi="ar-EG"/>
        </w:rPr>
        <w:t>للاتحاد الدولي للاتصالات</w:t>
      </w:r>
    </w:p>
    <w:p w14:paraId="120686EA" w14:textId="34DB440A" w:rsidR="00ED026F" w:rsidRPr="00AB1C4B" w:rsidRDefault="009F7BCD" w:rsidP="009F7BCD">
      <w:pPr>
        <w:pStyle w:val="Resref"/>
        <w:rPr>
          <w:iCs w:val="0"/>
        </w:rPr>
      </w:pPr>
      <w:r w:rsidRPr="009F7BCD">
        <w:rPr>
          <w:rFonts w:hint="cs"/>
          <w:rtl/>
        </w:rPr>
        <w:t xml:space="preserve">(الحمامات، </w:t>
      </w:r>
      <w:r w:rsidRPr="009F7BCD">
        <w:t>2016</w:t>
      </w:r>
      <w:r w:rsidRPr="009F7BCD">
        <w:rPr>
          <w:rFonts w:hint="cs"/>
          <w:rtl/>
        </w:rPr>
        <w:t xml:space="preserve">؛ جنيف، </w:t>
      </w:r>
      <w:r w:rsidRPr="009F7BCD">
        <w:t>2022</w:t>
      </w:r>
      <w:r w:rsidRPr="009F7BCD">
        <w:rPr>
          <w:rFonts w:hint="cs"/>
          <w:rtl/>
          <w:lang w:bidi="ar-EG"/>
        </w:rPr>
        <w:t>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6E31975C" w14:textId="77777777" w:rsidR="00116562" w:rsidRPr="00AB1C4B" w:rsidRDefault="00116562" w:rsidP="00116562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إذ تضع في اعتبارها</w:t>
      </w:r>
    </w:p>
    <w:p w14:paraId="7F8890C4" w14:textId="77777777" w:rsidR="00116562" w:rsidRPr="00AB1C4B" w:rsidRDefault="00116562" w:rsidP="00116562">
      <w:pPr>
        <w:spacing w:line="180" w:lineRule="auto"/>
        <w:rPr>
          <w:lang w:bidi="ar"/>
        </w:rPr>
      </w:pPr>
      <w:r w:rsidRPr="00AB1C4B">
        <w:rPr>
          <w:rFonts w:ascii="Traditional Arabic" w:hAnsi="Traditional Arabic" w:hint="eastAsia"/>
          <w:i/>
          <w:iCs/>
          <w:rtl/>
        </w:rPr>
        <w:t> </w:t>
      </w:r>
      <w:proofErr w:type="gramStart"/>
      <w:r w:rsidRPr="00AB1C4B">
        <w:rPr>
          <w:rFonts w:ascii="Traditional Arabic" w:hAnsi="Traditional Arabic" w:hint="cs"/>
          <w:i/>
          <w:iCs/>
          <w:rtl/>
        </w:rPr>
        <w:t>أ </w:t>
      </w:r>
      <w:r w:rsidRPr="00AB1C4B">
        <w:rPr>
          <w:rFonts w:ascii="Traditional Arabic" w:hAnsi="Traditional Arabic"/>
          <w:i/>
          <w:iCs/>
          <w:rtl/>
        </w:rPr>
        <w:t>)</w:t>
      </w:r>
      <w:proofErr w:type="gramEnd"/>
      <w:r w:rsidRPr="00AB1C4B">
        <w:rPr>
          <w:rFonts w:ascii="Traditional Arabic" w:hAnsi="Traditional Arabic"/>
          <w:rtl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مكتب تقييس الاتصالات </w:t>
      </w:r>
      <w:r w:rsidRPr="00AB1C4B">
        <w:rPr>
          <w:lang w:bidi="ar"/>
        </w:rPr>
        <w:t>(TSB)</w:t>
      </w:r>
      <w:r w:rsidRPr="00AB1C4B">
        <w:rPr>
          <w:rFonts w:hint="cs"/>
          <w:rtl/>
        </w:rPr>
        <w:t xml:space="preserve"> قد أتاح النفاذ الإلكتروني إلى </w:t>
      </w:r>
      <w:r w:rsidRPr="00AB1C4B">
        <w:rPr>
          <w:rFonts w:hint="cs"/>
          <w:rtl/>
          <w:lang w:bidi="ar-EG"/>
        </w:rPr>
        <w:t>ال</w:t>
      </w:r>
      <w:r w:rsidRPr="00AB1C4B">
        <w:rPr>
          <w:rFonts w:hint="cs"/>
          <w:rtl/>
        </w:rPr>
        <w:t>معلومات بشأن خطط ترقيم معينة</w:t>
      </w:r>
      <w:r w:rsidRPr="00AB1C4B">
        <w:rPr>
          <w:rFonts w:hint="eastAsia"/>
          <w:rtl/>
        </w:rPr>
        <w:t>؛</w:t>
      </w:r>
    </w:p>
    <w:p w14:paraId="3526A238" w14:textId="77777777" w:rsidR="00116562" w:rsidRPr="00AB1C4B" w:rsidRDefault="00116562" w:rsidP="00116562">
      <w:pPr>
        <w:spacing w:line="180" w:lineRule="auto"/>
        <w:rPr>
          <w:rtl/>
          <w:lang w:bidi="ar"/>
        </w:rPr>
      </w:pPr>
      <w:r w:rsidRPr="00AB1C4B">
        <w:rPr>
          <w:rFonts w:hint="eastAsia"/>
          <w:i/>
          <w:iCs/>
          <w:rtl/>
        </w:rPr>
        <w:t>ب</w:t>
      </w:r>
      <w:r w:rsidRPr="00AB1C4B">
        <w:rPr>
          <w:i/>
          <w:iCs/>
          <w:rtl/>
          <w:lang w:bidi="ar"/>
        </w:rPr>
        <w:t>)</w:t>
      </w:r>
      <w:r w:rsidRPr="00AB1C4B">
        <w:rPr>
          <w:i/>
          <w:iCs/>
          <w:rtl/>
          <w:lang w:bidi="ar"/>
        </w:rPr>
        <w:tab/>
      </w:r>
      <w:r w:rsidRPr="00AB1C4B">
        <w:rPr>
          <w:rFonts w:hint="cs"/>
          <w:rtl/>
        </w:rPr>
        <w:t>أن تحسين النفاذ الإلكتروني سيعود بالفائدة على الدول الأعضاء و</w:t>
      </w:r>
      <w:r w:rsidRPr="00AB1C4B">
        <w:rPr>
          <w:rFonts w:hint="eastAsia"/>
          <w:rtl/>
        </w:rPr>
        <w:t>مشغلي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أو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>وكالات التشغيل على الصعيد الدولي</w:t>
      </w:r>
      <w:r w:rsidRPr="00AB1C4B">
        <w:rPr>
          <w:rFonts w:hint="eastAsia"/>
          <w:rtl/>
        </w:rPr>
        <w:t>،</w:t>
      </w:r>
      <w:r w:rsidRPr="00AB1C4B">
        <w:rPr>
          <w:rFonts w:hint="cs"/>
          <w:rtl/>
        </w:rPr>
        <w:t xml:space="preserve"> من أجل المساعدة على تحسين موثوقية شبكات الاتصالات والخدمات التي تحملها، والمساعدة على تحسين ضمان حصول المشغلين على الإيرادات، وقد يساعد على التصدي لسوء استخدام </w:t>
      </w:r>
      <w:r w:rsidRPr="00AB1C4B">
        <w:rPr>
          <w:rFonts w:hint="eastAsia"/>
          <w:rtl/>
        </w:rPr>
        <w:t>موارد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ترقيم </w:t>
      </w:r>
      <w:r w:rsidRPr="00AB1C4B">
        <w:rPr>
          <w:rFonts w:hint="eastAsia"/>
          <w:rtl/>
        </w:rPr>
        <w:t>الاتصالات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الدولية</w:t>
      </w:r>
      <w:r w:rsidRPr="00AB1C4B">
        <w:rPr>
          <w:rFonts w:hint="cs"/>
          <w:rtl/>
        </w:rPr>
        <w:t>،</w:t>
      </w:r>
    </w:p>
    <w:p w14:paraId="262A114B" w14:textId="77777777" w:rsidR="00116562" w:rsidRPr="00AB1C4B" w:rsidRDefault="00116562" w:rsidP="00116562">
      <w:pPr>
        <w:pStyle w:val="Call"/>
        <w:spacing w:before="160" w:line="180" w:lineRule="auto"/>
        <w:rPr>
          <w:lang w:bidi="ar"/>
        </w:rPr>
      </w:pPr>
      <w:r w:rsidRPr="00AB1C4B">
        <w:rPr>
          <w:rFonts w:hint="cs"/>
          <w:rtl/>
        </w:rPr>
        <w:t>وإذ تلاحظ</w:t>
      </w:r>
    </w:p>
    <w:p w14:paraId="36E620A5" w14:textId="77777777" w:rsidR="00116562" w:rsidRPr="00AB1C4B" w:rsidRDefault="00116562" w:rsidP="00116562">
      <w:pPr>
        <w:spacing w:line="180" w:lineRule="auto"/>
        <w:rPr>
          <w:rtl/>
          <w:lang w:bidi="ar"/>
        </w:rPr>
      </w:pPr>
      <w:r w:rsidRPr="00AB1C4B">
        <w:rPr>
          <w:rFonts w:ascii="Traditional Arabic" w:hAnsi="Traditional Arabic" w:hint="eastAsia"/>
          <w:i/>
          <w:iCs/>
          <w:rtl/>
        </w:rPr>
        <w:t> </w:t>
      </w:r>
      <w:proofErr w:type="gramStart"/>
      <w:r w:rsidRPr="00AB1C4B">
        <w:rPr>
          <w:rFonts w:ascii="Traditional Arabic" w:hAnsi="Traditional Arabic" w:hint="cs"/>
          <w:i/>
          <w:iCs/>
          <w:rtl/>
        </w:rPr>
        <w:t>أ </w:t>
      </w:r>
      <w:r w:rsidRPr="00AB1C4B">
        <w:rPr>
          <w:rFonts w:ascii="Traditional Arabic" w:hAnsi="Traditional Arabic"/>
          <w:i/>
          <w:iCs/>
          <w:rtl/>
        </w:rPr>
        <w:t>)</w:t>
      </w:r>
      <w:proofErr w:type="gramEnd"/>
      <w:r w:rsidRPr="00AB1C4B">
        <w:rPr>
          <w:rFonts w:ascii="Traditional Arabic" w:hAnsi="Traditional Arabic"/>
          <w:rtl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تقييس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بالاتحاد</w:t>
      </w:r>
      <w:r w:rsidRPr="00AB1C4B">
        <w:rPr>
          <w:rFonts w:hint="cs"/>
          <w:rtl/>
          <w:lang w:bidi="ar"/>
        </w:rPr>
        <w:t> </w:t>
      </w:r>
      <w:r w:rsidRPr="00AB1C4B">
        <w:rPr>
          <w:lang w:bidi="ar"/>
        </w:rPr>
        <w:t>(ITU</w:t>
      </w:r>
      <w:r w:rsidRPr="00AB1C4B">
        <w:rPr>
          <w:lang w:bidi="ar"/>
        </w:rPr>
        <w:noBreakHyphen/>
        <w:t>T)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يجب</w:t>
      </w:r>
      <w:r w:rsidRPr="00AB1C4B">
        <w:rPr>
          <w:rtl/>
        </w:rPr>
        <w:t xml:space="preserve"> أن </w:t>
      </w:r>
      <w:r w:rsidRPr="00AB1C4B">
        <w:rPr>
          <w:rFonts w:hint="eastAsia"/>
          <w:rtl/>
        </w:rPr>
        <w:t>يؤدي</w:t>
      </w:r>
      <w:r w:rsidRPr="00AB1C4B">
        <w:rPr>
          <w:rtl/>
        </w:rPr>
        <w:t xml:space="preserve"> دورا</w:t>
      </w:r>
      <w:r w:rsidRPr="00AB1C4B">
        <w:rPr>
          <w:rFonts w:hint="eastAsia"/>
          <w:rtl/>
        </w:rPr>
        <w:t>ً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رائداً</w:t>
      </w:r>
      <w:r w:rsidRPr="00AB1C4B">
        <w:rPr>
          <w:rtl/>
        </w:rPr>
        <w:t xml:space="preserve"> في</w:t>
      </w:r>
      <w:r w:rsidRPr="00AB1C4B">
        <w:rPr>
          <w:rtl/>
          <w:lang w:bidi="ar"/>
        </w:rPr>
        <w:t> </w:t>
      </w:r>
      <w:r w:rsidRPr="00AB1C4B">
        <w:rPr>
          <w:rFonts w:hint="cs"/>
          <w:rtl/>
        </w:rPr>
        <w:t>تطوير</w:t>
      </w:r>
      <w:r w:rsidRPr="00AB1C4B">
        <w:rPr>
          <w:rtl/>
        </w:rPr>
        <w:t xml:space="preserve"> وصيانة </w:t>
      </w:r>
      <w:r w:rsidRPr="00AB1C4B">
        <w:rPr>
          <w:rFonts w:hint="cs"/>
          <w:rtl/>
        </w:rPr>
        <w:t>المستودع الإلكتروني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>المشار إليه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>هذا القرار</w:t>
      </w:r>
      <w:r w:rsidRPr="00AB1C4B">
        <w:rPr>
          <w:rFonts w:hint="eastAsia"/>
          <w:rtl/>
        </w:rPr>
        <w:t>؛</w:t>
      </w:r>
    </w:p>
    <w:p w14:paraId="357F2ED6" w14:textId="77777777" w:rsidR="00116562" w:rsidRPr="00AB1C4B" w:rsidRDefault="00116562" w:rsidP="00116562">
      <w:pPr>
        <w:spacing w:line="180" w:lineRule="auto"/>
        <w:rPr>
          <w:rtl/>
          <w:lang w:bidi="ar"/>
        </w:rPr>
      </w:pPr>
      <w:r w:rsidRPr="00AB1C4B">
        <w:rPr>
          <w:rFonts w:hint="cs"/>
          <w:i/>
          <w:iCs/>
          <w:rtl/>
        </w:rPr>
        <w:t>ب</w:t>
      </w:r>
      <w:r w:rsidRPr="00AB1C4B">
        <w:rPr>
          <w:i/>
          <w:iCs/>
          <w:rtl/>
        </w:rPr>
        <w:t>)</w:t>
      </w:r>
      <w:r w:rsidRPr="00AB1C4B">
        <w:rPr>
          <w:rtl/>
        </w:rPr>
        <w:tab/>
      </w:r>
      <w:r w:rsidRPr="00AB1C4B">
        <w:rPr>
          <w:rFonts w:hint="eastAsia"/>
          <w:rtl/>
        </w:rPr>
        <w:t>ضرورة</w:t>
      </w:r>
      <w:r w:rsidRPr="00AB1C4B">
        <w:rPr>
          <w:rFonts w:hint="cs"/>
          <w:rtl/>
        </w:rPr>
        <w:t xml:space="preserve"> دراسة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>و</w:t>
      </w:r>
      <w:r w:rsidRPr="00AB1C4B">
        <w:rPr>
          <w:rFonts w:hint="eastAsia"/>
          <w:rtl/>
        </w:rPr>
        <w:t>وضع</w:t>
      </w:r>
      <w:r w:rsidRPr="00AB1C4B">
        <w:rPr>
          <w:rtl/>
        </w:rPr>
        <w:t xml:space="preserve"> متطلبات </w:t>
      </w:r>
      <w:r w:rsidRPr="00AB1C4B">
        <w:rPr>
          <w:rFonts w:hint="cs"/>
          <w:rtl/>
        </w:rPr>
        <w:t>لتزويد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هذ</w:t>
      </w:r>
      <w:r w:rsidRPr="00AB1C4B">
        <w:rPr>
          <w:rFonts w:hint="cs"/>
          <w:rtl/>
        </w:rPr>
        <w:t>ا المستودع الإلكتروني بالمعلومات؛</w:t>
      </w:r>
    </w:p>
    <w:p w14:paraId="6B3499DC" w14:textId="77777777" w:rsidR="00116562" w:rsidRPr="00AB1C4B" w:rsidRDefault="00116562" w:rsidP="00116562">
      <w:pPr>
        <w:spacing w:line="180" w:lineRule="auto"/>
        <w:rPr>
          <w:rtl/>
          <w:lang w:bidi="ar-EG"/>
        </w:rPr>
      </w:pPr>
      <w:r w:rsidRPr="00AB1C4B">
        <w:rPr>
          <w:rFonts w:hint="eastAsia"/>
          <w:i/>
          <w:iCs/>
          <w:rtl/>
        </w:rPr>
        <w:t>ج</w:t>
      </w:r>
      <w:r w:rsidRPr="00AB1C4B">
        <w:rPr>
          <w:i/>
          <w:iCs/>
          <w:rtl/>
          <w:lang w:bidi="ar"/>
        </w:rPr>
        <w:t>)</w:t>
      </w:r>
      <w:r w:rsidRPr="00AB1C4B">
        <w:rPr>
          <w:rtl/>
          <w:lang w:bidi="ar"/>
        </w:rPr>
        <w:tab/>
      </w:r>
      <w:r w:rsidRPr="00AB1C4B">
        <w:rPr>
          <w:rFonts w:hint="cs"/>
          <w:rtl/>
        </w:rPr>
        <w:t>أن ا</w:t>
      </w:r>
      <w:r w:rsidRPr="00AB1C4B">
        <w:rPr>
          <w:rtl/>
        </w:rPr>
        <w:t xml:space="preserve">لتوصية </w:t>
      </w:r>
      <w:r w:rsidRPr="00AB1C4B">
        <w:t>ITU</w:t>
      </w:r>
      <w:r w:rsidRPr="00AB1C4B">
        <w:noBreakHyphen/>
        <w:t>T E.129</w:t>
      </w:r>
      <w:r w:rsidRPr="00AB1C4B">
        <w:rPr>
          <w:rtl/>
        </w:rPr>
        <w:t xml:space="preserve"> تدع</w:t>
      </w:r>
      <w:r w:rsidRPr="00AB1C4B">
        <w:rPr>
          <w:rFonts w:hint="cs"/>
          <w:rtl/>
        </w:rPr>
        <w:t>و</w:t>
      </w:r>
      <w:r w:rsidRPr="00AB1C4B">
        <w:rPr>
          <w:rtl/>
        </w:rPr>
        <w:t xml:space="preserve"> جميع الهيئات التنظيمية الوطنية </w:t>
      </w:r>
      <w:r w:rsidRPr="00AB1C4B">
        <w:rPr>
          <w:rFonts w:hint="cs"/>
          <w:rtl/>
        </w:rPr>
        <w:t>إ</w:t>
      </w:r>
      <w:r w:rsidRPr="00AB1C4B">
        <w:rPr>
          <w:rtl/>
        </w:rPr>
        <w:t>ل</w:t>
      </w:r>
      <w:r w:rsidRPr="00AB1C4B">
        <w:rPr>
          <w:rFonts w:hint="cs"/>
          <w:rtl/>
        </w:rPr>
        <w:t xml:space="preserve">ى </w:t>
      </w:r>
      <w:r w:rsidRPr="00AB1C4B">
        <w:rPr>
          <w:rtl/>
        </w:rPr>
        <w:t>إعلام الاتحاد بخطط الترقيم الوطنية لديها</w:t>
      </w:r>
      <w:r w:rsidRPr="00AB1C4B">
        <w:rPr>
          <w:rFonts w:hint="cs"/>
          <w:rtl/>
          <w:lang w:bidi="ar"/>
        </w:rPr>
        <w:t> </w:t>
      </w:r>
      <w:r w:rsidRPr="00AB1C4B">
        <w:rPr>
          <w:rtl/>
          <w:lang w:bidi="ar"/>
        </w:rPr>
        <w:t>(</w:t>
      </w:r>
      <w:r w:rsidRPr="00AB1C4B">
        <w:rPr>
          <w:rtl/>
        </w:rPr>
        <w:t>أي</w:t>
      </w:r>
      <w:r w:rsidRPr="00AB1C4B">
        <w:rPr>
          <w:rFonts w:hint="cs"/>
          <w:rtl/>
          <w:lang w:bidi="ar"/>
        </w:rPr>
        <w:t> </w:t>
      </w:r>
      <w:r w:rsidRPr="00AB1C4B">
        <w:rPr>
          <w:rtl/>
        </w:rPr>
        <w:t>الموارد المعيَّنة والموزَّعة</w:t>
      </w:r>
      <w:r w:rsidRPr="00AB1C4B">
        <w:rPr>
          <w:rtl/>
          <w:lang w:bidi="ar"/>
        </w:rPr>
        <w:t>)</w:t>
      </w:r>
      <w:r w:rsidRPr="00AB1C4B">
        <w:rPr>
          <w:rFonts w:hint="eastAsia"/>
          <w:rtl/>
        </w:rPr>
        <w:t>؛</w:t>
      </w:r>
    </w:p>
    <w:p w14:paraId="5BFF901F" w14:textId="77777777" w:rsidR="00116562" w:rsidRPr="00AB1C4B" w:rsidRDefault="00116562" w:rsidP="00116562">
      <w:pPr>
        <w:spacing w:line="180" w:lineRule="auto"/>
        <w:rPr>
          <w:color w:val="000000"/>
          <w:rtl/>
          <w:lang w:bidi="ar-EG"/>
        </w:rPr>
      </w:pPr>
      <w:proofErr w:type="gramStart"/>
      <w:r w:rsidRPr="00AB1C4B">
        <w:rPr>
          <w:rFonts w:hint="eastAsia"/>
          <w:i/>
          <w:iCs/>
          <w:rtl/>
        </w:rPr>
        <w:t>د</w:t>
      </w:r>
      <w:r w:rsidRPr="00AB1C4B">
        <w:rPr>
          <w:rFonts w:hint="eastAsia"/>
          <w:i/>
          <w:iCs/>
          <w:rtl/>
          <w:lang w:bidi="ar"/>
        </w:rPr>
        <w:t> </w:t>
      </w:r>
      <w:r w:rsidRPr="00AB1C4B">
        <w:rPr>
          <w:i/>
          <w:iCs/>
          <w:rtl/>
          <w:lang w:bidi="ar"/>
        </w:rPr>
        <w:t>)</w:t>
      </w:r>
      <w:proofErr w:type="gramEnd"/>
      <w:r w:rsidRPr="00AB1C4B">
        <w:rPr>
          <w:i/>
          <w:iCs/>
          <w:rtl/>
          <w:lang w:bidi="ar"/>
        </w:rPr>
        <w:tab/>
      </w:r>
      <w:r w:rsidRPr="00AB1C4B">
        <w:rPr>
          <w:rFonts w:hint="cs"/>
          <w:rtl/>
          <w:lang w:bidi="ar-EG"/>
        </w:rPr>
        <w:t xml:space="preserve">ارتفاع الطلب على </w:t>
      </w:r>
      <w:r w:rsidRPr="00AB1C4B">
        <w:rPr>
          <w:rFonts w:hint="cs"/>
          <w:rtl/>
        </w:rPr>
        <w:t xml:space="preserve">موارد الترقيم والتسمية والعنونة وتحديد الهوية </w:t>
      </w:r>
      <w:r w:rsidRPr="00AB1C4B">
        <w:t>(NNAI)</w:t>
      </w:r>
      <w:r w:rsidRPr="00AB1C4B">
        <w:rPr>
          <w:rFonts w:hint="cs"/>
          <w:rtl/>
        </w:rPr>
        <w:t xml:space="preserve"> بسبب </w:t>
      </w:r>
      <w:r w:rsidRPr="00AB1C4B">
        <w:rPr>
          <w:color w:val="000000"/>
          <w:rtl/>
        </w:rPr>
        <w:t xml:space="preserve">ظهور تكنولوجيات </w:t>
      </w:r>
      <w:r w:rsidRPr="00AB1C4B">
        <w:rPr>
          <w:rFonts w:hint="cs"/>
          <w:color w:val="000000"/>
          <w:rtl/>
        </w:rPr>
        <w:t xml:space="preserve">وتطبيقات </w:t>
      </w:r>
      <w:r w:rsidRPr="00AB1C4B">
        <w:rPr>
          <w:color w:val="000000"/>
          <w:rtl/>
        </w:rPr>
        <w:t xml:space="preserve">جديدة </w:t>
      </w:r>
      <w:r w:rsidRPr="00AB1C4B">
        <w:rPr>
          <w:rFonts w:hint="cs"/>
          <w:color w:val="000000"/>
          <w:rtl/>
        </w:rPr>
        <w:t xml:space="preserve">وناشئة (مثل إنترنت الأشياء </w:t>
      </w:r>
      <w:r w:rsidRPr="00AB1C4B">
        <w:rPr>
          <w:color w:val="000000"/>
        </w:rPr>
        <w:t>(IoT)</w:t>
      </w:r>
      <w:r w:rsidRPr="00AB1C4B">
        <w:rPr>
          <w:rFonts w:hint="cs"/>
          <w:color w:val="000000"/>
          <w:rtl/>
        </w:rPr>
        <w:t xml:space="preserve">، والاتصالات من آلة إلى آلة </w:t>
      </w:r>
      <w:r w:rsidRPr="00AB1C4B">
        <w:rPr>
          <w:color w:val="000000"/>
        </w:rPr>
        <w:t>(M2M)</w:t>
      </w:r>
      <w:r w:rsidRPr="00AB1C4B">
        <w:rPr>
          <w:rFonts w:hint="cs"/>
          <w:color w:val="000000"/>
          <w:rtl/>
          <w:lang w:bidi="ar-EG"/>
        </w:rPr>
        <w:t xml:space="preserve"> والشبكات والخدمات العالمية المبتكرة)؛</w:t>
      </w:r>
    </w:p>
    <w:p w14:paraId="7648D132" w14:textId="77777777" w:rsidR="00116562" w:rsidRPr="00AB1C4B" w:rsidRDefault="00116562" w:rsidP="00116562">
      <w:pPr>
        <w:spacing w:line="180" w:lineRule="auto"/>
        <w:rPr>
          <w:rtl/>
          <w:lang w:bidi="ar"/>
        </w:rPr>
      </w:pPr>
      <w:proofErr w:type="gramStart"/>
      <w:r w:rsidRPr="00AB1C4B">
        <w:rPr>
          <w:rFonts w:ascii="Traditional Arabic" w:hAnsi="Traditional Arabic" w:hint="cs"/>
          <w:i/>
          <w:iCs/>
          <w:rtl/>
        </w:rPr>
        <w:t>ﻫ</w:t>
      </w:r>
      <w:r w:rsidRPr="00AB1C4B">
        <w:rPr>
          <w:rFonts w:hint="cs"/>
          <w:i/>
          <w:iCs/>
          <w:rtl/>
        </w:rPr>
        <w:t> )</w:t>
      </w:r>
      <w:proofErr w:type="gramEnd"/>
      <w:r w:rsidRPr="00AB1C4B">
        <w:rPr>
          <w:color w:val="000000"/>
          <w:rtl/>
          <w:lang w:bidi="ar-EG"/>
        </w:rPr>
        <w:tab/>
      </w:r>
      <w:r w:rsidRPr="00AB1C4B">
        <w:rPr>
          <w:rFonts w:hint="cs"/>
          <w:rtl/>
        </w:rPr>
        <w:t xml:space="preserve">أن المعلومات </w:t>
      </w:r>
      <w:r w:rsidRPr="00AB1C4B">
        <w:rPr>
          <w:rFonts w:hint="eastAsia"/>
          <w:rtl/>
        </w:rPr>
        <w:t>الموثوقة</w:t>
      </w:r>
      <w:r w:rsidRPr="00AB1C4B">
        <w:rPr>
          <w:rFonts w:hint="cs"/>
          <w:rtl/>
        </w:rPr>
        <w:t xml:space="preserve"> المتعلقة بالموارد المحجوزة والمخصصة والموزعة للترقيم والتسمية والعنونة وتحديد الهوية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لكل بلد هي قضية هامة لضمان التوصيل البيني العالمي للاتصالات،</w:t>
      </w:r>
    </w:p>
    <w:p w14:paraId="628E667F" w14:textId="77777777" w:rsidR="00116562" w:rsidRPr="00AB1C4B" w:rsidRDefault="00116562" w:rsidP="00116562">
      <w:pPr>
        <w:pStyle w:val="Call"/>
        <w:spacing w:before="160" w:line="180" w:lineRule="auto"/>
      </w:pPr>
      <w:r w:rsidRPr="00AB1C4B">
        <w:rPr>
          <w:rFonts w:hint="eastAsia"/>
          <w:rtl/>
        </w:rPr>
        <w:t>تقرر</w:t>
      </w:r>
      <w:r w:rsidRPr="00AB1C4B">
        <w:rPr>
          <w:rtl/>
        </w:rPr>
        <w:t xml:space="preserve"> أن </w:t>
      </w:r>
      <w:r w:rsidRPr="00AB1C4B">
        <w:rPr>
          <w:rFonts w:hint="cs"/>
          <w:rtl/>
        </w:rPr>
        <w:t>تُ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>ف</w:t>
      </w:r>
      <w:r w:rsidRPr="00AB1C4B">
        <w:rPr>
          <w:rFonts w:hint="cs"/>
          <w:rtl/>
        </w:rPr>
        <w:t xml:space="preserve"> </w:t>
      </w:r>
      <w:r w:rsidRPr="00AB1C4B">
        <w:rPr>
          <w:rtl/>
        </w:rPr>
        <w:t xml:space="preserve">لجنة الدراسات </w:t>
      </w:r>
      <w:r w:rsidRPr="00AB1C4B">
        <w:t>2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لقطاع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Fonts w:hint="cs"/>
          <w:rtl/>
        </w:rPr>
        <w:t xml:space="preserve"> بالاتحاد</w:t>
      </w:r>
    </w:p>
    <w:p w14:paraId="0BFEEF61" w14:textId="77777777" w:rsidR="00116562" w:rsidRPr="00AB1C4B" w:rsidRDefault="00116562" w:rsidP="00116562">
      <w:pPr>
        <w:spacing w:line="180" w:lineRule="auto"/>
        <w:rPr>
          <w:i/>
          <w:iCs/>
        </w:rPr>
      </w:pPr>
      <w:r w:rsidRPr="00AB1C4B">
        <w:rPr>
          <w:rFonts w:hint="eastAsia"/>
          <w:rtl/>
        </w:rPr>
        <w:t>بدراسة</w:t>
      </w:r>
      <w:r w:rsidRPr="00AB1C4B">
        <w:rPr>
          <w:rtl/>
        </w:rPr>
        <w:t xml:space="preserve"> هذه المسألة على أساس المساهمات الواردة </w:t>
      </w:r>
      <w:r w:rsidRPr="00AB1C4B">
        <w:rPr>
          <w:rFonts w:hint="cs"/>
          <w:rtl/>
        </w:rPr>
        <w:t xml:space="preserve">والمعلومات المقدمة من مكتب تقييس الاتصالات </w:t>
      </w:r>
      <w:r w:rsidRPr="00AB1C4B">
        <w:rPr>
          <w:rFonts w:hint="eastAsia"/>
          <w:rtl/>
        </w:rPr>
        <w:t>وبتنظيم</w:t>
      </w:r>
      <w:r w:rsidRPr="00AB1C4B">
        <w:rPr>
          <w:rtl/>
        </w:rPr>
        <w:t xml:space="preserve"> العمل اللازم </w:t>
      </w:r>
      <w:r w:rsidRPr="00AB1C4B">
        <w:rPr>
          <w:rFonts w:hint="cs"/>
          <w:rtl/>
        </w:rPr>
        <w:t>من أجل تحديد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متطلبات</w:t>
      </w:r>
      <w:r w:rsidRPr="00AB1C4B">
        <w:rPr>
          <w:rFonts w:hint="cs"/>
          <w:rtl/>
        </w:rPr>
        <w:t xml:space="preserve"> النفاذ الإلكتروني إلى مستودع للموارد المحجوزة أو المخصصة أو الموزعة للترقيم لكل مشغّل/مقدم خدمات (قدر الإمكان) في كل بلد، بما</w:t>
      </w:r>
      <w:r w:rsidRPr="00AB1C4B">
        <w:rPr>
          <w:rFonts w:hint="eastAsia"/>
          <w:rtl/>
        </w:rPr>
        <w:t xml:space="preserve"> في </w:t>
      </w:r>
      <w:r w:rsidRPr="00AB1C4B">
        <w:rPr>
          <w:rFonts w:hint="cs"/>
          <w:rtl/>
        </w:rPr>
        <w:t xml:space="preserve">ذلك تقديم خطط الترقيم الوطنية </w:t>
      </w:r>
      <w:r w:rsidRPr="00AB1C4B">
        <w:t>E.164</w:t>
      </w:r>
      <w:r w:rsidRPr="00AB1C4B">
        <w:rPr>
          <w:rFonts w:hint="cs"/>
          <w:rtl/>
        </w:rPr>
        <w:t xml:space="preserve"> بالاستناد إلى التوصية</w:t>
      </w:r>
      <w:r w:rsidRPr="00AB1C4B">
        <w:rPr>
          <w:rFonts w:hint="eastAsia"/>
          <w:rtl/>
        </w:rPr>
        <w:t> </w:t>
      </w:r>
      <w:r w:rsidRPr="00AB1C4B">
        <w:t>ITU</w:t>
      </w:r>
      <w:r w:rsidRPr="00AB1C4B">
        <w:noBreakHyphen/>
        <w:t>T E.129</w:t>
      </w:r>
      <w:r w:rsidRPr="00AB1C4B">
        <w:rPr>
          <w:rFonts w:hint="cs"/>
          <w:rtl/>
        </w:rPr>
        <w:t xml:space="preserve"> وموارد الترقيم الدولية التي يخصصها مدير مكتب تقييس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الاتصالات،</w:t>
      </w:r>
    </w:p>
    <w:p w14:paraId="4E321C87" w14:textId="77777777" w:rsidR="00116562" w:rsidRPr="00AB1C4B" w:rsidRDefault="00116562" w:rsidP="00116562">
      <w:pPr>
        <w:pStyle w:val="Call"/>
        <w:spacing w:before="160" w:line="180" w:lineRule="auto"/>
        <w:rPr>
          <w:lang w:bidi="ar"/>
        </w:rPr>
      </w:pPr>
      <w:r w:rsidRPr="00AB1C4B">
        <w:rPr>
          <w:rFonts w:hint="cs"/>
          <w:rtl/>
        </w:rPr>
        <w:t>تُ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>ف</w:t>
      </w:r>
      <w:r w:rsidRPr="00AB1C4B">
        <w:rPr>
          <w:rFonts w:hint="cs"/>
          <w:rtl/>
        </w:rPr>
        <w:t xml:space="preserve"> مدير مكتب تقييس الاتصالات</w:t>
      </w:r>
    </w:p>
    <w:p w14:paraId="737D3B09" w14:textId="77777777" w:rsidR="00116562" w:rsidRPr="00AB1C4B" w:rsidRDefault="00116562" w:rsidP="00116562">
      <w:pPr>
        <w:spacing w:line="180" w:lineRule="auto"/>
        <w:rPr>
          <w:rtl/>
          <w:lang w:bidi="ar"/>
        </w:rPr>
      </w:pPr>
      <w:r w:rsidRPr="00AB1C4B">
        <w:rPr>
          <w:lang w:bidi="ar"/>
        </w:rPr>
        <w:t>1</w:t>
      </w:r>
      <w:r w:rsidRPr="00AB1C4B">
        <w:rPr>
          <w:lang w:bidi="ar"/>
        </w:rPr>
        <w:tab/>
      </w:r>
      <w:r w:rsidRPr="00AB1C4B">
        <w:rPr>
          <w:rFonts w:hint="cs"/>
          <w:rtl/>
        </w:rPr>
        <w:t>بتقديم المساعدة اللازمة لأعضاء الاتحاد من خلال تقديم تفاصيل موارد المعلومات القائمة المتعلقة بتقديم خطط الترقيم الوطنية وموارد الترقيم</w:t>
      </w:r>
      <w:r w:rsidRPr="00AB1C4B">
        <w:rPr>
          <w:rFonts w:hint="eastAsia"/>
          <w:rtl/>
          <w:lang w:bidi="ar"/>
        </w:rPr>
        <w:t> </w:t>
      </w:r>
      <w:proofErr w:type="gramStart"/>
      <w:r w:rsidRPr="00AB1C4B">
        <w:rPr>
          <w:rFonts w:hint="cs"/>
          <w:rtl/>
        </w:rPr>
        <w:t>الدولية؛</w:t>
      </w:r>
      <w:proofErr w:type="gramEnd"/>
    </w:p>
    <w:p w14:paraId="774207F4" w14:textId="77777777" w:rsidR="00BF32D7" w:rsidRDefault="00BF32D7" w:rsidP="00BF32D7">
      <w:pPr>
        <w:rPr>
          <w:lang w:bidi="ar"/>
        </w:rPr>
      </w:pPr>
      <w:r>
        <w:rPr>
          <w:lang w:bidi="ar"/>
        </w:rPr>
        <w:br w:type="page"/>
      </w:r>
    </w:p>
    <w:p w14:paraId="264EB9DD" w14:textId="2AB4DAFE" w:rsidR="00116562" w:rsidRPr="00AB1C4B" w:rsidRDefault="00116562" w:rsidP="00116562">
      <w:pPr>
        <w:spacing w:line="180" w:lineRule="auto"/>
        <w:rPr>
          <w:rtl/>
          <w:lang w:bidi="ar-EG"/>
        </w:rPr>
      </w:pPr>
      <w:r w:rsidRPr="00AB1C4B">
        <w:rPr>
          <w:lang w:bidi="ar"/>
        </w:rPr>
        <w:lastRenderedPageBreak/>
        <w:t>2</w:t>
      </w:r>
      <w:r w:rsidRPr="00AB1C4B">
        <w:rPr>
          <w:lang w:bidi="ar"/>
        </w:rPr>
        <w:tab/>
      </w:r>
      <w:r w:rsidRPr="00AB1C4B">
        <w:rPr>
          <w:rFonts w:hint="cs"/>
          <w:rtl/>
        </w:rPr>
        <w:t xml:space="preserve">بالاستناد إلى نتائج الدراسة المذكورة أعلاه التي تجريها لجنة الدراسات </w:t>
      </w:r>
      <w:r w:rsidRPr="00AB1C4B">
        <w:rPr>
          <w:rFonts w:hint="cs"/>
          <w:rtl/>
          <w:lang w:bidi="ar"/>
        </w:rPr>
        <w:t>2</w:t>
      </w:r>
      <w:r w:rsidRPr="00AB1C4B">
        <w:rPr>
          <w:rFonts w:hint="cs"/>
          <w:rtl/>
        </w:rPr>
        <w:t xml:space="preserve">، بتنظيم المستودع الإلكتروني الموصوف أعلاه </w:t>
      </w:r>
      <w:r w:rsidRPr="00AB1C4B">
        <w:rPr>
          <w:rFonts w:hint="eastAsia"/>
          <w:rtl/>
        </w:rPr>
        <w:t>وإدارته</w:t>
      </w:r>
      <w:r w:rsidRPr="00AB1C4B">
        <w:rPr>
          <w:rtl/>
        </w:rPr>
        <w:t xml:space="preserve"> ضمن الميزانية المخصصة،</w:t>
      </w:r>
    </w:p>
    <w:p w14:paraId="353D14D9" w14:textId="77777777" w:rsidR="00116562" w:rsidRPr="00AB1C4B" w:rsidRDefault="00116562" w:rsidP="00116562">
      <w:pPr>
        <w:pStyle w:val="Call"/>
        <w:spacing w:before="160" w:line="180" w:lineRule="auto"/>
        <w:rPr>
          <w:lang w:bidi="ar"/>
        </w:rPr>
      </w:pPr>
      <w:r w:rsidRPr="00AB1C4B">
        <w:rPr>
          <w:rFonts w:hint="cs"/>
          <w:rtl/>
        </w:rPr>
        <w:t>تدعو الدول الأعضاء وأعضاء القطاع والمنتسبين والهيئات الأكاديمية</w:t>
      </w:r>
    </w:p>
    <w:p w14:paraId="0355A034" w14:textId="77777777" w:rsidR="00116562" w:rsidRPr="00AB1C4B" w:rsidRDefault="00116562" w:rsidP="00116562">
      <w:pPr>
        <w:spacing w:line="180" w:lineRule="auto"/>
        <w:rPr>
          <w:rtl/>
          <w:lang w:bidi="ar"/>
        </w:rPr>
      </w:pPr>
      <w:r w:rsidRPr="00AB1C4B">
        <w:rPr>
          <w:rFonts w:hint="eastAsia"/>
          <w:rtl/>
        </w:rPr>
        <w:t>إلى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أن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تقدم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مساهمات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إلى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اجتماعات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لجنة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الدراسات</w:t>
      </w:r>
      <w:r w:rsidRPr="00AB1C4B">
        <w:rPr>
          <w:rFonts w:hint="cs"/>
          <w:rtl/>
          <w:lang w:bidi="ar"/>
        </w:rPr>
        <w:t> </w:t>
      </w:r>
      <w:r w:rsidRPr="00AB1C4B">
        <w:rPr>
          <w:lang w:bidi="ar"/>
        </w:rPr>
        <w:t>2</w:t>
      </w:r>
      <w:r w:rsidRPr="00AB1C4B">
        <w:rPr>
          <w:rtl/>
        </w:rPr>
        <w:t xml:space="preserve"> والفريق الاستشاري </w:t>
      </w:r>
      <w:r w:rsidRPr="00AB1C4B">
        <w:rPr>
          <w:rFonts w:hint="eastAsia"/>
          <w:rtl/>
        </w:rPr>
        <w:t>لتقييس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الاتصالات،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بهدف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تنظيم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>مستودع إلكتروني</w:t>
      </w:r>
      <w:r w:rsidRPr="00AB1C4B">
        <w:rPr>
          <w:rFonts w:hint="eastAsia"/>
          <w:rtl/>
        </w:rPr>
        <w:t>،</w:t>
      </w:r>
    </w:p>
    <w:p w14:paraId="06EF966E" w14:textId="77777777" w:rsidR="00116562" w:rsidRPr="00AB1C4B" w:rsidRDefault="00116562" w:rsidP="00116562">
      <w:pPr>
        <w:pStyle w:val="Call"/>
        <w:spacing w:before="160" w:line="180" w:lineRule="auto"/>
        <w:rPr>
          <w:lang w:bidi="ar"/>
        </w:rPr>
      </w:pPr>
      <w:r w:rsidRPr="00AB1C4B">
        <w:rPr>
          <w:rFonts w:hint="cs"/>
          <w:rtl/>
        </w:rPr>
        <w:t>تشجع الدول الأعضاء</w:t>
      </w:r>
    </w:p>
    <w:p w14:paraId="3D5B6ACA" w14:textId="3A79974A" w:rsidR="00AD03F7" w:rsidRDefault="00116562" w:rsidP="00116562">
      <w:pPr>
        <w:rPr>
          <w:rtl/>
          <w:lang w:bidi="ar"/>
        </w:rPr>
      </w:pPr>
      <w:r w:rsidRPr="00AB1C4B">
        <w:rPr>
          <w:rFonts w:hint="eastAsia"/>
          <w:rtl/>
        </w:rPr>
        <w:t>عملاً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بتوصيات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قطاع </w:t>
      </w:r>
      <w:r w:rsidRPr="00AB1C4B">
        <w:rPr>
          <w:rFonts w:hint="eastAsia"/>
          <w:rtl/>
        </w:rPr>
        <w:t>تقييس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Fonts w:hint="cs"/>
          <w:rtl/>
        </w:rPr>
        <w:t xml:space="preserve"> ذات الصلة</w:t>
      </w:r>
      <w:r w:rsidRPr="00AB1C4B">
        <w:rPr>
          <w:rFonts w:hint="eastAsia"/>
          <w:rtl/>
        </w:rPr>
        <w:t>،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على تقديم </w:t>
      </w:r>
      <w:r w:rsidRPr="00AB1C4B">
        <w:rPr>
          <w:rFonts w:hint="eastAsia"/>
          <w:rtl/>
        </w:rPr>
        <w:t>معلومات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بشأن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تقديم خطط </w:t>
      </w:r>
      <w:r w:rsidRPr="00AB1C4B">
        <w:rPr>
          <w:rFonts w:hint="eastAsia"/>
          <w:rtl/>
        </w:rPr>
        <w:t>الترقيم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الوطنية</w:t>
      </w:r>
      <w:r w:rsidRPr="00AB1C4B">
        <w:rPr>
          <w:rtl/>
        </w:rPr>
        <w:t xml:space="preserve"> لديها وتعديلاته</w:t>
      </w:r>
      <w:r w:rsidRPr="00AB1C4B">
        <w:rPr>
          <w:rFonts w:hint="eastAsia"/>
          <w:rtl/>
        </w:rPr>
        <w:t>ا</w:t>
      </w:r>
      <w:r w:rsidRPr="00AB1C4B">
        <w:rPr>
          <w:rtl/>
        </w:rPr>
        <w:t xml:space="preserve"> في</w:t>
      </w:r>
      <w:r w:rsidRPr="00AB1C4B">
        <w:rPr>
          <w:rtl/>
          <w:lang w:bidi="ar"/>
        </w:rPr>
        <w:t> </w:t>
      </w:r>
      <w:r w:rsidRPr="00AB1C4B">
        <w:rPr>
          <w:rtl/>
        </w:rPr>
        <w:t xml:space="preserve">الوقت المناسب، </w:t>
      </w:r>
      <w:r w:rsidRPr="00AB1C4B">
        <w:rPr>
          <w:rFonts w:hint="eastAsia"/>
          <w:rtl/>
        </w:rPr>
        <w:t>لضمان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مواكبة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المستودع الإلكتروني </w:t>
      </w:r>
      <w:r w:rsidRPr="00AB1C4B">
        <w:rPr>
          <w:rFonts w:hint="eastAsia"/>
          <w:rtl/>
        </w:rPr>
        <w:t>لآخر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المستجدات</w:t>
      </w:r>
      <w:r w:rsidRPr="00AB1C4B">
        <w:rPr>
          <w:rtl/>
          <w:lang w:bidi="ar"/>
        </w:rPr>
        <w:t>.</w:t>
      </w:r>
    </w:p>
    <w:p w14:paraId="65ADCCC5" w14:textId="5D62210D" w:rsidR="00BF32D7" w:rsidRDefault="00BF32D7" w:rsidP="00116562">
      <w:pPr>
        <w:rPr>
          <w:rtl/>
          <w:lang w:bidi="ar"/>
        </w:rPr>
      </w:pPr>
    </w:p>
    <w:p w14:paraId="189AD6E7" w14:textId="6B6B6F81" w:rsidR="00BF32D7" w:rsidRDefault="00BF32D7" w:rsidP="00116562">
      <w:pPr>
        <w:rPr>
          <w:rtl/>
          <w:lang w:bidi="ar"/>
        </w:rPr>
      </w:pPr>
    </w:p>
    <w:p w14:paraId="13A18CF2" w14:textId="1A02CC6D" w:rsidR="00BF32D7" w:rsidRDefault="00BF32D7" w:rsidP="00116562">
      <w:pPr>
        <w:rPr>
          <w:rtl/>
          <w:lang w:bidi="ar"/>
        </w:rPr>
      </w:pPr>
    </w:p>
    <w:p w14:paraId="78692033" w14:textId="717D4FBC" w:rsidR="00BF32D7" w:rsidRDefault="00BF32D7" w:rsidP="00116562">
      <w:pPr>
        <w:rPr>
          <w:rtl/>
          <w:lang w:bidi="ar"/>
        </w:rPr>
      </w:pPr>
    </w:p>
    <w:p w14:paraId="6F68D2FC" w14:textId="0190271D" w:rsidR="00BF32D7" w:rsidRDefault="00BF32D7" w:rsidP="00116562">
      <w:pPr>
        <w:rPr>
          <w:rtl/>
          <w:lang w:bidi="ar"/>
        </w:rPr>
      </w:pPr>
    </w:p>
    <w:p w14:paraId="12393178" w14:textId="6D68B3D6" w:rsidR="00BF32D7" w:rsidRDefault="00BF32D7" w:rsidP="00116562">
      <w:pPr>
        <w:rPr>
          <w:rtl/>
          <w:lang w:bidi="ar"/>
        </w:rPr>
      </w:pPr>
    </w:p>
    <w:p w14:paraId="64C819FE" w14:textId="257B950F" w:rsidR="00BF32D7" w:rsidRDefault="00BF32D7" w:rsidP="00116562">
      <w:pPr>
        <w:rPr>
          <w:rtl/>
          <w:lang w:bidi="ar"/>
        </w:rPr>
      </w:pPr>
    </w:p>
    <w:p w14:paraId="111221A4" w14:textId="2EFD1C56" w:rsidR="00BF32D7" w:rsidRDefault="00BF32D7" w:rsidP="00116562">
      <w:pPr>
        <w:rPr>
          <w:rtl/>
          <w:lang w:bidi="ar"/>
        </w:rPr>
      </w:pPr>
    </w:p>
    <w:p w14:paraId="3F34E2B6" w14:textId="68468FC6" w:rsidR="00BF32D7" w:rsidRDefault="00BF32D7" w:rsidP="00116562">
      <w:pPr>
        <w:rPr>
          <w:rtl/>
          <w:lang w:bidi="ar"/>
        </w:rPr>
      </w:pPr>
    </w:p>
    <w:p w14:paraId="7606897A" w14:textId="58833C9C" w:rsidR="00BF32D7" w:rsidRDefault="00BF32D7" w:rsidP="00116562">
      <w:pPr>
        <w:rPr>
          <w:rtl/>
          <w:lang w:bidi="ar"/>
        </w:rPr>
      </w:pPr>
    </w:p>
    <w:p w14:paraId="3DB90F94" w14:textId="28EB9CD8" w:rsidR="00BF32D7" w:rsidRDefault="00BF32D7" w:rsidP="00116562">
      <w:pPr>
        <w:rPr>
          <w:rtl/>
          <w:lang w:bidi="ar"/>
        </w:rPr>
      </w:pPr>
    </w:p>
    <w:p w14:paraId="71ECE01C" w14:textId="4A9C9D87" w:rsidR="00BF32D7" w:rsidRDefault="00BF32D7" w:rsidP="00116562">
      <w:pPr>
        <w:rPr>
          <w:rtl/>
          <w:lang w:bidi="ar"/>
        </w:rPr>
      </w:pPr>
    </w:p>
    <w:p w14:paraId="75543375" w14:textId="47505B27" w:rsidR="00BF32D7" w:rsidRDefault="00BF32D7" w:rsidP="00116562">
      <w:pPr>
        <w:rPr>
          <w:rtl/>
          <w:lang w:bidi="ar"/>
        </w:rPr>
      </w:pPr>
    </w:p>
    <w:p w14:paraId="70C5C041" w14:textId="147E6EB0" w:rsidR="00BF32D7" w:rsidRDefault="00BF32D7" w:rsidP="00116562">
      <w:pPr>
        <w:rPr>
          <w:rtl/>
          <w:lang w:bidi="ar"/>
        </w:rPr>
      </w:pPr>
    </w:p>
    <w:p w14:paraId="51692583" w14:textId="0BBCB6B6" w:rsidR="00BF32D7" w:rsidRDefault="00BF32D7" w:rsidP="00116562">
      <w:pPr>
        <w:rPr>
          <w:rtl/>
          <w:lang w:bidi="ar"/>
        </w:rPr>
      </w:pPr>
    </w:p>
    <w:p w14:paraId="61BA1FAF" w14:textId="17B84778" w:rsidR="00BF32D7" w:rsidRDefault="00BF32D7" w:rsidP="00116562">
      <w:pPr>
        <w:rPr>
          <w:rtl/>
          <w:lang w:bidi="ar"/>
        </w:rPr>
      </w:pPr>
    </w:p>
    <w:p w14:paraId="139A95A5" w14:textId="77777777" w:rsidR="00BF32D7" w:rsidRPr="00146809" w:rsidRDefault="00BF32D7" w:rsidP="00116562">
      <w:pPr>
        <w:rPr>
          <w:lang w:bidi="ar-EG"/>
        </w:rPr>
      </w:pPr>
    </w:p>
    <w:sectPr w:rsidR="00BF32D7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6499EA0C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4774BF">
      <w:rPr>
        <w:b/>
        <w:bCs/>
        <w:noProof/>
        <w:rtl/>
        <w:lang w:bidi="ar-EG"/>
      </w:rPr>
      <w:t>91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2D2465DA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BF32D7">
      <w:rPr>
        <w:b/>
        <w:bCs/>
        <w:rtl/>
        <w:lang w:bidi="ar-EG"/>
      </w:rPr>
      <w:fldChar w:fldCharType="begin"/>
    </w:r>
    <w:r w:rsidRPr="00BF32D7">
      <w:rPr>
        <w:b/>
        <w:bCs/>
        <w:rtl/>
        <w:lang w:bidi="ar-EG"/>
      </w:rPr>
      <w:instrText xml:space="preserve"> </w:instrText>
    </w:r>
    <w:r w:rsidRPr="00BF32D7">
      <w:rPr>
        <w:b/>
        <w:bCs/>
        <w:lang w:bidi="ar-EG"/>
      </w:rPr>
      <w:instrText>STYLEREF  href  \* MERGEFORMAT</w:instrText>
    </w:r>
    <w:r w:rsidRPr="00BF32D7">
      <w:rPr>
        <w:b/>
        <w:bCs/>
        <w:rtl/>
        <w:lang w:bidi="ar-EG"/>
      </w:rPr>
      <w:instrText xml:space="preserve"> </w:instrText>
    </w:r>
    <w:r w:rsidRPr="00BF32D7">
      <w:rPr>
        <w:b/>
        <w:bCs/>
        <w:rtl/>
        <w:lang w:bidi="ar-EG"/>
      </w:rPr>
      <w:fldChar w:fldCharType="separate"/>
    </w:r>
    <w:r w:rsidR="004774BF">
      <w:rPr>
        <w:b/>
        <w:bCs/>
        <w:noProof/>
        <w:rtl/>
        <w:lang w:bidi="ar-EG"/>
      </w:rPr>
      <w:t>91</w:t>
    </w:r>
    <w:r w:rsidRPr="00BF32D7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0C5029D7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4774BF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0C5029D7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4774BF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340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FA1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C6F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C3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14E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3AD8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A7D20"/>
    <w:rsid w:val="000B119B"/>
    <w:rsid w:val="000B2662"/>
    <w:rsid w:val="000B2849"/>
    <w:rsid w:val="000B34E0"/>
    <w:rsid w:val="000B3896"/>
    <w:rsid w:val="000B5404"/>
    <w:rsid w:val="000C23F2"/>
    <w:rsid w:val="000C2F13"/>
    <w:rsid w:val="000C3A5A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3F6F"/>
    <w:rsid w:val="00115F45"/>
    <w:rsid w:val="00116562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5F03"/>
    <w:rsid w:val="001D746E"/>
    <w:rsid w:val="001E190C"/>
    <w:rsid w:val="001E51EE"/>
    <w:rsid w:val="001E54F6"/>
    <w:rsid w:val="001E5A8C"/>
    <w:rsid w:val="001F6E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60D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B763D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14A7"/>
    <w:rsid w:val="003A3882"/>
    <w:rsid w:val="003A60E6"/>
    <w:rsid w:val="003B242C"/>
    <w:rsid w:val="003B27AD"/>
    <w:rsid w:val="003B4F23"/>
    <w:rsid w:val="003B6EB4"/>
    <w:rsid w:val="003C12F6"/>
    <w:rsid w:val="003C16E7"/>
    <w:rsid w:val="003C3499"/>
    <w:rsid w:val="003C3A13"/>
    <w:rsid w:val="003C3A19"/>
    <w:rsid w:val="003C42D5"/>
    <w:rsid w:val="003D6DEE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4BF"/>
    <w:rsid w:val="004778CF"/>
    <w:rsid w:val="0048330A"/>
    <w:rsid w:val="00486205"/>
    <w:rsid w:val="00486B2B"/>
    <w:rsid w:val="004878DD"/>
    <w:rsid w:val="004909DD"/>
    <w:rsid w:val="00491FC8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2F6E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1A9B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104"/>
    <w:rsid w:val="006315B5"/>
    <w:rsid w:val="00642455"/>
    <w:rsid w:val="00642A66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2632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9F7BCD"/>
    <w:rsid w:val="00A01C24"/>
    <w:rsid w:val="00A02FCE"/>
    <w:rsid w:val="00A03FD6"/>
    <w:rsid w:val="00A04CF4"/>
    <w:rsid w:val="00A058A1"/>
    <w:rsid w:val="00A0706E"/>
    <w:rsid w:val="00A116A8"/>
    <w:rsid w:val="00A1489C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4C49"/>
    <w:rsid w:val="00AA6493"/>
    <w:rsid w:val="00AA6EF1"/>
    <w:rsid w:val="00AB1C4B"/>
    <w:rsid w:val="00AB2A33"/>
    <w:rsid w:val="00AC0C86"/>
    <w:rsid w:val="00AC1275"/>
    <w:rsid w:val="00AC7395"/>
    <w:rsid w:val="00AD03F7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4D5F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91C"/>
    <w:rsid w:val="00BC7FBB"/>
    <w:rsid w:val="00BD6291"/>
    <w:rsid w:val="00BD6EF3"/>
    <w:rsid w:val="00BD7887"/>
    <w:rsid w:val="00BE31B6"/>
    <w:rsid w:val="00BE5420"/>
    <w:rsid w:val="00BE69C3"/>
    <w:rsid w:val="00BF16BC"/>
    <w:rsid w:val="00BF32D7"/>
    <w:rsid w:val="00C07F63"/>
    <w:rsid w:val="00C1165E"/>
    <w:rsid w:val="00C123EC"/>
    <w:rsid w:val="00C1292A"/>
    <w:rsid w:val="00C22074"/>
    <w:rsid w:val="00C2377B"/>
    <w:rsid w:val="00C24782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0492F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16B3C"/>
    <w:rsid w:val="00E20161"/>
    <w:rsid w:val="00E22A86"/>
    <w:rsid w:val="00E2489D"/>
    <w:rsid w:val="00E26520"/>
    <w:rsid w:val="00E30D5A"/>
    <w:rsid w:val="00E3438B"/>
    <w:rsid w:val="00E343A3"/>
    <w:rsid w:val="00E371D5"/>
    <w:rsid w:val="00E417B9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4524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77</cp:revision>
  <cp:lastPrinted>2022-04-20T11:57:00Z</cp:lastPrinted>
  <dcterms:created xsi:type="dcterms:W3CDTF">2022-04-13T13:32:00Z</dcterms:created>
  <dcterms:modified xsi:type="dcterms:W3CDTF">2022-04-20T11:58:00Z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