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7750E5F2" w:rsidR="00EA2A26" w:rsidRPr="00EA2A26" w:rsidRDefault="0053765D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4C14F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ECB2AF0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proofErr w:type="spellStart"/>
            <w:r w:rsidR="00562E81" w:rsidRPr="00562E81">
              <w:rPr>
                <w:rFonts w:ascii="Arial" w:hAnsi="Arial" w:cs="Arial"/>
                <w:sz w:val="36"/>
                <w:szCs w:val="36"/>
                <w:lang w:val="en-GB"/>
              </w:rPr>
              <w:t>Hammamet</w:t>
            </w:r>
            <w:proofErr w:type="spellEnd"/>
            <w:r w:rsidR="00562E81" w:rsidRPr="00562E81">
              <w:rPr>
                <w:rFonts w:ascii="Arial" w:hAnsi="Arial" w:cs="Arial"/>
                <w:sz w:val="36"/>
                <w:szCs w:val="36"/>
                <w:lang w:val="en-GB"/>
              </w:rPr>
              <w:t xml:space="preserve">, 25 October </w:t>
            </w:r>
            <w:r w:rsidR="00562E81" w:rsidRPr="00562E81">
              <w:rPr>
                <w:rFonts w:ascii="Arial" w:hAnsi="Arial" w:cs="Arial"/>
                <w:sz w:val="36"/>
                <w:szCs w:val="36"/>
                <w:lang w:val="en-US"/>
              </w:rPr>
              <w:t>–</w:t>
            </w:r>
            <w:r w:rsidR="00562E81" w:rsidRPr="00562E81">
              <w:rPr>
                <w:rFonts w:ascii="Arial" w:hAnsi="Arial" w:cs="Arial"/>
                <w:sz w:val="36"/>
                <w:szCs w:val="36"/>
                <w:lang w:val="en-GB"/>
              </w:rPr>
              <w:t xml:space="preserve"> 3 November 2016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4C14F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6FAAEC08" w:rsidR="00EA2A26" w:rsidRPr="0033681A" w:rsidRDefault="00EA2A26" w:rsidP="005A4FA5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r>
              <w:rPr>
                <w:spacing w:val="-6"/>
                <w:sz w:val="44"/>
                <w:szCs w:val="44"/>
                <w:lang w:val="en-GB"/>
              </w:rPr>
              <w:t xml:space="preserve">Resolution </w:t>
            </w:r>
            <w:r w:rsidR="006775FC">
              <w:rPr>
                <w:spacing w:val="-6"/>
                <w:sz w:val="44"/>
                <w:szCs w:val="44"/>
                <w:lang w:val="en-GB"/>
              </w:rPr>
              <w:t>90</w:t>
            </w:r>
            <w:r w:rsidR="00845E8E">
              <w:rPr>
                <w:spacing w:val="-6"/>
                <w:sz w:val="44"/>
                <w:szCs w:val="44"/>
                <w:lang w:val="en-GB"/>
              </w:rPr>
              <w:t xml:space="preserve"> – </w:t>
            </w:r>
            <w:r w:rsidR="006775FC" w:rsidRPr="006775FC">
              <w:rPr>
                <w:spacing w:val="-6"/>
                <w:sz w:val="44"/>
                <w:szCs w:val="44"/>
                <w:lang w:val="en-GB"/>
              </w:rPr>
              <w:t>Open source in the ITU Telecommunication Standardization Sector</w:t>
            </w:r>
          </w:p>
          <w:p w14:paraId="51262F1D" w14:textId="77777777" w:rsidR="00EA2A26" w:rsidRPr="00E70EFB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E70EF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E70EFB" w:rsidRDefault="00EA2A26" w:rsidP="00EA2A26">
      <w:pPr>
        <w:jc w:val="left"/>
        <w:rPr>
          <w:lang w:val="en-GB"/>
        </w:rPr>
        <w:sectPr w:rsidR="00EA2A26" w:rsidRPr="00E70EFB" w:rsidSect="00EA2A26">
          <w:headerReference w:type="even" r:id="rId8"/>
          <w:headerReference w:type="default" r:id="rId9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1" w:name="irecnoe"/>
      <w:bookmarkEnd w:id="1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E26B4" w14:textId="77777777" w:rsidR="004C14F3" w:rsidRDefault="004C14F3" w:rsidP="000E4393">
      <w:pPr>
        <w:spacing w:line="240" w:lineRule="exact"/>
        <w:jc w:val="center"/>
        <w:rPr>
          <w:sz w:val="20"/>
          <w:lang w:val="en-GB"/>
        </w:rPr>
      </w:pPr>
    </w:p>
    <w:p w14:paraId="697A8049" w14:textId="77777777" w:rsidR="004C14F3" w:rsidRPr="00F81B8E" w:rsidRDefault="004C14F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362FA942" w:rsid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</w:t>
      </w:r>
      <w:r w:rsidR="00E70EFB">
        <w:rPr>
          <w:sz w:val="20"/>
          <w:lang w:val="en-GB"/>
        </w:rPr>
        <w:t>1</w:t>
      </w:r>
      <w:r w:rsidR="00562E81">
        <w:rPr>
          <w:sz w:val="20"/>
          <w:lang w:val="en-GB"/>
        </w:rPr>
        <w:t>6</w:t>
      </w:r>
    </w:p>
    <w:p w14:paraId="0101480C" w14:textId="77777777" w:rsidR="00E70EFB" w:rsidRPr="00E70EFB" w:rsidRDefault="00E70EFB" w:rsidP="00E70EFB">
      <w:pPr>
        <w:jc w:val="center"/>
        <w:rPr>
          <w:sz w:val="20"/>
          <w:lang w:val="en-GB"/>
        </w:rPr>
      </w:pPr>
      <w:r w:rsidRPr="00E70EFB">
        <w:rPr>
          <w:sz w:val="20"/>
          <w:lang w:val="en-GB"/>
        </w:rPr>
        <w:t>This resolution was republished in 2024 to update the cover page. No other modifications were introduced.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2C0372E" w14:textId="77777777" w:rsidR="006775FC" w:rsidRPr="007940B1" w:rsidRDefault="006775FC" w:rsidP="007675AD">
      <w:pPr>
        <w:pStyle w:val="ResNo"/>
        <w:outlineLvl w:val="0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>
        <w:rPr>
          <w:rStyle w:val="href"/>
          <w:lang w:val="en-US"/>
        </w:rPr>
        <w:t xml:space="preserve">90 </w:t>
      </w:r>
      <w:r w:rsidRPr="00A33370">
        <w:rPr>
          <w:lang w:val="en-GB"/>
        </w:rPr>
        <w:t>(</w:t>
      </w:r>
      <w:proofErr w:type="spellStart"/>
      <w:r w:rsidRPr="00A33370">
        <w:rPr>
          <w:caps w:val="0"/>
          <w:lang w:val="en-GB"/>
        </w:rPr>
        <w:t>Hammamet</w:t>
      </w:r>
      <w:proofErr w:type="spellEnd"/>
      <w:r w:rsidRPr="00A33370">
        <w:rPr>
          <w:lang w:val="en-GB"/>
        </w:rPr>
        <w:t>, 2016)</w:t>
      </w:r>
    </w:p>
    <w:p w14:paraId="4311B20F" w14:textId="77777777" w:rsidR="006775FC" w:rsidRDefault="006775FC" w:rsidP="007675AD">
      <w:pPr>
        <w:pStyle w:val="Restitle"/>
        <w:outlineLvl w:val="0"/>
        <w:rPr>
          <w:lang w:val="en-GB"/>
        </w:rPr>
      </w:pPr>
      <w:r w:rsidRPr="007940B1">
        <w:rPr>
          <w:lang w:val="en-GB"/>
        </w:rPr>
        <w:t>Open source in the ITU Telecommunication Standardization Sector</w:t>
      </w:r>
    </w:p>
    <w:p w14:paraId="18E8B4D4" w14:textId="77777777" w:rsidR="006775FC" w:rsidRPr="007940B1" w:rsidRDefault="006775FC" w:rsidP="006775FC">
      <w:pPr>
        <w:pStyle w:val="Resref"/>
        <w:rPr>
          <w:lang w:val="en-GB"/>
        </w:rPr>
      </w:pPr>
      <w:r w:rsidRPr="007940B1">
        <w:rPr>
          <w:lang w:val="en-GB"/>
        </w:rPr>
        <w:t>(</w:t>
      </w:r>
      <w:proofErr w:type="spellStart"/>
      <w:r w:rsidRPr="007940B1">
        <w:rPr>
          <w:lang w:val="en-GB"/>
        </w:rPr>
        <w:t>Hammamet</w:t>
      </w:r>
      <w:proofErr w:type="spellEnd"/>
      <w:r w:rsidRPr="007940B1">
        <w:rPr>
          <w:lang w:val="en-GB"/>
        </w:rPr>
        <w:t>, 2016)</w:t>
      </w:r>
    </w:p>
    <w:p w14:paraId="326DF884" w14:textId="77777777" w:rsidR="006775FC" w:rsidRPr="001902C7" w:rsidRDefault="006775FC" w:rsidP="006775FC">
      <w:pPr>
        <w:pStyle w:val="Normalaftertitle0"/>
      </w:pPr>
      <w:r w:rsidRPr="001902C7">
        <w:t>The World Telecommunication Standardization Assembly (</w:t>
      </w:r>
      <w:proofErr w:type="spellStart"/>
      <w:r w:rsidRPr="001902C7">
        <w:t>Hammamet</w:t>
      </w:r>
      <w:proofErr w:type="spellEnd"/>
      <w:r w:rsidRPr="001902C7">
        <w:t>, 2016),</w:t>
      </w:r>
    </w:p>
    <w:p w14:paraId="3FE3AF14" w14:textId="77777777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t>recalling</w:t>
      </w:r>
    </w:p>
    <w:p w14:paraId="1CC064EA" w14:textId="77777777" w:rsidR="006775FC" w:rsidRPr="007940B1" w:rsidRDefault="006775FC" w:rsidP="006775FC">
      <w:pPr>
        <w:rPr>
          <w:lang w:val="en-US"/>
        </w:rPr>
      </w:pPr>
      <w:r w:rsidRPr="007940B1">
        <w:rPr>
          <w:i/>
          <w:iCs/>
          <w:lang w:val="en-US"/>
        </w:rPr>
        <w:t>a)</w:t>
      </w:r>
      <w:r w:rsidRPr="007940B1">
        <w:rPr>
          <w:lang w:val="en-US"/>
        </w:rPr>
        <w:tab/>
        <w:t>§ 10e) and § 23o) of the Geneva Plan of Action of the World Summit on the Information Society (WSIS</w:t>
      </w:r>
      <w:proofErr w:type="gramStart"/>
      <w:r w:rsidRPr="007940B1">
        <w:rPr>
          <w:lang w:val="en-US"/>
        </w:rPr>
        <w:t>);</w:t>
      </w:r>
      <w:proofErr w:type="gramEnd"/>
    </w:p>
    <w:p w14:paraId="1BEC25E6" w14:textId="77777777" w:rsidR="006775FC" w:rsidRPr="007940B1" w:rsidRDefault="006775FC" w:rsidP="006775FC">
      <w:pPr>
        <w:rPr>
          <w:lang w:val="en-US"/>
        </w:rPr>
      </w:pPr>
      <w:r w:rsidRPr="007940B1">
        <w:rPr>
          <w:i/>
          <w:iCs/>
          <w:lang w:val="en-US"/>
        </w:rPr>
        <w:t>b)</w:t>
      </w:r>
      <w:r w:rsidRPr="007940B1">
        <w:rPr>
          <w:lang w:val="en-US"/>
        </w:rPr>
        <w:tab/>
        <w:t xml:space="preserve">§ 29) of the Tunis Commitment of </w:t>
      </w:r>
      <w:proofErr w:type="gramStart"/>
      <w:r w:rsidRPr="007940B1">
        <w:rPr>
          <w:lang w:val="en-US"/>
        </w:rPr>
        <w:t>WSIS;</w:t>
      </w:r>
      <w:proofErr w:type="gramEnd"/>
    </w:p>
    <w:p w14:paraId="4D76A792" w14:textId="77777777" w:rsidR="006775FC" w:rsidRPr="007940B1" w:rsidRDefault="006775FC" w:rsidP="006775FC">
      <w:pPr>
        <w:rPr>
          <w:lang w:val="en-US"/>
        </w:rPr>
      </w:pPr>
      <w:r w:rsidRPr="007940B1">
        <w:rPr>
          <w:i/>
          <w:iCs/>
          <w:lang w:val="en-US"/>
        </w:rPr>
        <w:t>c)</w:t>
      </w:r>
      <w:r w:rsidRPr="007940B1">
        <w:rPr>
          <w:lang w:val="en-US"/>
        </w:rPr>
        <w:tab/>
        <w:t xml:space="preserve">§ 49) of the Tunis Agenda for the Information Society of </w:t>
      </w:r>
      <w:proofErr w:type="gramStart"/>
      <w:r w:rsidRPr="007940B1">
        <w:rPr>
          <w:lang w:val="en-US"/>
        </w:rPr>
        <w:t>WSIS;</w:t>
      </w:r>
      <w:proofErr w:type="gramEnd"/>
    </w:p>
    <w:p w14:paraId="5C075CA9" w14:textId="77777777" w:rsidR="006775FC" w:rsidRPr="007940B1" w:rsidRDefault="006775FC" w:rsidP="006775FC">
      <w:pPr>
        <w:rPr>
          <w:lang w:val="en-US"/>
        </w:rPr>
      </w:pPr>
      <w:r w:rsidRPr="007940B1">
        <w:rPr>
          <w:i/>
          <w:iCs/>
          <w:lang w:val="en-US"/>
        </w:rPr>
        <w:t>d)</w:t>
      </w:r>
      <w:r w:rsidRPr="007940B1">
        <w:rPr>
          <w:lang w:val="en-US"/>
        </w:rPr>
        <w:tab/>
        <w:t>Resolution 44 (Rev. </w:t>
      </w:r>
      <w:proofErr w:type="spellStart"/>
      <w:r w:rsidRPr="00A33370">
        <w:rPr>
          <w:lang w:val="en-GB"/>
        </w:rPr>
        <w:t>Hammamet</w:t>
      </w:r>
      <w:proofErr w:type="spellEnd"/>
      <w:r w:rsidRPr="00A33370">
        <w:rPr>
          <w:lang w:val="en-GB"/>
        </w:rPr>
        <w:t>, 2016) of this assembly,</w:t>
      </w:r>
      <w:r w:rsidRPr="007940B1">
        <w:rPr>
          <w:lang w:val="en-US"/>
        </w:rPr>
        <w:t xml:space="preserve"> on bridging the standardization gap between developing</w:t>
      </w:r>
      <w:r w:rsidRPr="007940B1">
        <w:rPr>
          <w:rStyle w:val="FootnoteReference"/>
          <w:lang w:val="en-US"/>
        </w:rPr>
        <w:footnoteReference w:customMarkFollows="1" w:id="1"/>
        <w:t>1</w:t>
      </w:r>
      <w:r w:rsidRPr="007940B1">
        <w:rPr>
          <w:lang w:val="en-US"/>
        </w:rPr>
        <w:t xml:space="preserve"> and developed </w:t>
      </w:r>
      <w:proofErr w:type="gramStart"/>
      <w:r w:rsidRPr="007940B1">
        <w:rPr>
          <w:lang w:val="en-US"/>
        </w:rPr>
        <w:t>countries;</w:t>
      </w:r>
      <w:proofErr w:type="gramEnd"/>
    </w:p>
    <w:p w14:paraId="217AAA52" w14:textId="77777777" w:rsidR="006775FC" w:rsidRPr="007940B1" w:rsidRDefault="006775FC" w:rsidP="006775FC">
      <w:pPr>
        <w:rPr>
          <w:lang w:val="en-US"/>
        </w:rPr>
      </w:pPr>
      <w:r w:rsidRPr="007940B1">
        <w:rPr>
          <w:i/>
          <w:iCs/>
          <w:lang w:val="en-US"/>
        </w:rPr>
        <w:t>e)</w:t>
      </w:r>
      <w:r w:rsidRPr="007940B1">
        <w:rPr>
          <w:lang w:val="en-US"/>
        </w:rPr>
        <w:tab/>
        <w:t>Resolution 58 (Rev. Dubai, 2014) of World Telecommunication Development Conference, which resolves to invite Member States to promote and undertake research and development of ICT-accessible equipment, services and software, with emphasis on free and open-source software and affordable equipment and services,</w:t>
      </w:r>
    </w:p>
    <w:p w14:paraId="79E4C6FB" w14:textId="77777777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t>resolves</w:t>
      </w:r>
    </w:p>
    <w:p w14:paraId="58B2780E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that the Telecommunication Standardization Advisory Group (TSAG) continue to work on the benefits and disadvantages of the implementation of open-source projects in relation with the work of the ITU Telecommunication Standardization Sector (ITU</w:t>
      </w:r>
      <w:r w:rsidRPr="007940B1">
        <w:rPr>
          <w:lang w:val="en-US"/>
        </w:rPr>
        <w:noBreakHyphen/>
        <w:t>T), as appropriate,</w:t>
      </w:r>
    </w:p>
    <w:p w14:paraId="51B48814" w14:textId="77777777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t>instructs all applicable study groups of the ITU Telecommunication Standardization Sector, within available financial resources</w:t>
      </w:r>
    </w:p>
    <w:p w14:paraId="15D53CB0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1</w:t>
      </w:r>
      <w:r w:rsidRPr="007940B1">
        <w:rPr>
          <w:lang w:val="en-US"/>
        </w:rPr>
        <w:tab/>
        <w:t>to provide inputs to TSAG enquiries on open source as listed in TSAG Report 8, July </w:t>
      </w:r>
      <w:proofErr w:type="gramStart"/>
      <w:r w:rsidRPr="007940B1">
        <w:rPr>
          <w:lang w:val="en-US"/>
        </w:rPr>
        <w:t>2016;</w:t>
      </w:r>
      <w:proofErr w:type="gramEnd"/>
    </w:p>
    <w:p w14:paraId="3085E21D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2</w:t>
      </w:r>
      <w:r w:rsidRPr="007940B1">
        <w:rPr>
          <w:lang w:val="en-US"/>
        </w:rPr>
        <w:tab/>
        <w:t>to consider output from TSAG on open source, in order to study the value of using open source to develop reference implementations of ITU</w:t>
      </w:r>
      <w:r w:rsidRPr="007940B1">
        <w:rPr>
          <w:lang w:val="en-US"/>
        </w:rPr>
        <w:noBreakHyphen/>
        <w:t xml:space="preserve">T Recommendations, as </w:t>
      </w:r>
      <w:proofErr w:type="gramStart"/>
      <w:r w:rsidRPr="007940B1">
        <w:rPr>
          <w:lang w:val="en-US"/>
        </w:rPr>
        <w:t>appropriate;</w:t>
      </w:r>
      <w:proofErr w:type="gramEnd"/>
    </w:p>
    <w:p w14:paraId="1B403287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3</w:t>
      </w:r>
      <w:r w:rsidRPr="007940B1">
        <w:rPr>
          <w:lang w:val="en-US"/>
        </w:rPr>
        <w:tab/>
        <w:t xml:space="preserve">considering the output of the studies under </w:t>
      </w:r>
      <w:r w:rsidRPr="007940B1">
        <w:rPr>
          <w:i/>
          <w:iCs/>
          <w:lang w:val="en-US"/>
        </w:rPr>
        <w:t>instructs </w:t>
      </w:r>
      <w:r w:rsidRPr="007940B1">
        <w:rPr>
          <w:lang w:val="en-US"/>
        </w:rPr>
        <w:t xml:space="preserve">2 above, to continue using open source as </w:t>
      </w:r>
      <w:proofErr w:type="gramStart"/>
      <w:r w:rsidRPr="007940B1">
        <w:rPr>
          <w:lang w:val="en-US"/>
        </w:rPr>
        <w:t>appropriate;</w:t>
      </w:r>
      <w:proofErr w:type="gramEnd"/>
    </w:p>
    <w:p w14:paraId="08DF1D2B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4</w:t>
      </w:r>
      <w:r w:rsidRPr="007940B1">
        <w:rPr>
          <w:lang w:val="en-US"/>
        </w:rPr>
        <w:tab/>
        <w:t xml:space="preserve">to support the use of open-source projects in their work, as appropriate, taking into account the outcome of the TSAG </w:t>
      </w:r>
      <w:proofErr w:type="gramStart"/>
      <w:r w:rsidRPr="007940B1">
        <w:rPr>
          <w:lang w:val="en-US"/>
        </w:rPr>
        <w:t>study;</w:t>
      </w:r>
      <w:proofErr w:type="gramEnd"/>
      <w:r w:rsidRPr="007940B1">
        <w:rPr>
          <w:lang w:val="en-US"/>
        </w:rPr>
        <w:t xml:space="preserve"> </w:t>
      </w:r>
    </w:p>
    <w:p w14:paraId="726EAFF8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5</w:t>
      </w:r>
      <w:r w:rsidRPr="007940B1">
        <w:rPr>
          <w:lang w:val="en-US"/>
        </w:rPr>
        <w:tab/>
        <w:t xml:space="preserve">to continue engaging with open-source projects, </w:t>
      </w:r>
    </w:p>
    <w:p w14:paraId="1B61A386" w14:textId="77777777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t>instructs the Director of the Telecommunication Standardization Bureau</w:t>
      </w:r>
    </w:p>
    <w:p w14:paraId="0BCB0AD9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1</w:t>
      </w:r>
      <w:r w:rsidRPr="007940B1">
        <w:rPr>
          <w:lang w:val="en-US"/>
        </w:rPr>
        <w:tab/>
        <w:t xml:space="preserve">to provide </w:t>
      </w:r>
      <w:proofErr w:type="gramStart"/>
      <w:r w:rsidRPr="007940B1">
        <w:rPr>
          <w:lang w:val="en-US"/>
        </w:rPr>
        <w:t>open source</w:t>
      </w:r>
      <w:proofErr w:type="gramEnd"/>
      <w:r w:rsidRPr="007940B1">
        <w:rPr>
          <w:lang w:val="en-US"/>
        </w:rPr>
        <w:t xml:space="preserve"> related training (e.g. tutorials, seminars, workshops) to ITU</w:t>
      </w:r>
      <w:r w:rsidRPr="007940B1">
        <w:rPr>
          <w:lang w:val="en-US"/>
        </w:rPr>
        <w:noBreakHyphen/>
        <w:t>T participants, in collaboration with open-source communities and the Telecommunication Development Bureau, taking into account the ITU</w:t>
      </w:r>
      <w:r w:rsidRPr="007940B1">
        <w:rPr>
          <w:lang w:val="en-US"/>
        </w:rPr>
        <w:noBreakHyphen/>
        <w:t>T objective to bridge the standardization gap and digital gender gap and the budgetary constraints of the Union;</w:t>
      </w:r>
    </w:p>
    <w:p w14:paraId="076BDF08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2</w:t>
      </w:r>
      <w:r w:rsidRPr="007940B1">
        <w:rPr>
          <w:lang w:val="en-US"/>
        </w:rPr>
        <w:tab/>
        <w:t>to submit a report to TSAG annually on progress achieved in implementing this resolution,</w:t>
      </w:r>
    </w:p>
    <w:p w14:paraId="42616EF3" w14:textId="77777777" w:rsidR="007675AD" w:rsidRDefault="007675AD" w:rsidP="006775FC">
      <w:pPr>
        <w:pStyle w:val="Call"/>
        <w:rPr>
          <w:lang w:val="en-US"/>
        </w:rPr>
      </w:pPr>
      <w:r>
        <w:rPr>
          <w:lang w:val="en-US"/>
        </w:rPr>
        <w:br w:type="page"/>
      </w:r>
    </w:p>
    <w:p w14:paraId="5057F239" w14:textId="0537A27E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lastRenderedPageBreak/>
        <w:t>instructs the Telecommunication Standardization Advisory Group</w:t>
      </w:r>
    </w:p>
    <w:p w14:paraId="58F45703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to continue fulfilling of the outcomes of TSAG Report 8 concerning open source,</w:t>
      </w:r>
    </w:p>
    <w:p w14:paraId="30BAF3EB" w14:textId="77777777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t>invites the ITU Council Working Group on financial and human resources</w:t>
      </w:r>
    </w:p>
    <w:p w14:paraId="0F2C5272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to evaluate any potential financial implications for the Union of implementing this resolution,</w:t>
      </w:r>
    </w:p>
    <w:p w14:paraId="32638B40" w14:textId="77777777" w:rsidR="006775FC" w:rsidRPr="007940B1" w:rsidRDefault="006775FC" w:rsidP="006775FC">
      <w:pPr>
        <w:pStyle w:val="Call"/>
        <w:rPr>
          <w:lang w:val="en-US"/>
        </w:rPr>
      </w:pPr>
      <w:r w:rsidRPr="007940B1">
        <w:rPr>
          <w:lang w:val="en-US"/>
        </w:rPr>
        <w:t>invites the ITU membership</w:t>
      </w:r>
    </w:p>
    <w:p w14:paraId="2FE1D3B1" w14:textId="77777777" w:rsidR="006775FC" w:rsidRPr="007940B1" w:rsidRDefault="006775FC" w:rsidP="006775FC">
      <w:pPr>
        <w:rPr>
          <w:lang w:val="en-US"/>
        </w:rPr>
      </w:pPr>
      <w:r w:rsidRPr="007940B1">
        <w:rPr>
          <w:lang w:val="en-US"/>
        </w:rPr>
        <w:t>to contribute to the implementation of this resolution.</w:t>
      </w:r>
    </w:p>
    <w:p w14:paraId="0583050C" w14:textId="77777777" w:rsidR="006775FC" w:rsidRDefault="006775FC" w:rsidP="006775FC">
      <w:pPr>
        <w:rPr>
          <w:lang w:val="en-US"/>
        </w:rPr>
      </w:pPr>
    </w:p>
    <w:p w14:paraId="0E654560" w14:textId="77777777" w:rsidR="006775FC" w:rsidRDefault="006775FC" w:rsidP="006775FC">
      <w:pPr>
        <w:rPr>
          <w:lang w:val="en-US"/>
        </w:rPr>
      </w:pPr>
    </w:p>
    <w:p w14:paraId="5E232733" w14:textId="77777777" w:rsidR="006775FC" w:rsidRDefault="006775FC" w:rsidP="006775FC">
      <w:pPr>
        <w:rPr>
          <w:lang w:val="en-US"/>
        </w:rPr>
      </w:pPr>
    </w:p>
    <w:p w14:paraId="05A3B9A1" w14:textId="77777777" w:rsidR="006775FC" w:rsidRDefault="006775FC" w:rsidP="006775FC">
      <w:pPr>
        <w:rPr>
          <w:lang w:val="en-US"/>
        </w:rPr>
      </w:pPr>
    </w:p>
    <w:p w14:paraId="751510C1" w14:textId="77777777" w:rsidR="006775FC" w:rsidRDefault="006775FC" w:rsidP="006775FC">
      <w:pPr>
        <w:rPr>
          <w:lang w:val="en-US"/>
        </w:rPr>
      </w:pPr>
    </w:p>
    <w:p w14:paraId="4430AFF4" w14:textId="77777777" w:rsidR="006775FC" w:rsidRDefault="006775FC" w:rsidP="006775FC">
      <w:pPr>
        <w:rPr>
          <w:lang w:val="en-US"/>
        </w:rPr>
      </w:pPr>
    </w:p>
    <w:p w14:paraId="1ADAF697" w14:textId="77777777" w:rsidR="006775FC" w:rsidRDefault="006775FC" w:rsidP="006775FC">
      <w:pPr>
        <w:rPr>
          <w:lang w:val="en-US"/>
        </w:rPr>
      </w:pPr>
    </w:p>
    <w:p w14:paraId="5D32B541" w14:textId="77777777" w:rsidR="006775FC" w:rsidRDefault="006775FC" w:rsidP="006775FC">
      <w:pPr>
        <w:rPr>
          <w:lang w:val="en-US"/>
        </w:rPr>
      </w:pPr>
    </w:p>
    <w:p w14:paraId="7D605381" w14:textId="77777777" w:rsidR="006775FC" w:rsidRDefault="006775FC" w:rsidP="006775FC">
      <w:pPr>
        <w:rPr>
          <w:lang w:val="en-US"/>
        </w:rPr>
      </w:pPr>
    </w:p>
    <w:p w14:paraId="73707458" w14:textId="77777777" w:rsidR="006775FC" w:rsidRDefault="006775FC" w:rsidP="006775FC">
      <w:pPr>
        <w:rPr>
          <w:lang w:val="en-US"/>
        </w:rPr>
      </w:pPr>
    </w:p>
    <w:p w14:paraId="3C2C572B" w14:textId="77777777" w:rsidR="006775FC" w:rsidRDefault="006775FC" w:rsidP="006775FC">
      <w:pPr>
        <w:rPr>
          <w:lang w:val="en-US"/>
        </w:rPr>
      </w:pPr>
    </w:p>
    <w:p w14:paraId="0C18E890" w14:textId="77777777" w:rsidR="006775FC" w:rsidRDefault="006775FC" w:rsidP="006775FC">
      <w:pPr>
        <w:rPr>
          <w:lang w:val="en-US"/>
        </w:rPr>
      </w:pPr>
    </w:p>
    <w:p w14:paraId="329E8AEB" w14:textId="77777777" w:rsidR="006775FC" w:rsidRDefault="006775FC" w:rsidP="006775FC">
      <w:pPr>
        <w:rPr>
          <w:lang w:val="en-US"/>
        </w:rPr>
      </w:pPr>
    </w:p>
    <w:p w14:paraId="07443277" w14:textId="77777777" w:rsidR="006775FC" w:rsidRDefault="006775FC" w:rsidP="006775FC">
      <w:pPr>
        <w:rPr>
          <w:lang w:val="en-US"/>
        </w:rPr>
      </w:pPr>
    </w:p>
    <w:p w14:paraId="53936234" w14:textId="77777777" w:rsidR="007675AD" w:rsidRDefault="007675AD" w:rsidP="006775FC">
      <w:pPr>
        <w:rPr>
          <w:lang w:val="en-US"/>
        </w:rPr>
      </w:pPr>
    </w:p>
    <w:p w14:paraId="10B328D5" w14:textId="77777777" w:rsidR="007675AD" w:rsidRDefault="007675AD" w:rsidP="006775FC">
      <w:pPr>
        <w:rPr>
          <w:lang w:val="en-US"/>
        </w:rPr>
      </w:pPr>
    </w:p>
    <w:p w14:paraId="1EABE54A" w14:textId="77777777" w:rsidR="007675AD" w:rsidRDefault="007675AD" w:rsidP="006775FC">
      <w:pPr>
        <w:rPr>
          <w:lang w:val="en-US"/>
        </w:rPr>
      </w:pPr>
    </w:p>
    <w:p w14:paraId="5E50B195" w14:textId="77777777" w:rsidR="006775FC" w:rsidRDefault="006775FC" w:rsidP="006775FC">
      <w:pPr>
        <w:rPr>
          <w:lang w:val="en-US"/>
        </w:rPr>
      </w:pPr>
    </w:p>
    <w:p w14:paraId="58B97D5D" w14:textId="77777777" w:rsidR="006775FC" w:rsidRDefault="006775FC" w:rsidP="006775FC">
      <w:pPr>
        <w:rPr>
          <w:lang w:val="en-US"/>
        </w:rPr>
      </w:pPr>
    </w:p>
    <w:p w14:paraId="5F0B49A0" w14:textId="77777777" w:rsidR="006775FC" w:rsidRDefault="006775FC" w:rsidP="006775FC">
      <w:pPr>
        <w:rPr>
          <w:lang w:val="en-US"/>
        </w:rPr>
      </w:pPr>
    </w:p>
    <w:p w14:paraId="4F146E18" w14:textId="77777777" w:rsidR="006775FC" w:rsidRPr="007940B1" w:rsidRDefault="006775FC" w:rsidP="006775FC">
      <w:pPr>
        <w:rPr>
          <w:lang w:val="en-US"/>
        </w:rPr>
      </w:pPr>
    </w:p>
    <w:p w14:paraId="5DD068EE" w14:textId="77777777" w:rsidR="006775FC" w:rsidRDefault="006775FC" w:rsidP="006775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1F5666FA" w14:textId="77777777" w:rsidR="006775FC" w:rsidRDefault="006775FC" w:rsidP="006775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50B9499B" w14:textId="77777777" w:rsidR="006775FC" w:rsidRDefault="006775FC" w:rsidP="006775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6F498F68" w14:textId="77777777" w:rsidR="006775FC" w:rsidRDefault="006775FC" w:rsidP="006775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740F6949" w14:textId="77777777" w:rsidR="006775FC" w:rsidRDefault="006775FC" w:rsidP="006775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0E4713ED" w14:textId="77777777" w:rsidR="006775FC" w:rsidRPr="000E4393" w:rsidRDefault="006775FC" w:rsidP="006775FC">
      <w:pPr>
        <w:rPr>
          <w:lang w:val="en-US"/>
        </w:rPr>
      </w:pPr>
    </w:p>
    <w:sectPr w:rsidR="006775FC" w:rsidRPr="000E4393" w:rsidSect="0072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1F90" w14:textId="77777777" w:rsidR="00A8513B" w:rsidRDefault="00A8513B">
      <w:r>
        <w:separator/>
      </w:r>
    </w:p>
  </w:endnote>
  <w:endnote w:type="continuationSeparator" w:id="0">
    <w:p w14:paraId="580B68DF" w14:textId="77777777" w:rsidR="00A8513B" w:rsidRDefault="00A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02373A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>WTSA-1</w:t>
    </w:r>
    <w:r w:rsidR="00A940A7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535BB2">
      <w:rPr>
        <w:noProof/>
        <w:lang w:val="en-US"/>
      </w:rPr>
      <w:t>90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B449146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535BB2">
      <w:rPr>
        <w:noProof/>
        <w:lang w:val="en-US"/>
      </w:rPr>
      <w:t>90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AB70CEE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E70EFB">
      <w:rPr>
        <w:lang w:val="en-US"/>
      </w:rPr>
      <w:t>1</w:t>
    </w:r>
    <w:r w:rsidR="00562E81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535BB2">
      <w:rPr>
        <w:noProof/>
        <w:lang w:val="en-US"/>
      </w:rPr>
      <w:t>90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49F3" w14:textId="77777777" w:rsidR="00A8513B" w:rsidRDefault="00A8513B">
      <w:r>
        <w:t>____________________</w:t>
      </w:r>
    </w:p>
  </w:footnote>
  <w:footnote w:type="continuationSeparator" w:id="0">
    <w:p w14:paraId="3752CEBC" w14:textId="77777777" w:rsidR="00A8513B" w:rsidRDefault="00A8513B">
      <w:r>
        <w:continuationSeparator/>
      </w:r>
    </w:p>
  </w:footnote>
  <w:footnote w:id="1">
    <w:p w14:paraId="57D42F0E" w14:textId="77777777" w:rsidR="006775FC" w:rsidRPr="004D4499" w:rsidRDefault="006775FC" w:rsidP="006775FC">
      <w:pPr>
        <w:pStyle w:val="FootnoteText"/>
        <w:rPr>
          <w:lang w:val="en-US"/>
        </w:rPr>
      </w:pPr>
      <w:r w:rsidRPr="007940B1">
        <w:rPr>
          <w:rStyle w:val="FootnoteReference"/>
          <w:lang w:val="en-US"/>
        </w:rPr>
        <w:t>1</w:t>
      </w:r>
      <w:r w:rsidRPr="007940B1">
        <w:rPr>
          <w:lang w:val="en-US"/>
        </w:rPr>
        <w:t xml:space="preserve"> </w:t>
      </w:r>
      <w:r w:rsidRPr="007940B1">
        <w:rPr>
          <w:lang w:val="en-US"/>
        </w:rPr>
        <w:tab/>
        <w:t xml:space="preserve">These include the least developed countries, small island developing states, landlocked </w:t>
      </w:r>
      <w:r w:rsidRPr="007940B1">
        <w:rPr>
          <w:rFonts w:eastAsia="SimSun"/>
          <w:lang w:val="en-US" w:eastAsia="zh-CN"/>
        </w:rPr>
        <w:t>developing</w:t>
      </w:r>
      <w:r w:rsidRPr="007940B1">
        <w:rPr>
          <w:lang w:val="en-US"/>
        </w:rPr>
        <w:t xml:space="preserve">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62D57"/>
    <w:rsid w:val="001762A1"/>
    <w:rsid w:val="00190848"/>
    <w:rsid w:val="001A6B2D"/>
    <w:rsid w:val="001B4A76"/>
    <w:rsid w:val="001C5240"/>
    <w:rsid w:val="001C604C"/>
    <w:rsid w:val="001F3813"/>
    <w:rsid w:val="001F5097"/>
    <w:rsid w:val="002178BA"/>
    <w:rsid w:val="002204D5"/>
    <w:rsid w:val="002210D5"/>
    <w:rsid w:val="00227040"/>
    <w:rsid w:val="00237B40"/>
    <w:rsid w:val="002462EF"/>
    <w:rsid w:val="00246C17"/>
    <w:rsid w:val="002742C3"/>
    <w:rsid w:val="002B5411"/>
    <w:rsid w:val="002C182C"/>
    <w:rsid w:val="002D5607"/>
    <w:rsid w:val="002E1B7B"/>
    <w:rsid w:val="002E6A20"/>
    <w:rsid w:val="003129D4"/>
    <w:rsid w:val="0033029C"/>
    <w:rsid w:val="00331B2F"/>
    <w:rsid w:val="003374BB"/>
    <w:rsid w:val="0035222D"/>
    <w:rsid w:val="0038237B"/>
    <w:rsid w:val="003C21D1"/>
    <w:rsid w:val="003C3FD9"/>
    <w:rsid w:val="003D116F"/>
    <w:rsid w:val="003D7A8C"/>
    <w:rsid w:val="003E32E8"/>
    <w:rsid w:val="003F293E"/>
    <w:rsid w:val="003F6DE7"/>
    <w:rsid w:val="00443996"/>
    <w:rsid w:val="00447527"/>
    <w:rsid w:val="004568D2"/>
    <w:rsid w:val="004612A7"/>
    <w:rsid w:val="00462F6A"/>
    <w:rsid w:val="00467305"/>
    <w:rsid w:val="0048772A"/>
    <w:rsid w:val="00497A5E"/>
    <w:rsid w:val="004A58A4"/>
    <w:rsid w:val="004B7CB1"/>
    <w:rsid w:val="004C14F3"/>
    <w:rsid w:val="004F2E56"/>
    <w:rsid w:val="00501F47"/>
    <w:rsid w:val="00504D1F"/>
    <w:rsid w:val="00510BA8"/>
    <w:rsid w:val="00524FB2"/>
    <w:rsid w:val="00535BB2"/>
    <w:rsid w:val="0053765D"/>
    <w:rsid w:val="005569CA"/>
    <w:rsid w:val="00562638"/>
    <w:rsid w:val="00562E81"/>
    <w:rsid w:val="00562EF2"/>
    <w:rsid w:val="00574CFF"/>
    <w:rsid w:val="005A4FA5"/>
    <w:rsid w:val="005D1D45"/>
    <w:rsid w:val="00601999"/>
    <w:rsid w:val="00611CD0"/>
    <w:rsid w:val="00631549"/>
    <w:rsid w:val="006425B4"/>
    <w:rsid w:val="00653C1B"/>
    <w:rsid w:val="00665F6E"/>
    <w:rsid w:val="006678D7"/>
    <w:rsid w:val="006775FC"/>
    <w:rsid w:val="006824D9"/>
    <w:rsid w:val="00684F2B"/>
    <w:rsid w:val="00693D4F"/>
    <w:rsid w:val="00697D23"/>
    <w:rsid w:val="006B0459"/>
    <w:rsid w:val="006B5987"/>
    <w:rsid w:val="006B6BD9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675AD"/>
    <w:rsid w:val="00780423"/>
    <w:rsid w:val="00781E25"/>
    <w:rsid w:val="00783EB8"/>
    <w:rsid w:val="007958DD"/>
    <w:rsid w:val="007A65CF"/>
    <w:rsid w:val="007E0240"/>
    <w:rsid w:val="007E35C9"/>
    <w:rsid w:val="007F32A3"/>
    <w:rsid w:val="008075CD"/>
    <w:rsid w:val="00837339"/>
    <w:rsid w:val="00845E8E"/>
    <w:rsid w:val="00851E30"/>
    <w:rsid w:val="0088751E"/>
    <w:rsid w:val="008968B6"/>
    <w:rsid w:val="008B4CF6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8513B"/>
    <w:rsid w:val="00A940A7"/>
    <w:rsid w:val="00AA1264"/>
    <w:rsid w:val="00AA2D89"/>
    <w:rsid w:val="00AA3A93"/>
    <w:rsid w:val="00AB7ECC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03A3F"/>
    <w:rsid w:val="00C12E70"/>
    <w:rsid w:val="00C32F69"/>
    <w:rsid w:val="00C42785"/>
    <w:rsid w:val="00C64078"/>
    <w:rsid w:val="00C706FC"/>
    <w:rsid w:val="00C72AF4"/>
    <w:rsid w:val="00C94E0C"/>
    <w:rsid w:val="00CD10C2"/>
    <w:rsid w:val="00CD3865"/>
    <w:rsid w:val="00CE767E"/>
    <w:rsid w:val="00CF024D"/>
    <w:rsid w:val="00D20887"/>
    <w:rsid w:val="00D26ECC"/>
    <w:rsid w:val="00D34AA5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C0E45"/>
    <w:rsid w:val="00DE48B4"/>
    <w:rsid w:val="00E03ABC"/>
    <w:rsid w:val="00E154E2"/>
    <w:rsid w:val="00E20918"/>
    <w:rsid w:val="00E300EC"/>
    <w:rsid w:val="00E51820"/>
    <w:rsid w:val="00E56BAB"/>
    <w:rsid w:val="00E67297"/>
    <w:rsid w:val="00E70EFB"/>
    <w:rsid w:val="00E758D6"/>
    <w:rsid w:val="00E82452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EE50B5"/>
    <w:rsid w:val="00F0099E"/>
    <w:rsid w:val="00F12607"/>
    <w:rsid w:val="00F15F98"/>
    <w:rsid w:val="00F27BC3"/>
    <w:rsid w:val="00F34748"/>
    <w:rsid w:val="00F4281C"/>
    <w:rsid w:val="00F576B9"/>
    <w:rsid w:val="00F67E96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5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7675AD"/>
    <w:pPr>
      <w:keepNext/>
      <w:keepLines/>
      <w:ind w:left="794"/>
      <w:jc w:val="left"/>
    </w:pPr>
    <w:rPr>
      <w:i/>
    </w:rPr>
  </w:style>
  <w:style w:type="character" w:customStyle="1" w:styleId="CallChar">
    <w:name w:val="Call Char"/>
    <w:link w:val="Call"/>
    <w:rsid w:val="007675AD"/>
    <w:rPr>
      <w:rFonts w:ascii="Times New Roman" w:hAnsi="Times New Roman"/>
      <w:i/>
      <w:sz w:val="22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</TotalTime>
  <Pages>4</Pages>
  <Words>591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87 – Participation of the ITU Telecommunication Standardization Sector in the periodic review and revision of the International Telecommunication Regulations</vt:lpstr>
    </vt:vector>
  </TitlesOfParts>
  <Company>ITU</Company>
  <LinksUpToDate>false</LinksUpToDate>
  <CharactersWithSpaces>4208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90 – Open source in the ITU Telecommunication Standardization Sector</dc:title>
  <dc:subject>WORLD TELECOMMUNICATION STANDARDIZATION ASSEMBLY - Florianópolis, 5-14 October 2004</dc:subject>
  <dc:creator>ITU-T</dc:creator>
  <cp:keywords/>
  <dc:description/>
  <cp:lastModifiedBy>Gachet, Christelle</cp:lastModifiedBy>
  <cp:revision>7</cp:revision>
  <cp:lastPrinted>2024-11-14T13:10:00Z</cp:lastPrinted>
  <dcterms:created xsi:type="dcterms:W3CDTF">2024-10-30T12:38:00Z</dcterms:created>
  <dcterms:modified xsi:type="dcterms:W3CDTF">2024-11-14T13:12:00Z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