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5376" w14:textId="77777777" w:rsidR="006C012F" w:rsidRPr="00DE6304" w:rsidRDefault="006C012F" w:rsidP="006C012F">
      <w:pPr>
        <w:pStyle w:val="CoverNumber"/>
        <w:rPr>
          <w:b w:val="0"/>
          <w:bCs w:val="0"/>
          <w:rtl/>
        </w:rPr>
      </w:pPr>
      <w:bookmarkStart w:id="0" w:name="_Hlk183102759"/>
    </w:p>
    <w:p w14:paraId="3C98B241" w14:textId="77777777" w:rsidR="006C012F" w:rsidRPr="00DE6304" w:rsidRDefault="006C012F" w:rsidP="006C012F">
      <w:pPr>
        <w:pStyle w:val="CoverNumber"/>
        <w:rPr>
          <w:lang w:val="fr-FR"/>
        </w:rPr>
      </w:pPr>
    </w:p>
    <w:p w14:paraId="48FB4007" w14:textId="77777777" w:rsidR="006C012F" w:rsidRPr="004273DB" w:rsidRDefault="006C012F" w:rsidP="006C012F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69D43344" w14:textId="77777777" w:rsidR="006C012F" w:rsidRPr="00E224A1" w:rsidRDefault="006C012F" w:rsidP="006C012F">
      <w:pPr>
        <w:pStyle w:val="CoverSeries"/>
        <w:rPr>
          <w:lang w:bidi="ar-SA"/>
        </w:rPr>
      </w:pPr>
      <w:r w:rsidRPr="002B4064">
        <w:rPr>
          <w:rFonts w:hint="cs"/>
          <w:rtl/>
          <w:lang w:bidi="ar-SA"/>
        </w:rPr>
        <w:t xml:space="preserve">الحـمامات، </w:t>
      </w:r>
      <w:r w:rsidRPr="002B4064">
        <w:rPr>
          <w:lang w:val="en-GB" w:bidi="ar-SA"/>
        </w:rPr>
        <w:t>25</w:t>
      </w:r>
      <w:r w:rsidRPr="002B4064">
        <w:rPr>
          <w:rFonts w:hint="cs"/>
          <w:rtl/>
          <w:lang w:bidi="ar-SA"/>
        </w:rPr>
        <w:t xml:space="preserve"> أكتوبر - </w:t>
      </w:r>
      <w:r w:rsidRPr="002B4064">
        <w:rPr>
          <w:lang w:val="fr-CH" w:bidi="ar-SA"/>
        </w:rPr>
        <w:t>3</w:t>
      </w:r>
      <w:r w:rsidRPr="002B4064">
        <w:rPr>
          <w:rFonts w:hint="cs"/>
          <w:rtl/>
          <w:lang w:bidi="ar-SA"/>
        </w:rPr>
        <w:t xml:space="preserve"> نوفمبر </w:t>
      </w:r>
      <w:r w:rsidRPr="002B4064">
        <w:rPr>
          <w:lang w:val="en-GB" w:bidi="ar-SA"/>
        </w:rPr>
        <w:t>2016</w:t>
      </w:r>
    </w:p>
    <w:p w14:paraId="0CBFB908" w14:textId="77777777" w:rsidR="006C012F" w:rsidRPr="00FC6892" w:rsidRDefault="006C012F" w:rsidP="006C012F">
      <w:pPr>
        <w:pBdr>
          <w:bottom w:val="single" w:sz="8" w:space="1" w:color="auto"/>
        </w:pBdr>
        <w:rPr>
          <w:rtl/>
        </w:rPr>
      </w:pPr>
    </w:p>
    <w:p w14:paraId="322A2F04" w14:textId="77777777" w:rsidR="006C012F" w:rsidRPr="00E224A1" w:rsidRDefault="006C012F" w:rsidP="006C012F">
      <w:pPr>
        <w:pStyle w:val="BodyText"/>
        <w:jc w:val="left"/>
        <w:rPr>
          <w:rtl/>
          <w:lang w:bidi="ar-EG"/>
        </w:rPr>
      </w:pPr>
      <w:bookmarkStart w:id="1" w:name="_Toc101071644"/>
      <w:bookmarkStart w:id="2" w:name="_Toc219795013"/>
      <w:bookmarkStart w:id="3" w:name="_Toc219795405"/>
      <w:bookmarkStart w:id="4" w:name="_Toc219803517"/>
      <w:r w:rsidRPr="00E224A1">
        <w:rPr>
          <w:rFonts w:hint="cs"/>
          <w:rtl/>
        </w:rPr>
        <w:t xml:space="preserve">القـرار </w:t>
      </w:r>
      <w:bookmarkEnd w:id="1"/>
      <w:bookmarkEnd w:id="2"/>
      <w:bookmarkEnd w:id="3"/>
      <w:bookmarkEnd w:id="4"/>
      <w:r>
        <w:t>90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r w:rsidRPr="006E7B02">
        <w:rPr>
          <w:rtl/>
        </w:rPr>
        <w:t>المصادر المفتوحة في قطاع تقييس الاتصالات</w:t>
      </w:r>
      <w:r w:rsidRPr="006E7B02">
        <w:rPr>
          <w:rFonts w:hint="cs"/>
          <w:rtl/>
        </w:rPr>
        <w:t xml:space="preserve"> ل</w:t>
      </w:r>
      <w:r w:rsidRPr="006E7B02">
        <w:rPr>
          <w:rtl/>
        </w:rPr>
        <w:t>لاتحاد</w:t>
      </w:r>
      <w:r w:rsidRPr="006E7B02">
        <w:rPr>
          <w:rFonts w:hint="cs"/>
          <w:rtl/>
        </w:rPr>
        <w:t xml:space="preserve"> الدولي للاتصالات</w:t>
      </w:r>
    </w:p>
    <w:p w14:paraId="175A6E65" w14:textId="77777777" w:rsidR="006C012F" w:rsidRDefault="006C012F" w:rsidP="006C012F"/>
    <w:p w14:paraId="0349C62D" w14:textId="77777777" w:rsidR="006C012F" w:rsidRDefault="006C012F" w:rsidP="006C012F">
      <w:pPr>
        <w:rPr>
          <w:rtl/>
        </w:rPr>
        <w:sectPr w:rsidR="006C012F" w:rsidSect="006C012F">
          <w:footerReference w:type="default" r:id="rId8"/>
          <w:headerReference w:type="first" r:id="rId9"/>
          <w:footerReference w:type="first" r:id="rId10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bookmarkEnd w:id="0"/>
    <w:p w14:paraId="4EB7F0BE" w14:textId="77777777" w:rsidR="00155FE5" w:rsidRPr="009A02A1" w:rsidRDefault="00155FE5" w:rsidP="008E6D73">
      <w:pPr>
        <w:jc w:val="center"/>
        <w:rPr>
          <w:sz w:val="36"/>
          <w:szCs w:val="36"/>
        </w:rPr>
      </w:pPr>
    </w:p>
    <w:p w14:paraId="019B795A" w14:textId="77777777"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14:paraId="448B1A62" w14:textId="77777777"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277FED48" w14:textId="77777777"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71BEB3A0" w14:textId="77777777"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14:paraId="3BFE047A" w14:textId="77777777"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14:paraId="1AFE7FD5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307ADB1B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43474A5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B6BD5FB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2FCB15D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32CF296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6E632800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6D027B17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3391247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F7ED715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00DF754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2D61BEC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6AF9EE5F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13A90DA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ED3B99D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6B847B46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547A11F5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6A0FC2A3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9AAD0DC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291B8C79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20E8BDE0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BC8EB88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60079E1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5B506C6D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375C7A93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1D71F3C" w14:textId="77777777"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14:paraId="64D625B9" w14:textId="77777777"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14:paraId="62EEE58B" w14:textId="77777777"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14:paraId="01E8E0B0" w14:textId="77777777"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14:paraId="5E007596" w14:textId="77777777"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14:paraId="5349B98A" w14:textId="4E5FC091" w:rsidR="006C012F" w:rsidRDefault="006C012F" w:rsidP="006C012F">
      <w:pPr>
        <w:jc w:val="center"/>
        <w:rPr>
          <w:szCs w:val="26"/>
          <w:rtl/>
          <w:lang w:bidi="ar-EG"/>
        </w:rPr>
      </w:pPr>
      <w:r w:rsidRPr="006C012F">
        <w:rPr>
          <w:szCs w:val="26"/>
          <w:rtl/>
        </w:rPr>
        <w:t>أعيد نشر هذا القرار عام</w:t>
      </w:r>
      <w:r w:rsidRPr="006C012F">
        <w:rPr>
          <w:szCs w:val="26"/>
          <w:lang w:bidi="ar-EG"/>
        </w:rPr>
        <w:t xml:space="preserve"> ‎2024 </w:t>
      </w:r>
      <w:r w:rsidRPr="006C012F">
        <w:rPr>
          <w:szCs w:val="26"/>
          <w:rtl/>
        </w:rPr>
        <w:t xml:space="preserve">‏لتحديث صفحة الإحالة. ولم </w:t>
      </w:r>
      <w:r w:rsidRPr="006C012F">
        <w:rPr>
          <w:szCs w:val="26"/>
          <w:rtl/>
          <w:lang w:bidi="ar-EG"/>
        </w:rPr>
        <w:t xml:space="preserve">تُدخَل </w:t>
      </w:r>
      <w:r w:rsidRPr="006C012F">
        <w:rPr>
          <w:szCs w:val="26"/>
          <w:rtl/>
        </w:rPr>
        <w:t>أي تعديلات أخرى</w:t>
      </w:r>
      <w:r w:rsidRPr="006C012F">
        <w:rPr>
          <w:szCs w:val="26"/>
          <w:lang w:bidi="ar-EG"/>
        </w:rPr>
        <w:t>.‎</w:t>
      </w:r>
    </w:p>
    <w:p w14:paraId="52ABD76E" w14:textId="72416EEF"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57482EF" w14:textId="77777777"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14:paraId="01CFDADA" w14:textId="77777777"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footerReference w:type="default" r:id="rId11"/>
          <w:headerReference w:type="first" r:id="rId12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1E0B9060" w14:textId="77777777" w:rsidR="00372CB9" w:rsidRDefault="00372CB9" w:rsidP="00641C32">
      <w:pPr>
        <w:pStyle w:val="ResNo"/>
      </w:pPr>
      <w:r w:rsidRPr="009A02A1">
        <w:rPr>
          <w:rFonts w:hint="cs"/>
          <w:rtl/>
        </w:rPr>
        <w:lastRenderedPageBreak/>
        <w:t>ال</w:t>
      </w:r>
      <w:r w:rsidRPr="009A02A1">
        <w:rPr>
          <w:rtl/>
        </w:rPr>
        <w:t xml:space="preserve">قـرار </w:t>
      </w:r>
      <w:r w:rsidR="00641C32">
        <w:rPr>
          <w:rStyle w:val="href"/>
        </w:rPr>
        <w:t>90</w:t>
      </w:r>
      <w:r w:rsidRPr="009A02A1">
        <w:rPr>
          <w:rFonts w:hint="cs"/>
          <w:rtl/>
        </w:rPr>
        <w:t xml:space="preserve"> (الحمامات، </w:t>
      </w:r>
      <w:r w:rsidRPr="009A02A1">
        <w:t>2016</w:t>
      </w:r>
      <w:r w:rsidRPr="009A02A1">
        <w:rPr>
          <w:rFonts w:hint="cs"/>
          <w:rtl/>
        </w:rPr>
        <w:t>)</w:t>
      </w:r>
    </w:p>
    <w:p w14:paraId="3CAE68AD" w14:textId="77777777" w:rsidR="003F16B7" w:rsidRPr="00941CE6" w:rsidRDefault="00641C32" w:rsidP="003F16B7">
      <w:pPr>
        <w:pStyle w:val="Restitle"/>
        <w:rPr>
          <w:rtl/>
        </w:rPr>
      </w:pPr>
      <w:r w:rsidRPr="008810C8">
        <w:rPr>
          <w:rtl/>
        </w:rPr>
        <w:t>المصادر المفتوحة في قطاع تقييس الاتصالات</w:t>
      </w:r>
      <w:r w:rsidRPr="008810C8">
        <w:rPr>
          <w:rFonts w:hint="cs"/>
          <w:rtl/>
        </w:rPr>
        <w:t xml:space="preserve"> ل</w:t>
      </w:r>
      <w:r w:rsidRPr="008810C8">
        <w:rPr>
          <w:rtl/>
        </w:rPr>
        <w:t>لاتحاد</w:t>
      </w:r>
      <w:r w:rsidRPr="008810C8">
        <w:rPr>
          <w:rFonts w:hint="cs"/>
          <w:rtl/>
        </w:rPr>
        <w:t xml:space="preserve"> الدولي للاتصالات</w:t>
      </w:r>
    </w:p>
    <w:p w14:paraId="09F28F5D" w14:textId="77777777" w:rsidR="003F16B7" w:rsidRPr="0072721A" w:rsidRDefault="003F16B7" w:rsidP="003F16B7">
      <w:pPr>
        <w:pStyle w:val="Resref"/>
        <w:rPr>
          <w:rtl/>
        </w:rPr>
      </w:pPr>
      <w:r w:rsidRPr="0072721A">
        <w:rPr>
          <w:rFonts w:hint="cs"/>
          <w:rtl/>
        </w:rPr>
        <w:t xml:space="preserve">(الحمامات، </w:t>
      </w:r>
      <w:r w:rsidRPr="0072721A">
        <w:t>2016</w:t>
      </w:r>
      <w:r w:rsidRPr="0072721A">
        <w:rPr>
          <w:rFonts w:hint="cs"/>
          <w:rtl/>
        </w:rPr>
        <w:t>)</w:t>
      </w:r>
    </w:p>
    <w:p w14:paraId="3972A672" w14:textId="77777777" w:rsidR="00641C32" w:rsidRPr="008810C8" w:rsidRDefault="00641C32" w:rsidP="00641C32">
      <w:pPr>
        <w:pStyle w:val="Normalaftertitle0"/>
      </w:pPr>
      <w:r w:rsidRPr="008810C8">
        <w:rPr>
          <w:rtl/>
        </w:rPr>
        <w:t xml:space="preserve">إن الجمعية العالمية لتقييس الاتصالات (الحمامات، </w:t>
      </w:r>
      <w:r w:rsidRPr="008810C8">
        <w:t>2016</w:t>
      </w:r>
      <w:r w:rsidRPr="008810C8">
        <w:rPr>
          <w:rFonts w:hint="cs"/>
          <w:rtl/>
        </w:rPr>
        <w:t>)،</w:t>
      </w:r>
    </w:p>
    <w:p w14:paraId="7E683E13" w14:textId="77777777"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t>إذ تذكّر</w:t>
      </w:r>
    </w:p>
    <w:p w14:paraId="002256DE" w14:textId="77777777" w:rsidR="00641C32" w:rsidRPr="008810C8" w:rsidRDefault="00641C32" w:rsidP="006C012F">
      <w:pPr>
        <w:spacing w:line="168" w:lineRule="auto"/>
        <w:rPr>
          <w:rtl/>
        </w:rPr>
      </w:pPr>
      <w:r w:rsidRPr="008810C8">
        <w:rPr>
          <w:i/>
          <w:iCs/>
          <w:rtl/>
        </w:rPr>
        <w:t xml:space="preserve"> أ )</w:t>
      </w:r>
      <w:r w:rsidRPr="008810C8">
        <w:rPr>
          <w:rtl/>
        </w:rPr>
        <w:tab/>
        <w:t xml:space="preserve">بالفقرة </w:t>
      </w:r>
      <w:r w:rsidRPr="008810C8">
        <w:t>10</w:t>
      </w:r>
      <w:r w:rsidRPr="008810C8">
        <w:rPr>
          <w:rtl/>
          <w:lang w:bidi="ar-EG"/>
        </w:rPr>
        <w:t xml:space="preserve">ه) والفقرة </w:t>
      </w:r>
      <w:r w:rsidRPr="008810C8">
        <w:rPr>
          <w:lang w:bidi="ar-EG"/>
        </w:rPr>
        <w:t>23</w:t>
      </w:r>
      <w:r w:rsidRPr="008810C8">
        <w:rPr>
          <w:rtl/>
          <w:lang w:bidi="ar-EG"/>
        </w:rPr>
        <w:t>س) من خطة عمل جنيف للقمة العالمية لمجتمع المعلومات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lang w:bidi="ar-EG"/>
        </w:rPr>
        <w:t>(WSIS)</w:t>
      </w:r>
      <w:r w:rsidRPr="008810C8">
        <w:rPr>
          <w:rtl/>
        </w:rPr>
        <w:t>؛</w:t>
      </w:r>
    </w:p>
    <w:p w14:paraId="406B2EC8" w14:textId="77777777" w:rsidR="00641C32" w:rsidRPr="008810C8" w:rsidRDefault="00641C32" w:rsidP="006C012F">
      <w:pPr>
        <w:spacing w:line="168" w:lineRule="auto"/>
        <w:rPr>
          <w:rtl/>
        </w:rPr>
      </w:pPr>
      <w:r w:rsidRPr="008810C8">
        <w:rPr>
          <w:i/>
          <w:iCs/>
          <w:rtl/>
        </w:rPr>
        <w:t>ب)</w:t>
      </w:r>
      <w:r w:rsidRPr="008810C8">
        <w:rPr>
          <w:rtl/>
        </w:rPr>
        <w:tab/>
        <w:t xml:space="preserve">بالفقرة </w:t>
      </w:r>
      <w:r w:rsidRPr="008810C8">
        <w:t>(29</w:t>
      </w:r>
      <w:r w:rsidRPr="008810C8">
        <w:rPr>
          <w:rtl/>
          <w:lang w:bidi="ar-EG"/>
        </w:rPr>
        <w:t xml:space="preserve"> من التزام تونس للقمة العالمية لمجتمع المعلومات</w:t>
      </w:r>
      <w:r w:rsidRPr="008810C8">
        <w:rPr>
          <w:rtl/>
        </w:rPr>
        <w:t>؛</w:t>
      </w:r>
    </w:p>
    <w:p w14:paraId="6AEE87F8" w14:textId="77777777" w:rsidR="00641C32" w:rsidRPr="008810C8" w:rsidRDefault="00641C32" w:rsidP="006C012F">
      <w:pPr>
        <w:spacing w:line="168" w:lineRule="auto"/>
        <w:rPr>
          <w:rtl/>
        </w:rPr>
      </w:pPr>
      <w:r w:rsidRPr="008810C8">
        <w:rPr>
          <w:rFonts w:ascii="Traditional Arabic" w:hAnsi="Traditional Arabic" w:hint="cs"/>
          <w:i/>
          <w:iCs/>
          <w:rtl/>
        </w:rPr>
        <w:t>ج</w:t>
      </w:r>
      <w:r w:rsidRPr="008810C8">
        <w:rPr>
          <w:i/>
          <w:iCs/>
          <w:rtl/>
        </w:rPr>
        <w:t>)</w:t>
      </w:r>
      <w:r w:rsidRPr="008810C8">
        <w:rPr>
          <w:rtl/>
        </w:rPr>
        <w:tab/>
        <w:t xml:space="preserve">بالفقرة </w:t>
      </w:r>
      <w:r w:rsidRPr="008810C8">
        <w:t>(49</w:t>
      </w:r>
      <w:r w:rsidRPr="008810C8">
        <w:rPr>
          <w:rtl/>
          <w:lang w:bidi="ar-EG"/>
        </w:rPr>
        <w:t xml:space="preserve"> من </w:t>
      </w:r>
      <w:r w:rsidRPr="008810C8">
        <w:rPr>
          <w:rFonts w:hint="cs"/>
          <w:rtl/>
          <w:lang w:bidi="ar-EG"/>
        </w:rPr>
        <w:t>برنامج عمل</w:t>
      </w:r>
      <w:r w:rsidRPr="008810C8">
        <w:rPr>
          <w:rtl/>
          <w:lang w:bidi="ar-EG"/>
        </w:rPr>
        <w:t xml:space="preserve"> تونس</w:t>
      </w:r>
      <w:r w:rsidRPr="008810C8">
        <w:rPr>
          <w:rFonts w:hint="cs"/>
          <w:rtl/>
          <w:lang w:bidi="ar-EG"/>
        </w:rPr>
        <w:t xml:space="preserve"> بشأن مجتمع المعلومات</w:t>
      </w:r>
      <w:r w:rsidRPr="008810C8">
        <w:rPr>
          <w:rtl/>
          <w:lang w:bidi="ar-EG"/>
        </w:rPr>
        <w:t xml:space="preserve"> للقمة العالمية لمجتمع المعلومات</w:t>
      </w:r>
      <w:r w:rsidRPr="008810C8">
        <w:rPr>
          <w:rFonts w:hint="cs"/>
          <w:rtl/>
          <w:lang w:bidi="ar-EG"/>
        </w:rPr>
        <w:t>؛</w:t>
      </w:r>
    </w:p>
    <w:p w14:paraId="5BE33119" w14:textId="77777777" w:rsidR="00641C32" w:rsidRPr="006C012F" w:rsidRDefault="00641C32" w:rsidP="006C012F">
      <w:pPr>
        <w:spacing w:line="168" w:lineRule="auto"/>
        <w:rPr>
          <w:spacing w:val="-4"/>
          <w:rtl/>
          <w:lang w:bidi="ar-EG"/>
        </w:rPr>
      </w:pPr>
      <w:r w:rsidRPr="006C012F">
        <w:rPr>
          <w:rFonts w:hint="eastAsia"/>
          <w:i/>
          <w:iCs/>
          <w:spacing w:val="-4"/>
          <w:rtl/>
        </w:rPr>
        <w:t>د </w:t>
      </w:r>
      <w:r w:rsidRPr="006C012F">
        <w:rPr>
          <w:i/>
          <w:iCs/>
          <w:spacing w:val="-4"/>
          <w:rtl/>
        </w:rPr>
        <w:t>)</w:t>
      </w:r>
      <w:r w:rsidRPr="006C012F">
        <w:rPr>
          <w:rFonts w:hint="eastAsia"/>
          <w:spacing w:val="-4"/>
          <w:rtl/>
        </w:rPr>
        <w:tab/>
      </w:r>
      <w:r w:rsidRPr="006C012F">
        <w:rPr>
          <w:spacing w:val="-4"/>
          <w:rtl/>
        </w:rPr>
        <w:t xml:space="preserve">بالقرار </w:t>
      </w:r>
      <w:r w:rsidRPr="006C012F">
        <w:rPr>
          <w:spacing w:val="-4"/>
        </w:rPr>
        <w:t>44</w:t>
      </w:r>
      <w:r w:rsidRPr="006C012F">
        <w:rPr>
          <w:spacing w:val="-4"/>
          <w:rtl/>
          <w:lang w:bidi="ar-EG"/>
        </w:rPr>
        <w:t xml:space="preserve"> (</w:t>
      </w:r>
      <w:r w:rsidR="001C2D5D" w:rsidRPr="006C012F">
        <w:rPr>
          <w:rFonts w:ascii="Calibri" w:hAnsi="Calibri"/>
          <w:spacing w:val="-4"/>
          <w:rtl/>
          <w:lang w:bidi="ar-EG"/>
        </w:rPr>
        <w:t>المراجَع في</w:t>
      </w:r>
      <w:r w:rsidR="001C2D5D" w:rsidRPr="006C012F">
        <w:rPr>
          <w:rFonts w:ascii="Calibri" w:hAnsi="Calibri" w:hint="cs"/>
          <w:spacing w:val="-4"/>
          <w:rtl/>
          <w:lang w:bidi="ar-EG"/>
        </w:rPr>
        <w:t xml:space="preserve"> الحمامات، </w:t>
      </w:r>
      <w:r w:rsidR="001C2D5D" w:rsidRPr="006C012F">
        <w:rPr>
          <w:rFonts w:ascii="Calibri" w:hAnsi="Calibri"/>
          <w:spacing w:val="-4"/>
          <w:lang w:val="en-US" w:bidi="ar-EG"/>
        </w:rPr>
        <w:t>2016</w:t>
      </w:r>
      <w:r w:rsidR="001C2D5D" w:rsidRPr="006C012F">
        <w:rPr>
          <w:rFonts w:ascii="Calibri" w:hAnsi="Calibri"/>
          <w:spacing w:val="-4"/>
          <w:rtl/>
          <w:lang w:bidi="ar-EG"/>
        </w:rPr>
        <w:t>)</w:t>
      </w:r>
      <w:r w:rsidR="001C2D5D" w:rsidRPr="006C012F">
        <w:rPr>
          <w:rFonts w:ascii="Calibri" w:hAnsi="Calibri" w:hint="cs"/>
          <w:spacing w:val="-4"/>
          <w:rtl/>
          <w:lang w:bidi="ar-EG"/>
        </w:rPr>
        <w:t xml:space="preserve"> لهذه الجمعية</w:t>
      </w:r>
      <w:r w:rsidR="001C2D5D" w:rsidRPr="006C012F">
        <w:rPr>
          <w:rFonts w:ascii="Calibri" w:hAnsi="Calibri"/>
          <w:spacing w:val="-4"/>
          <w:rtl/>
          <w:lang w:bidi="ar-EG"/>
        </w:rPr>
        <w:t>، بشأن سد الفجوة التقييسية بين البلدان</w:t>
      </w:r>
      <w:r w:rsidRPr="006C012F">
        <w:rPr>
          <w:spacing w:val="-4"/>
          <w:rtl/>
          <w:lang w:bidi="ar-EG"/>
        </w:rPr>
        <w:t xml:space="preserve"> النامية</w:t>
      </w:r>
      <w:r w:rsidRPr="006C012F">
        <w:rPr>
          <w:rStyle w:val="FootnoteReference"/>
          <w:rFonts w:eastAsia="Batang"/>
          <w:spacing w:val="-4"/>
          <w:rtl/>
          <w:lang w:bidi="ar-EG"/>
        </w:rPr>
        <w:footnoteReference w:customMarkFollows="1" w:id="1"/>
        <w:t>1</w:t>
      </w:r>
      <w:r w:rsidRPr="006C012F">
        <w:rPr>
          <w:spacing w:val="-4"/>
          <w:rtl/>
          <w:lang w:bidi="ar-EG"/>
        </w:rPr>
        <w:t xml:space="preserve"> والبلدان المتقدمة؛</w:t>
      </w:r>
    </w:p>
    <w:p w14:paraId="35DF7D99" w14:textId="77777777" w:rsidR="00641C32" w:rsidRPr="008810C8" w:rsidRDefault="00641C32" w:rsidP="006C012F">
      <w:pPr>
        <w:spacing w:line="168" w:lineRule="auto"/>
        <w:rPr>
          <w:rtl/>
        </w:rPr>
      </w:pPr>
      <w:r w:rsidRPr="008810C8">
        <w:rPr>
          <w:rFonts w:hint="cs"/>
          <w:i/>
          <w:iCs/>
          <w:rtl/>
          <w:lang w:bidi="ar-EG"/>
        </w:rPr>
        <w:t xml:space="preserve">ﻫ </w:t>
      </w:r>
      <w:r w:rsidRPr="008810C8">
        <w:rPr>
          <w:i/>
          <w:iCs/>
          <w:rtl/>
          <w:lang w:bidi="ar-EG"/>
        </w:rPr>
        <w:t>)</w:t>
      </w:r>
      <w:r w:rsidRPr="008810C8">
        <w:rPr>
          <w:rtl/>
          <w:lang w:bidi="ar-EG"/>
        </w:rPr>
        <w:tab/>
        <w:t xml:space="preserve">بالقرار </w:t>
      </w:r>
      <w:r w:rsidRPr="008810C8">
        <w:rPr>
          <w:lang w:bidi="ar-EG"/>
        </w:rPr>
        <w:t>58</w:t>
      </w:r>
      <w:r w:rsidRPr="008810C8">
        <w:rPr>
          <w:rtl/>
          <w:lang w:bidi="ar-EG"/>
        </w:rPr>
        <w:t xml:space="preserve"> (المراجَع في دبي، </w:t>
      </w:r>
      <w:r w:rsidRPr="008810C8">
        <w:rPr>
          <w:lang w:bidi="ar-EG"/>
        </w:rPr>
        <w:t>2014</w:t>
      </w:r>
      <w:r w:rsidRPr="008810C8">
        <w:rPr>
          <w:rtl/>
          <w:lang w:bidi="ar-EG"/>
        </w:rPr>
        <w:t xml:space="preserve">) للمؤتمر العالمي لتنمية الاتصالات </w:t>
      </w:r>
      <w:r w:rsidRPr="008810C8">
        <w:rPr>
          <w:rFonts w:hint="cs"/>
          <w:rtl/>
          <w:lang w:bidi="ar-EG"/>
        </w:rPr>
        <w:t xml:space="preserve">الذي قرر فيه المؤتمر أن يدعو </w:t>
      </w:r>
      <w:r w:rsidRPr="008810C8">
        <w:rPr>
          <w:rtl/>
        </w:rPr>
        <w:t>الدول الأعضاء</w:t>
      </w:r>
      <w:r w:rsidRPr="008810C8" w:rsidDel="00591776">
        <w:rPr>
          <w:rtl/>
          <w:lang w:bidi="ar-EG"/>
        </w:rPr>
        <w:t xml:space="preserve"> </w:t>
      </w:r>
      <w:r w:rsidRPr="008810C8">
        <w:rPr>
          <w:rtl/>
        </w:rPr>
        <w:t xml:space="preserve">إلى </w:t>
      </w:r>
      <w:r w:rsidRPr="008810C8">
        <w:rPr>
          <w:spacing w:val="-6"/>
          <w:rtl/>
        </w:rPr>
        <w:t>تعزيز البحث والتطوير والاضطلاع به من أجل معدات وخدمات وبرمجيات يمكن النفاذ إليها من خلال تكنولوجيا المعلومات والاتصالات</w:t>
      </w:r>
      <w:r w:rsidRPr="008810C8">
        <w:rPr>
          <w:rtl/>
        </w:rPr>
        <w:t>، مع التركيز على البرمجيات الحرة والمفتوحة المصدر والمعدات والخدمات ميسورة</w:t>
      </w:r>
      <w:r w:rsidRPr="008810C8">
        <w:rPr>
          <w:rFonts w:hint="cs"/>
          <w:rtl/>
        </w:rPr>
        <w:t> </w:t>
      </w:r>
      <w:r w:rsidRPr="008810C8">
        <w:rPr>
          <w:rtl/>
        </w:rPr>
        <w:t>التكلفة،</w:t>
      </w:r>
    </w:p>
    <w:p w14:paraId="59E2378A" w14:textId="77777777"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t>تقرر</w:t>
      </w:r>
    </w:p>
    <w:p w14:paraId="5679849F" w14:textId="77777777" w:rsidR="00641C32" w:rsidRPr="008810C8" w:rsidRDefault="00641C32" w:rsidP="00641C32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أن يواصل الفريق الاستشاري لتقييس الاتصالات العمل بشأن مزايا وعيوب تنفيذ مشاريع المصادر المفتوحة فيما يتعلق بعمل قطاع تقييس الاتصالات، حسب الاقتضاء،</w:t>
      </w:r>
    </w:p>
    <w:p w14:paraId="0EE19949" w14:textId="77777777" w:rsidR="00641C32" w:rsidRPr="008810C8" w:rsidRDefault="00641C32" w:rsidP="00641C32">
      <w:pPr>
        <w:pStyle w:val="Call"/>
        <w:rPr>
          <w:rFonts w:ascii="Times New Roman italic" w:hAnsi="Times New Roman italic"/>
          <w:rtl/>
          <w:lang w:bidi="ar-EG"/>
        </w:rPr>
      </w:pPr>
      <w:r w:rsidRPr="008810C8">
        <w:rPr>
          <w:rFonts w:ascii="Times New Roman italic" w:hAnsi="Times New Roman italic"/>
          <w:rtl/>
          <w:lang w:bidi="ar-EG"/>
        </w:rPr>
        <w:t>تكلف جميع</w:t>
      </w:r>
      <w:r w:rsidRPr="008810C8">
        <w:rPr>
          <w:rFonts w:ascii="Times New Roman italic" w:hAnsi="Times New Roman italic" w:hint="cs"/>
          <w:rtl/>
          <w:lang w:bidi="ar-EG"/>
        </w:rPr>
        <w:t xml:space="preserve"> لجان الدراسات ذات الصلة في </w:t>
      </w:r>
      <w:r w:rsidRPr="008810C8">
        <w:rPr>
          <w:rFonts w:ascii="Times New Roman italic" w:hAnsi="Times New Roman italic"/>
          <w:rtl/>
          <w:lang w:bidi="ar-EG"/>
        </w:rPr>
        <w:t>قطاع تقييس الاتصالات</w:t>
      </w:r>
      <w:r w:rsidRPr="008810C8">
        <w:rPr>
          <w:rFonts w:ascii="Times New Roman italic" w:hAnsi="Times New Roman italic" w:hint="cs"/>
          <w:rtl/>
          <w:lang w:bidi="ar-EG"/>
        </w:rPr>
        <w:t xml:space="preserve"> بالاتحاد، في حدود الموارد المالية المتاحة</w:t>
      </w:r>
    </w:p>
    <w:p w14:paraId="7FC250F8" w14:textId="77777777"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1</w:t>
      </w:r>
      <w:r w:rsidRPr="008810C8">
        <w:rPr>
          <w:lang w:bidi="ar-EG"/>
        </w:rPr>
        <w:tab/>
      </w:r>
      <w:r w:rsidRPr="008810C8">
        <w:rPr>
          <w:rFonts w:hint="cs"/>
          <w:rtl/>
          <w:lang w:bidi="ar-EG"/>
        </w:rPr>
        <w:t xml:space="preserve">بتوفير مساهمات استجابة لاستفسارات الفريق الاستشاري لتقييس الاتصالات بشأن المصادر المفتوحة على النحو المدرج في التقرير الثامن للفريق، يوليو </w:t>
      </w:r>
      <w:proofErr w:type="gramStart"/>
      <w:r w:rsidRPr="008810C8">
        <w:rPr>
          <w:lang w:bidi="ar-EG"/>
        </w:rPr>
        <w:t>2016</w:t>
      </w:r>
      <w:r w:rsidRPr="008810C8">
        <w:rPr>
          <w:rFonts w:hint="cs"/>
          <w:rtl/>
          <w:lang w:bidi="ar-EG"/>
        </w:rPr>
        <w:t>؛</w:t>
      </w:r>
      <w:proofErr w:type="gramEnd"/>
    </w:p>
    <w:p w14:paraId="5CA936EC" w14:textId="77777777"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2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 xml:space="preserve">بالنظر في نواتج الفريق الاستشاري لتقييس الاتصالات بشأن المصادر المفتوحة، من أجل دراسة قيمة استخدام المصادر المفتوحة في تطوير تطبيقات مرجعية لتوصيات قطاع تقييس الاتصالات، حسب </w:t>
      </w:r>
      <w:proofErr w:type="gramStart"/>
      <w:r w:rsidRPr="008810C8">
        <w:rPr>
          <w:rFonts w:hint="cs"/>
          <w:rtl/>
          <w:lang w:bidi="ar-EG"/>
        </w:rPr>
        <w:t>الاقتضاء؛</w:t>
      </w:r>
      <w:proofErr w:type="gramEnd"/>
    </w:p>
    <w:p w14:paraId="62ACED40" w14:textId="77777777" w:rsidR="00641C32" w:rsidRPr="008810C8" w:rsidRDefault="00641C32" w:rsidP="00641C32">
      <w:pPr>
        <w:rPr>
          <w:spacing w:val="-4"/>
          <w:rtl/>
          <w:lang w:bidi="ar-EG"/>
        </w:rPr>
      </w:pPr>
      <w:r w:rsidRPr="008810C8">
        <w:rPr>
          <w:spacing w:val="-4"/>
          <w:lang w:bidi="ar-EG"/>
        </w:rPr>
        <w:t>3</w:t>
      </w:r>
      <w:r w:rsidRPr="008810C8">
        <w:rPr>
          <w:spacing w:val="-4"/>
          <w:rtl/>
          <w:lang w:bidi="ar-EG"/>
        </w:rPr>
        <w:tab/>
      </w:r>
      <w:r w:rsidRPr="008810C8">
        <w:rPr>
          <w:rFonts w:hint="cs"/>
          <w:spacing w:val="-4"/>
          <w:rtl/>
          <w:lang w:bidi="ar-EG"/>
        </w:rPr>
        <w:t xml:space="preserve">بالنظر في نتائج الدراسات الواردة في الفقرة </w:t>
      </w:r>
      <w:r w:rsidRPr="008810C8">
        <w:rPr>
          <w:rFonts w:hint="cs"/>
          <w:i/>
          <w:iCs/>
          <w:spacing w:val="-4"/>
          <w:rtl/>
          <w:lang w:bidi="ar-EG"/>
        </w:rPr>
        <w:t>"تكلف</w:t>
      </w:r>
      <w:r w:rsidRPr="008810C8">
        <w:rPr>
          <w:i/>
          <w:iCs/>
          <w:spacing w:val="-4"/>
          <w:rtl/>
          <w:lang w:bidi="ar-EG"/>
        </w:rPr>
        <w:t xml:space="preserve"> </w:t>
      </w:r>
      <w:r w:rsidRPr="008810C8">
        <w:rPr>
          <w:i/>
          <w:iCs/>
          <w:spacing w:val="-4"/>
          <w:lang w:bidi="ar-EG"/>
        </w:rPr>
        <w:t>2</w:t>
      </w:r>
      <w:r w:rsidRPr="008810C8">
        <w:rPr>
          <w:rFonts w:hint="cs"/>
          <w:i/>
          <w:iCs/>
          <w:spacing w:val="-4"/>
          <w:rtl/>
          <w:lang w:bidi="ar-EG"/>
        </w:rPr>
        <w:t>"</w:t>
      </w:r>
      <w:r w:rsidRPr="008810C8">
        <w:rPr>
          <w:rFonts w:hint="cs"/>
          <w:spacing w:val="-4"/>
          <w:rtl/>
          <w:lang w:bidi="ar-EG"/>
        </w:rPr>
        <w:t xml:space="preserve"> أعلاه من أجل مواصلة استخدام المصادر المفتوحة حسب</w:t>
      </w:r>
      <w:r w:rsidRPr="008810C8">
        <w:rPr>
          <w:rFonts w:hint="eastAsia"/>
          <w:spacing w:val="-4"/>
          <w:rtl/>
          <w:lang w:bidi="ar-EG"/>
        </w:rPr>
        <w:t> </w:t>
      </w:r>
      <w:proofErr w:type="gramStart"/>
      <w:r w:rsidRPr="008810C8">
        <w:rPr>
          <w:rFonts w:hint="cs"/>
          <w:spacing w:val="-4"/>
          <w:rtl/>
          <w:lang w:bidi="ar-EG"/>
        </w:rPr>
        <w:t>الاقتضاء؛</w:t>
      </w:r>
      <w:proofErr w:type="gramEnd"/>
    </w:p>
    <w:p w14:paraId="1F169136" w14:textId="77777777"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4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بدعم</w:t>
      </w:r>
      <w:r w:rsidRPr="008810C8">
        <w:rPr>
          <w:rtl/>
          <w:lang w:bidi="ar-EG"/>
        </w:rPr>
        <w:t xml:space="preserve"> استخدام </w:t>
      </w:r>
      <w:r w:rsidRPr="008810C8">
        <w:rPr>
          <w:rFonts w:hint="cs"/>
          <w:rtl/>
          <w:lang w:bidi="ar-EG"/>
        </w:rPr>
        <w:t xml:space="preserve">مشاريع </w:t>
      </w:r>
      <w:r w:rsidRPr="008810C8">
        <w:rPr>
          <w:rtl/>
          <w:lang w:bidi="ar-EG"/>
        </w:rPr>
        <w:t>المصادر المفتوحة</w:t>
      </w:r>
      <w:r w:rsidRPr="008810C8">
        <w:rPr>
          <w:rFonts w:hint="cs"/>
          <w:rtl/>
          <w:lang w:bidi="ar-EG"/>
        </w:rPr>
        <w:t xml:space="preserve"> في عملها، مع مراعاة نتائج دراسة الفريق الاستشاري لتقييس الاتصالات، حسب </w:t>
      </w:r>
      <w:proofErr w:type="gramStart"/>
      <w:r w:rsidRPr="008810C8">
        <w:rPr>
          <w:rFonts w:hint="cs"/>
          <w:rtl/>
          <w:lang w:bidi="ar-EG"/>
        </w:rPr>
        <w:t>الاقتضاء</w:t>
      </w:r>
      <w:r w:rsidRPr="008810C8">
        <w:rPr>
          <w:rtl/>
          <w:lang w:bidi="ar-EG"/>
        </w:rPr>
        <w:t>؛</w:t>
      </w:r>
      <w:proofErr w:type="gramEnd"/>
    </w:p>
    <w:p w14:paraId="3FCD79BE" w14:textId="77777777" w:rsidR="00641C32" w:rsidRPr="008810C8" w:rsidRDefault="00641C32" w:rsidP="00641C32">
      <w:pPr>
        <w:rPr>
          <w:rtl/>
          <w:lang w:bidi="ar-EG"/>
        </w:rPr>
      </w:pPr>
      <w:r w:rsidRPr="008810C8">
        <w:rPr>
          <w:lang w:bidi="ar-EG"/>
        </w:rPr>
        <w:t>5</w:t>
      </w:r>
      <w:r w:rsidRPr="008810C8">
        <w:rPr>
          <w:lang w:bidi="ar-EG"/>
        </w:rPr>
        <w:tab/>
      </w:r>
      <w:r w:rsidRPr="008810C8">
        <w:rPr>
          <w:rtl/>
          <w:lang w:bidi="ar-EG"/>
        </w:rPr>
        <w:t>ب</w:t>
      </w:r>
      <w:r w:rsidRPr="008810C8">
        <w:rPr>
          <w:rFonts w:hint="cs"/>
          <w:rtl/>
          <w:lang w:bidi="ar-EG"/>
        </w:rPr>
        <w:t>مواصلة العمل</w:t>
      </w:r>
      <w:r w:rsidRPr="008810C8">
        <w:rPr>
          <w:rtl/>
          <w:lang w:bidi="ar-EG"/>
        </w:rPr>
        <w:t xml:space="preserve"> مع </w:t>
      </w:r>
      <w:r w:rsidRPr="008810C8">
        <w:rPr>
          <w:rFonts w:hint="cs"/>
          <w:rtl/>
          <w:lang w:bidi="ar-EG"/>
        </w:rPr>
        <w:t>مشاريع</w:t>
      </w:r>
      <w:r w:rsidRPr="008810C8">
        <w:rPr>
          <w:rtl/>
          <w:lang w:bidi="ar-EG"/>
        </w:rPr>
        <w:t xml:space="preserve"> المصادر المفتوحة،</w:t>
      </w:r>
    </w:p>
    <w:p w14:paraId="48C43F8C" w14:textId="77777777" w:rsidR="00641C32" w:rsidRPr="008810C8" w:rsidRDefault="00641C32" w:rsidP="006C012F">
      <w:pPr>
        <w:pStyle w:val="Call"/>
        <w:keepNext w:val="0"/>
        <w:keepLines w:val="0"/>
        <w:rPr>
          <w:rtl/>
          <w:lang w:bidi="ar-EG"/>
        </w:rPr>
      </w:pPr>
      <w:r w:rsidRPr="008810C8">
        <w:rPr>
          <w:rtl/>
          <w:lang w:bidi="ar-EG"/>
        </w:rPr>
        <w:t>تكلّف مدير مكتب تقييس الاتصالات</w:t>
      </w:r>
    </w:p>
    <w:p w14:paraId="2BC6A950" w14:textId="77777777" w:rsidR="00641C32" w:rsidRPr="008810C8" w:rsidRDefault="00641C32" w:rsidP="006C012F">
      <w:pPr>
        <w:rPr>
          <w:rtl/>
        </w:rPr>
      </w:pPr>
      <w:r w:rsidRPr="008810C8">
        <w:rPr>
          <w:lang w:bidi="ar-EG"/>
        </w:rPr>
        <w:t>1</w:t>
      </w:r>
      <w:r w:rsidRPr="008810C8">
        <w:rPr>
          <w:lang w:bidi="ar-EG"/>
        </w:rPr>
        <w:tab/>
      </w:r>
      <w:r w:rsidRPr="008810C8">
        <w:rPr>
          <w:rtl/>
          <w:lang w:bidi="ar-EG"/>
        </w:rPr>
        <w:t xml:space="preserve">بتوفير التدريب </w:t>
      </w:r>
      <w:r w:rsidRPr="008810C8">
        <w:rPr>
          <w:color w:val="000000"/>
          <w:rtl/>
        </w:rPr>
        <w:t>فيما يتعلق بالمصادر المفتوحة</w:t>
      </w:r>
      <w:r w:rsidRPr="008810C8">
        <w:rPr>
          <w:rFonts w:hint="cs"/>
          <w:color w:val="000000"/>
          <w:rtl/>
        </w:rPr>
        <w:t xml:space="preserve"> (مثلاً المواد التعليمية والحلقات الدراسية وورش العمل)</w:t>
      </w:r>
      <w:r w:rsidRPr="008810C8">
        <w:rPr>
          <w:color w:val="000000"/>
          <w:rtl/>
        </w:rPr>
        <w:t xml:space="preserve"> للمشاركين في أعمال قطاع تقييس الاتصالات بالتعاون مع مجتمعات المصادر المفتوحة ومكتب تنمية الاتصالات،</w:t>
      </w:r>
      <w:r w:rsidRPr="008810C8">
        <w:rPr>
          <w:rFonts w:hint="cs"/>
          <w:color w:val="000000"/>
          <w:rtl/>
        </w:rPr>
        <w:t xml:space="preserve"> مع مراعاة هدف قطاع تقييس الاتصالات لسد الفجوة التقييسية: الفجوة الرقمية بين الجنسين والقيود الخاصة بميزانية</w:t>
      </w:r>
      <w:r w:rsidRPr="008810C8">
        <w:rPr>
          <w:rFonts w:hint="eastAsia"/>
          <w:color w:val="000000"/>
          <w:rtl/>
        </w:rPr>
        <w:t> </w:t>
      </w:r>
      <w:proofErr w:type="gramStart"/>
      <w:r w:rsidRPr="008810C8">
        <w:rPr>
          <w:rFonts w:hint="cs"/>
          <w:color w:val="000000"/>
          <w:rtl/>
        </w:rPr>
        <w:t>الاتحاد؛</w:t>
      </w:r>
      <w:proofErr w:type="gramEnd"/>
    </w:p>
    <w:p w14:paraId="7F5A3887" w14:textId="77777777" w:rsidR="00641C32" w:rsidRPr="008810C8" w:rsidRDefault="00641C32" w:rsidP="006C012F">
      <w:pPr>
        <w:rPr>
          <w:rtl/>
          <w:lang w:bidi="ar-EG"/>
        </w:rPr>
      </w:pPr>
      <w:r w:rsidRPr="008810C8">
        <w:rPr>
          <w:lang w:bidi="ar-EG"/>
        </w:rPr>
        <w:t>2</w:t>
      </w:r>
      <w:r w:rsidRPr="008810C8">
        <w:rPr>
          <w:lang w:bidi="ar-EG"/>
        </w:rPr>
        <w:tab/>
      </w:r>
      <w:r w:rsidRPr="008810C8">
        <w:rPr>
          <w:rtl/>
          <w:lang w:bidi="ar-EG"/>
        </w:rPr>
        <w:t>برفع تقرير إلى الفريق الاستشاري سنوياً بشأن التقدم المحرز في تنفيذ هذا القرار</w:t>
      </w:r>
      <w:r w:rsidRPr="008810C8">
        <w:rPr>
          <w:rFonts w:hint="cs"/>
          <w:rtl/>
          <w:lang w:bidi="ar-EG"/>
        </w:rPr>
        <w:t>،</w:t>
      </w:r>
    </w:p>
    <w:p w14:paraId="43378469" w14:textId="77777777"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lastRenderedPageBreak/>
        <w:t>تكلّف الفريق الاستشاري لتقييس الاتصالات</w:t>
      </w:r>
    </w:p>
    <w:p w14:paraId="43DF833D" w14:textId="77777777" w:rsidR="00641C32" w:rsidRPr="008810C8" w:rsidRDefault="00641C32" w:rsidP="00641C32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بمواصلة تنفيذ نتائج التقرير الثامن للفريق الاستشاري لتقييس الاتصالات بشأن المصادر المفتوحة،</w:t>
      </w:r>
    </w:p>
    <w:p w14:paraId="70BAA5DB" w14:textId="77777777"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t xml:space="preserve">تدعو </w:t>
      </w:r>
      <w:r w:rsidRPr="008810C8">
        <w:rPr>
          <w:rFonts w:hint="cs"/>
          <w:rtl/>
          <w:lang w:bidi="ar-EG"/>
        </w:rPr>
        <w:t>فريق العمل التابع لمجلس الاتحاد والمعني بالموارد المالية والبشرية</w:t>
      </w:r>
    </w:p>
    <w:p w14:paraId="4379B593" w14:textId="77777777" w:rsidR="00641C32" w:rsidRPr="008810C8" w:rsidRDefault="00641C32" w:rsidP="00641C32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إ</w:t>
      </w:r>
      <w:r w:rsidRPr="008810C8">
        <w:rPr>
          <w:rtl/>
          <w:lang w:bidi="ar-EG"/>
        </w:rPr>
        <w:t xml:space="preserve">لى </w:t>
      </w:r>
      <w:r w:rsidRPr="008810C8">
        <w:rPr>
          <w:rFonts w:hint="cs"/>
          <w:rtl/>
          <w:lang w:bidi="ar-EG"/>
        </w:rPr>
        <w:t>تقييم الآثار المالية المحتملة على الاتحاد المترتبة على تنفيذ هذا القرار،</w:t>
      </w:r>
    </w:p>
    <w:p w14:paraId="2F379B59" w14:textId="77777777" w:rsidR="00641C32" w:rsidRPr="008810C8" w:rsidRDefault="00641C32" w:rsidP="00641C32">
      <w:pPr>
        <w:pStyle w:val="Call"/>
        <w:rPr>
          <w:rtl/>
          <w:lang w:bidi="ar-EG"/>
        </w:rPr>
      </w:pPr>
      <w:r w:rsidRPr="008810C8">
        <w:rPr>
          <w:rtl/>
          <w:lang w:bidi="ar-EG"/>
        </w:rPr>
        <w:t>تدعو أعضاء الاتحاد الدولي للاتصالات</w:t>
      </w:r>
    </w:p>
    <w:p w14:paraId="034F8219" w14:textId="77777777" w:rsidR="00641C32" w:rsidRPr="008810C8" w:rsidRDefault="00641C32" w:rsidP="00641C32">
      <w:pPr>
        <w:rPr>
          <w:rtl/>
          <w:lang w:bidi="ar-EG"/>
        </w:rPr>
      </w:pPr>
      <w:r w:rsidRPr="008810C8">
        <w:rPr>
          <w:rtl/>
          <w:lang w:bidi="ar-EG"/>
        </w:rPr>
        <w:t xml:space="preserve">إلى المساهمة في تنفيذ </w:t>
      </w:r>
      <w:r w:rsidRPr="008810C8">
        <w:rPr>
          <w:rFonts w:hint="cs"/>
          <w:rtl/>
          <w:lang w:bidi="ar-EG"/>
        </w:rPr>
        <w:t>هذا القرار.</w:t>
      </w:r>
    </w:p>
    <w:p w14:paraId="1C3EA79D" w14:textId="77777777" w:rsidR="0030532E" w:rsidRDefault="0030532E" w:rsidP="0030532E">
      <w:pPr>
        <w:rPr>
          <w:lang w:val="en-US"/>
        </w:rPr>
      </w:pPr>
    </w:p>
    <w:p w14:paraId="2AB10429" w14:textId="77777777" w:rsidR="0030532E" w:rsidRDefault="0030532E" w:rsidP="0030532E">
      <w:pPr>
        <w:rPr>
          <w:lang w:val="en-US"/>
        </w:rPr>
      </w:pPr>
    </w:p>
    <w:p w14:paraId="63F9665E" w14:textId="77777777" w:rsidR="0030532E" w:rsidRDefault="0030532E" w:rsidP="0030532E">
      <w:pPr>
        <w:rPr>
          <w:lang w:val="en-US"/>
        </w:rPr>
      </w:pPr>
    </w:p>
    <w:p w14:paraId="71D91D4E" w14:textId="77777777" w:rsidR="0030532E" w:rsidRDefault="0030532E" w:rsidP="0030532E">
      <w:pPr>
        <w:rPr>
          <w:lang w:val="en-US"/>
        </w:rPr>
      </w:pPr>
    </w:p>
    <w:p w14:paraId="31462E86" w14:textId="77777777" w:rsidR="0030532E" w:rsidRDefault="0030532E" w:rsidP="0030532E">
      <w:pPr>
        <w:rPr>
          <w:lang w:val="en-US"/>
        </w:rPr>
      </w:pPr>
    </w:p>
    <w:p w14:paraId="6C73A7D0" w14:textId="77777777" w:rsidR="0030532E" w:rsidRDefault="0030532E" w:rsidP="0030532E">
      <w:pPr>
        <w:rPr>
          <w:lang w:val="en-US"/>
        </w:rPr>
      </w:pPr>
    </w:p>
    <w:p w14:paraId="2BF9CE4D" w14:textId="77777777" w:rsidR="0030532E" w:rsidRDefault="0030532E" w:rsidP="0030532E">
      <w:pPr>
        <w:rPr>
          <w:lang w:val="en-US"/>
        </w:rPr>
      </w:pPr>
    </w:p>
    <w:p w14:paraId="296C1DA4" w14:textId="77777777" w:rsidR="0030532E" w:rsidRDefault="0030532E" w:rsidP="0030532E">
      <w:pPr>
        <w:rPr>
          <w:lang w:val="en-US"/>
        </w:rPr>
      </w:pPr>
    </w:p>
    <w:p w14:paraId="33B9E2DD" w14:textId="77777777" w:rsidR="0030532E" w:rsidRDefault="0030532E" w:rsidP="0030532E">
      <w:pPr>
        <w:rPr>
          <w:lang w:val="en-US"/>
        </w:rPr>
      </w:pPr>
    </w:p>
    <w:p w14:paraId="7D40FA4B" w14:textId="77777777" w:rsidR="0030532E" w:rsidRDefault="0030532E" w:rsidP="0030532E">
      <w:pPr>
        <w:rPr>
          <w:lang w:val="en-US"/>
        </w:rPr>
      </w:pPr>
    </w:p>
    <w:p w14:paraId="40CF106C" w14:textId="77777777" w:rsidR="0030532E" w:rsidRDefault="0030532E" w:rsidP="0030532E">
      <w:pPr>
        <w:rPr>
          <w:lang w:val="en-US"/>
        </w:rPr>
      </w:pPr>
    </w:p>
    <w:p w14:paraId="62B5DEC4" w14:textId="77777777" w:rsidR="0030532E" w:rsidRDefault="0030532E" w:rsidP="0030532E">
      <w:pPr>
        <w:rPr>
          <w:lang w:val="en-US"/>
        </w:rPr>
      </w:pPr>
    </w:p>
    <w:p w14:paraId="762FF5BE" w14:textId="77777777" w:rsidR="0030532E" w:rsidRDefault="0030532E" w:rsidP="0030532E">
      <w:pPr>
        <w:rPr>
          <w:lang w:val="en-US"/>
        </w:rPr>
      </w:pPr>
    </w:p>
    <w:p w14:paraId="28F3737C" w14:textId="77777777" w:rsidR="0030532E" w:rsidRDefault="0030532E" w:rsidP="0030532E">
      <w:pPr>
        <w:rPr>
          <w:lang w:val="en-US"/>
        </w:rPr>
      </w:pPr>
    </w:p>
    <w:p w14:paraId="1EA22075" w14:textId="77777777" w:rsidR="0030532E" w:rsidRPr="007940B1" w:rsidRDefault="0030532E" w:rsidP="0030532E">
      <w:pPr>
        <w:rPr>
          <w:lang w:val="en-US"/>
        </w:rPr>
      </w:pPr>
    </w:p>
    <w:p w14:paraId="4CC3FC20" w14:textId="77777777" w:rsidR="0030532E" w:rsidRDefault="0030532E" w:rsidP="0030532E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15AC2661" w14:textId="77777777" w:rsidR="0030532E" w:rsidRDefault="0030532E" w:rsidP="0030532E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0849070C" w14:textId="77777777" w:rsidR="0030532E" w:rsidRDefault="0030532E" w:rsidP="0030532E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74A0067D" w14:textId="77777777" w:rsidR="0030532E" w:rsidRDefault="0030532E" w:rsidP="0030532E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14:paraId="3A25CCEA" w14:textId="77777777" w:rsidR="0030532E" w:rsidRPr="000E4393" w:rsidRDefault="0030532E" w:rsidP="0030532E">
      <w:pPr>
        <w:rPr>
          <w:lang w:val="en-US"/>
        </w:rPr>
      </w:pPr>
    </w:p>
    <w:p w14:paraId="57330F3D" w14:textId="77777777" w:rsidR="009A02A1" w:rsidRPr="009A02A1" w:rsidRDefault="009A02A1" w:rsidP="0030532E">
      <w:pPr>
        <w:pStyle w:val="Reasons"/>
      </w:pPr>
    </w:p>
    <w:sectPr w:rsidR="009A02A1" w:rsidRPr="009A02A1" w:rsidSect="00EB51A1"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BF9F" w14:textId="77777777" w:rsidR="003D4DFE" w:rsidRDefault="003D4DFE">
      <w:r>
        <w:separator/>
      </w:r>
    </w:p>
  </w:endnote>
  <w:endnote w:type="continuationSeparator" w:id="0">
    <w:p w14:paraId="2FB12AC1" w14:textId="77777777" w:rsidR="003D4DFE" w:rsidRDefault="003D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69A4" w14:textId="4CC02D7D" w:rsidR="006C012F" w:rsidRPr="008A68DC" w:rsidRDefault="006C012F" w:rsidP="003118A8">
    <w:pPr>
      <w:tabs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2F55D3">
      <w:rPr>
        <w:b/>
        <w:bCs/>
        <w:noProof/>
      </w:rPr>
      <w:t>90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011F" w14:textId="77777777" w:rsidR="006C012F" w:rsidRPr="003118A8" w:rsidRDefault="006C012F" w:rsidP="0087098B">
    <w:pPr>
      <w:pStyle w:val="Footer"/>
      <w:spacing w:after="120"/>
      <w:jc w:val="right"/>
    </w:pPr>
    <w:r w:rsidRPr="0033681A">
      <w:rPr>
        <w:noProof/>
      </w:rPr>
      <w:drawing>
        <wp:inline distT="0" distB="0" distL="0" distR="0" wp14:anchorId="7A47699B" wp14:editId="20AB5D44">
          <wp:extent cx="737870" cy="813435"/>
          <wp:effectExtent l="0" t="0" r="5080" b="5715"/>
          <wp:docPr id="331261195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45678" w14:textId="21A81889" w:rsidR="006C012F" w:rsidRPr="006C012F" w:rsidRDefault="006C012F" w:rsidP="006C01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5FB7" w14:textId="77777777"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14DB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B20D443" w14:textId="70160E88"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2F55D3">
      <w:rPr>
        <w:rFonts w:ascii="Times New Roman Bold" w:hAnsi="Times New Roman Bold"/>
        <w:b/>
        <w:bCs/>
        <w:noProof/>
      </w:rPr>
      <w:t>90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8C4A" w14:textId="358AB317"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2F55D3">
      <w:rPr>
        <w:rFonts w:ascii="Times New Roman Bold" w:hAnsi="Times New Roman Bold"/>
        <w:b/>
        <w:bCs/>
        <w:noProof/>
      </w:rPr>
      <w:t>90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30532E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BB95" w14:textId="395F9000"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2F55D3">
      <w:rPr>
        <w:rFonts w:ascii="Times New Roman Bold" w:hAnsi="Times New Roman Bold"/>
        <w:b/>
        <w:bCs/>
        <w:noProof/>
      </w:rPr>
      <w:t>90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614DBB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14BC" w14:textId="77777777" w:rsidR="003D4DFE" w:rsidRDefault="003D4DFE" w:rsidP="002D69B5">
      <w:pPr>
        <w:spacing w:before="240"/>
      </w:pPr>
      <w:r>
        <w:separator/>
      </w:r>
    </w:p>
  </w:footnote>
  <w:footnote w:type="continuationSeparator" w:id="0">
    <w:p w14:paraId="24019434" w14:textId="77777777" w:rsidR="003D4DFE" w:rsidRDefault="003D4DFE">
      <w:r>
        <w:continuationSeparator/>
      </w:r>
    </w:p>
  </w:footnote>
  <w:footnote w:id="1">
    <w:p w14:paraId="229A498B" w14:textId="77777777" w:rsidR="00641C32" w:rsidRPr="009957ED" w:rsidRDefault="00641C32" w:rsidP="00641C32">
      <w:pPr>
        <w:pStyle w:val="FootnoteText"/>
        <w:tabs>
          <w:tab w:val="left" w:pos="374"/>
        </w:tabs>
      </w:pPr>
      <w:r>
        <w:rPr>
          <w:rStyle w:val="FootnoteReference"/>
          <w:rFonts w:eastAsia="Batang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6C012F" w:rsidRPr="0087098B" w14:paraId="6953A0BB" w14:textId="77777777" w:rsidTr="00AD4B4E">
      <w:trPr>
        <w:jc w:val="center"/>
      </w:trPr>
      <w:tc>
        <w:tcPr>
          <w:tcW w:w="5972" w:type="dxa"/>
        </w:tcPr>
        <w:p w14:paraId="51B7D739" w14:textId="77777777" w:rsidR="006C012F" w:rsidRPr="0087098B" w:rsidRDefault="006C012F" w:rsidP="0087098B">
          <w:pPr>
            <w:pStyle w:val="Header"/>
            <w:spacing w:before="60" w:after="0"/>
            <w:jc w:val="right"/>
            <w:rPr>
              <w:rFonts w:ascii="Dubai" w:hAnsi="Dubai" w:cs="Dubai"/>
              <w:color w:val="FFFFFF" w:themeColor="background1"/>
              <w:sz w:val="32"/>
              <w:szCs w:val="32"/>
            </w:rPr>
          </w:pPr>
          <w:r w:rsidRPr="0087098B">
            <w:rPr>
              <w:rFonts w:ascii="Dubai" w:hAnsi="Dubai" w:cs="Dubai"/>
              <w:noProof/>
            </w:rPr>
            <w:drawing>
              <wp:anchor distT="0" distB="0" distL="114300" distR="114300" simplePos="0" relativeHeight="251666944" behindDoc="0" locked="0" layoutInCell="1" allowOverlap="1" wp14:anchorId="0E9560AE" wp14:editId="13AAAB56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1220557882" name="Picture 1220557882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14C87595" w14:textId="77777777" w:rsidR="006C012F" w:rsidRPr="0087098B" w:rsidRDefault="006C012F" w:rsidP="0087098B">
          <w:pPr>
            <w:pStyle w:val="Header"/>
            <w:spacing w:before="60" w:after="0"/>
            <w:jc w:val="righ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87098B">
            <w:rPr>
              <w:rFonts w:ascii="Dubai" w:hAnsi="Dubai" w:cs="Dubai"/>
              <w:spacing w:val="4"/>
              <w:sz w:val="28"/>
              <w:szCs w:val="28"/>
              <w:rtl/>
            </w:rPr>
            <w:t>الاتح</w:t>
          </w:r>
          <w:r w:rsidRPr="0087098B">
            <w:rPr>
              <w:rFonts w:ascii="Dubai" w:hAnsi="Dubai" w:cs="Dubai"/>
              <w:spacing w:val="4"/>
              <w:sz w:val="28"/>
              <w:szCs w:val="28"/>
              <w:rtl/>
              <w:lang w:bidi="ar-EG"/>
            </w:rPr>
            <w:t>ـــــ</w:t>
          </w:r>
          <w:r w:rsidRPr="0087098B">
            <w:rPr>
              <w:rFonts w:ascii="Dubai" w:hAnsi="Dubai" w:cs="Dubai"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6C012F" w:rsidRPr="0087098B" w14:paraId="2945DFEC" w14:textId="77777777" w:rsidTr="00AD4B4E">
      <w:trPr>
        <w:jc w:val="center"/>
      </w:trPr>
      <w:tc>
        <w:tcPr>
          <w:tcW w:w="5972" w:type="dxa"/>
        </w:tcPr>
        <w:p w14:paraId="484A0A56" w14:textId="77777777" w:rsidR="006C012F" w:rsidRPr="0087098B" w:rsidRDefault="006C012F" w:rsidP="0087098B">
          <w:pPr>
            <w:pStyle w:val="Header"/>
            <w:spacing w:before="60" w:after="0"/>
            <w:jc w:val="lef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87098B">
            <w:rPr>
              <w:rFonts w:ascii="Dubai" w:hAnsi="Dubai" w:cs="Dubai"/>
              <w:b w:val="0"/>
              <w:bCs w:val="0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B7B6E5D" w14:textId="77777777" w:rsidR="006C012F" w:rsidRPr="0087098B" w:rsidRDefault="006C012F" w:rsidP="0087098B">
          <w:pPr>
            <w:pStyle w:val="Header"/>
            <w:spacing w:before="60" w:after="0"/>
            <w:jc w:val="righ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87098B">
            <w:rPr>
              <w:rFonts w:ascii="Dubai" w:hAnsi="Dubai" w:cs="Dubai"/>
              <w:b w:val="0"/>
              <w:bCs w:val="0"/>
              <w:spacing w:val="4"/>
              <w:sz w:val="28"/>
              <w:szCs w:val="28"/>
              <w:rtl/>
            </w:rPr>
            <w:t>قطاع التقييس</w:t>
          </w:r>
        </w:p>
      </w:tc>
    </w:tr>
  </w:tbl>
  <w:p w14:paraId="78AC170E" w14:textId="77777777" w:rsidR="006C012F" w:rsidRDefault="006C012F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157BB798" wp14:editId="463F0248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E7207" id="Group 2" o:spid="_x0000_s1026" style="position:absolute;margin-left:-10.9pt;margin-top:80pt;width:612pt;height:20.75pt;z-index:-25164851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2FA4" w14:textId="77777777"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ED674F0" wp14:editId="04510DC2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506FA" w14:textId="2B565488"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2F55D3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674F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7C7506FA" w14:textId="2B565488"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2F55D3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7CAB" w14:textId="77777777"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489749D" wp14:editId="184B7A2A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B18C3" w14:textId="3BC726E2"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614DBB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2F55D3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9749D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" filled="f" stroked="f">
              <v:textbox style="layout-flow:vertical;mso-layout-flow-alt:bottom-to-top">
                <w:txbxContent>
                  <w:p w14:paraId="0FFB18C3" w14:textId="3BC726E2"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614DBB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2F55D3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985776">
    <w:abstractNumId w:val="22"/>
  </w:num>
  <w:num w:numId="2" w16cid:durableId="2108959741">
    <w:abstractNumId w:val="21"/>
  </w:num>
  <w:num w:numId="3" w16cid:durableId="563754603">
    <w:abstractNumId w:val="19"/>
  </w:num>
  <w:num w:numId="4" w16cid:durableId="1414548433">
    <w:abstractNumId w:val="12"/>
  </w:num>
  <w:num w:numId="5" w16cid:durableId="72550734">
    <w:abstractNumId w:val="29"/>
  </w:num>
  <w:num w:numId="6" w16cid:durableId="690766381">
    <w:abstractNumId w:val="18"/>
  </w:num>
  <w:num w:numId="7" w16cid:durableId="18552431">
    <w:abstractNumId w:val="23"/>
  </w:num>
  <w:num w:numId="8" w16cid:durableId="308174538">
    <w:abstractNumId w:val="30"/>
  </w:num>
  <w:num w:numId="9" w16cid:durableId="757949193">
    <w:abstractNumId w:val="17"/>
  </w:num>
  <w:num w:numId="10" w16cid:durableId="507713588">
    <w:abstractNumId w:val="8"/>
  </w:num>
  <w:num w:numId="11" w16cid:durableId="1660572361">
    <w:abstractNumId w:val="6"/>
  </w:num>
  <w:num w:numId="12" w16cid:durableId="1555894945">
    <w:abstractNumId w:val="14"/>
  </w:num>
  <w:num w:numId="13" w16cid:durableId="44455400">
    <w:abstractNumId w:val="3"/>
  </w:num>
  <w:num w:numId="14" w16cid:durableId="1893888282">
    <w:abstractNumId w:val="25"/>
  </w:num>
  <w:num w:numId="15" w16cid:durableId="1336423208">
    <w:abstractNumId w:val="28"/>
  </w:num>
  <w:num w:numId="16" w16cid:durableId="1461801810">
    <w:abstractNumId w:val="15"/>
  </w:num>
  <w:num w:numId="17" w16cid:durableId="1229415953">
    <w:abstractNumId w:val="9"/>
  </w:num>
  <w:num w:numId="18" w16cid:durableId="1252622035">
    <w:abstractNumId w:val="0"/>
  </w:num>
  <w:num w:numId="19" w16cid:durableId="26490922">
    <w:abstractNumId w:val="20"/>
  </w:num>
  <w:num w:numId="20" w16cid:durableId="582029292">
    <w:abstractNumId w:val="4"/>
  </w:num>
  <w:num w:numId="21" w16cid:durableId="748428575">
    <w:abstractNumId w:val="26"/>
  </w:num>
  <w:num w:numId="22" w16cid:durableId="742534719">
    <w:abstractNumId w:val="27"/>
  </w:num>
  <w:num w:numId="23" w16cid:durableId="1336882752">
    <w:abstractNumId w:val="2"/>
  </w:num>
  <w:num w:numId="24" w16cid:durableId="1086000715">
    <w:abstractNumId w:val="5"/>
  </w:num>
  <w:num w:numId="25" w16cid:durableId="1215043334">
    <w:abstractNumId w:val="24"/>
  </w:num>
  <w:num w:numId="26" w16cid:durableId="4678776">
    <w:abstractNumId w:val="11"/>
  </w:num>
  <w:num w:numId="27" w16cid:durableId="1809937878">
    <w:abstractNumId w:val="7"/>
  </w:num>
  <w:num w:numId="28" w16cid:durableId="564755334">
    <w:abstractNumId w:val="13"/>
  </w:num>
  <w:num w:numId="29" w16cid:durableId="1574660955">
    <w:abstractNumId w:val="16"/>
  </w:num>
  <w:num w:numId="30" w16cid:durableId="1033650602">
    <w:abstractNumId w:val="1"/>
  </w:num>
  <w:num w:numId="31" w16cid:durableId="1841852007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ar-SA" w:vendorID="4" w:dllVersion="512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32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5EE9"/>
    <w:rsid w:val="00130067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D5D"/>
    <w:rsid w:val="001D07A6"/>
    <w:rsid w:val="001F42E5"/>
    <w:rsid w:val="00200776"/>
    <w:rsid w:val="002029E4"/>
    <w:rsid w:val="002034F7"/>
    <w:rsid w:val="00205113"/>
    <w:rsid w:val="0020762D"/>
    <w:rsid w:val="00214A92"/>
    <w:rsid w:val="00214CDA"/>
    <w:rsid w:val="0022328D"/>
    <w:rsid w:val="002279DA"/>
    <w:rsid w:val="00234918"/>
    <w:rsid w:val="00235961"/>
    <w:rsid w:val="00245EAB"/>
    <w:rsid w:val="002513C9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B7CA8"/>
    <w:rsid w:val="002C3DBA"/>
    <w:rsid w:val="002C494C"/>
    <w:rsid w:val="002D2E43"/>
    <w:rsid w:val="002D69B5"/>
    <w:rsid w:val="002E0F04"/>
    <w:rsid w:val="002F2144"/>
    <w:rsid w:val="002F55D3"/>
    <w:rsid w:val="002F7CF0"/>
    <w:rsid w:val="0030532E"/>
    <w:rsid w:val="00335EC6"/>
    <w:rsid w:val="0034486D"/>
    <w:rsid w:val="00353935"/>
    <w:rsid w:val="00355B9E"/>
    <w:rsid w:val="00356CB3"/>
    <w:rsid w:val="00372CB9"/>
    <w:rsid w:val="0037560B"/>
    <w:rsid w:val="00381B53"/>
    <w:rsid w:val="003969E2"/>
    <w:rsid w:val="003B7082"/>
    <w:rsid w:val="003C0046"/>
    <w:rsid w:val="003D32AC"/>
    <w:rsid w:val="003D4DFE"/>
    <w:rsid w:val="003E1820"/>
    <w:rsid w:val="003E18F6"/>
    <w:rsid w:val="003E615C"/>
    <w:rsid w:val="003F16B7"/>
    <w:rsid w:val="003F62E1"/>
    <w:rsid w:val="00400120"/>
    <w:rsid w:val="004016E1"/>
    <w:rsid w:val="00407AB4"/>
    <w:rsid w:val="00412488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700A3"/>
    <w:rsid w:val="005879A0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4DBB"/>
    <w:rsid w:val="00617660"/>
    <w:rsid w:val="0062183F"/>
    <w:rsid w:val="00626CB5"/>
    <w:rsid w:val="00635583"/>
    <w:rsid w:val="00641C32"/>
    <w:rsid w:val="00644070"/>
    <w:rsid w:val="00645D39"/>
    <w:rsid w:val="00655EF8"/>
    <w:rsid w:val="0065700E"/>
    <w:rsid w:val="006635B2"/>
    <w:rsid w:val="00682317"/>
    <w:rsid w:val="00686EB4"/>
    <w:rsid w:val="00687407"/>
    <w:rsid w:val="00694279"/>
    <w:rsid w:val="006955E4"/>
    <w:rsid w:val="006A62D4"/>
    <w:rsid w:val="006B6F6A"/>
    <w:rsid w:val="006C012F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77D54"/>
    <w:rsid w:val="008B0713"/>
    <w:rsid w:val="008C3C45"/>
    <w:rsid w:val="008D0D4B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41CE6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5BF8"/>
    <w:rsid w:val="009E7C7A"/>
    <w:rsid w:val="009F60EB"/>
    <w:rsid w:val="00A056BA"/>
    <w:rsid w:val="00A07991"/>
    <w:rsid w:val="00A1169B"/>
    <w:rsid w:val="00A12B91"/>
    <w:rsid w:val="00A1375F"/>
    <w:rsid w:val="00A233BA"/>
    <w:rsid w:val="00A2524A"/>
    <w:rsid w:val="00A2691D"/>
    <w:rsid w:val="00A27281"/>
    <w:rsid w:val="00A361A9"/>
    <w:rsid w:val="00A40DC0"/>
    <w:rsid w:val="00A506E4"/>
    <w:rsid w:val="00A55F84"/>
    <w:rsid w:val="00A61369"/>
    <w:rsid w:val="00A7578D"/>
    <w:rsid w:val="00A82E43"/>
    <w:rsid w:val="00A833F4"/>
    <w:rsid w:val="00A911C3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530B8"/>
    <w:rsid w:val="00B76FE1"/>
    <w:rsid w:val="00B80748"/>
    <w:rsid w:val="00B8580E"/>
    <w:rsid w:val="00B91326"/>
    <w:rsid w:val="00B9167B"/>
    <w:rsid w:val="00B91F52"/>
    <w:rsid w:val="00B95A74"/>
    <w:rsid w:val="00BA5F83"/>
    <w:rsid w:val="00BC0875"/>
    <w:rsid w:val="00BC14DB"/>
    <w:rsid w:val="00BD0899"/>
    <w:rsid w:val="00BF0723"/>
    <w:rsid w:val="00BF18F5"/>
    <w:rsid w:val="00BF3FCF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5393D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A6705"/>
    <w:rsid w:val="00CA7C37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27F3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F20839"/>
    <w:rsid w:val="00F614E1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BBFE12"/>
  <w15:docId w15:val="{29842568-7FE3-4060-80B5-79D235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3F16B7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3F16B7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6C012F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qFormat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6C012F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rsid w:val="00941CE6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941CE6"/>
    <w:rPr>
      <w:rFonts w:eastAsia="Times New Roman" w:cs="Traditional Arabic"/>
      <w:b/>
      <w:bCs/>
      <w:sz w:val="22"/>
      <w:szCs w:val="30"/>
      <w:lang w:eastAsia="en-US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6C012F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styleId="BodyText">
    <w:name w:val="Body Text"/>
    <w:basedOn w:val="Normal"/>
    <w:link w:val="BodyTextChar"/>
    <w:unhideWhenUsed/>
    <w:rsid w:val="006C012F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Dubai" w:hAnsi="Dubai" w:cs="Dubai"/>
      <w:b/>
      <w:bCs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rsid w:val="006C012F"/>
    <w:rPr>
      <w:rFonts w:ascii="Dubai" w:eastAsia="Times New Roman" w:hAnsi="Dubai" w:cs="Dubai"/>
      <w:b/>
      <w:bCs/>
      <w:sz w:val="48"/>
      <w:szCs w:val="48"/>
      <w:lang w:eastAsia="en-US"/>
    </w:rPr>
  </w:style>
  <w:style w:type="paragraph" w:customStyle="1" w:styleId="CoverNumber">
    <w:name w:val="Cover Number"/>
    <w:basedOn w:val="Normal"/>
    <w:qFormat/>
    <w:rsid w:val="006C012F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Dubai" w:hAnsi="Dubai" w:cs="Dubai"/>
      <w:b/>
      <w:bCs/>
      <w:color w:val="000000" w:themeColor="text1"/>
      <w:sz w:val="48"/>
      <w:szCs w:val="48"/>
      <w:lang w:val="en-US" w:eastAsia="fr-FR" w:bidi="ar-EG"/>
    </w:rPr>
  </w:style>
  <w:style w:type="paragraph" w:customStyle="1" w:styleId="CoverSeries">
    <w:name w:val="Cover Series"/>
    <w:basedOn w:val="Normal"/>
    <w:qFormat/>
    <w:rsid w:val="006C012F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 w:line="168" w:lineRule="auto"/>
      <w:ind w:right="-125"/>
      <w:jc w:val="left"/>
      <w:textAlignment w:val="auto"/>
    </w:pPr>
    <w:rPr>
      <w:rFonts w:ascii="Dubai" w:hAnsi="Dubai" w:cs="Dubai"/>
      <w:color w:val="000000" w:themeColor="text1"/>
      <w:sz w:val="44"/>
      <w:szCs w:val="44"/>
      <w:lang w:val="en-US"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l\Desktop\Desk_Top\409663A\COMP_NEW\RES-00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C34B-5837-44E1-810C-BFCA3980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RES-00-A.dotx</Template>
  <TotalTime>6</TotalTime>
  <Pages>6</Pages>
  <Words>553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90 – المصادر المفتوحة في قطاع تقييس الاتصالات للاتحاد الدولي للاتصالات</dc:title>
  <dc:creator>Khalil, Magdy</dc:creator>
  <cp:lastModifiedBy>Gergis, Mina</cp:lastModifiedBy>
  <cp:revision>4</cp:revision>
  <cp:lastPrinted>2024-11-21T16:42:00Z</cp:lastPrinted>
  <dcterms:created xsi:type="dcterms:W3CDTF">2024-11-21T16:38:00Z</dcterms:created>
  <dcterms:modified xsi:type="dcterms:W3CDTF">2024-11-21T16:44:00Z</dcterms:modified>
</cp:coreProperties>
</file>