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DF16F1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F21573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F2157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90 – </w:t>
            </w:r>
            <w:r w:rsidR="00F21573" w:rsidRPr="00F21573">
              <w:rPr>
                <w:rFonts w:ascii="Arial" w:hAnsi="Arial" w:cs="Arial"/>
                <w:b/>
                <w:bCs/>
                <w:sz w:val="36"/>
                <w:szCs w:val="36"/>
              </w:rPr>
              <w:t>Código abierto en el Sector de Normalización</w:t>
            </w:r>
            <w:r w:rsidR="00F2157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F21573" w:rsidRPr="00F21573">
              <w:rPr>
                <w:rFonts w:ascii="Arial" w:hAnsi="Arial" w:cs="Arial"/>
                <w:b/>
                <w:bCs/>
                <w:sz w:val="36"/>
                <w:szCs w:val="36"/>
              </w:rPr>
              <w:t>de las Telecomunicaciones de la</w:t>
            </w:r>
            <w:r w:rsidR="00F21573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  <w:r w:rsidR="00F21573" w:rsidRPr="00F21573">
              <w:rPr>
                <w:rFonts w:ascii="Arial" w:hAnsi="Arial" w:cs="Arial"/>
                <w:b/>
                <w:bCs/>
                <w:sz w:val="36"/>
                <w:szCs w:val="36"/>
              </w:rPr>
              <w:t>UIT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F21573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F21573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F21573" w:rsidRDefault="00DF16F1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F21573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9A204D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F21573">
        <w:rPr>
          <w:b w:val="0"/>
          <w:caps/>
        </w:rPr>
        <w:t>9</w:t>
      </w:r>
      <w:r w:rsidR="009A204D">
        <w:rPr>
          <w:b w:val="0"/>
          <w:caps/>
        </w:rPr>
        <w:t>0</w:t>
      </w:r>
      <w:r w:rsidR="00F21573">
        <w:rPr>
          <w:b w:val="0"/>
          <w:caps/>
        </w:rPr>
        <w:t xml:space="preserve"> </w:t>
      </w:r>
      <w:r w:rsidR="00F21573" w:rsidRPr="00F21573">
        <w:rPr>
          <w:b w:val="0"/>
          <w:bCs/>
        </w:rPr>
        <w:t>(</w:t>
      </w:r>
      <w:r w:rsidR="00BB6C3F" w:rsidRPr="00F21573">
        <w:rPr>
          <w:b w:val="0"/>
          <w:bCs/>
        </w:rPr>
        <w:t>Hammamet</w:t>
      </w:r>
      <w:r w:rsidR="00F21573" w:rsidRPr="00F21573">
        <w:rPr>
          <w:b w:val="0"/>
          <w:bCs/>
        </w:rPr>
        <w:t>, 2016)</w:t>
      </w:r>
    </w:p>
    <w:p w:rsidR="00F21573" w:rsidRPr="00CC3077" w:rsidRDefault="00F21573" w:rsidP="00F21573">
      <w:pPr>
        <w:pStyle w:val="Restitle"/>
      </w:pPr>
      <w:r w:rsidRPr="00CC3077">
        <w:t xml:space="preserve">Código abierto en el </w:t>
      </w:r>
      <w:r>
        <w:t>Sector de Normalización</w:t>
      </w:r>
      <w:r>
        <w:br/>
        <w:t>de las Telecomunicaciones de la UIT</w:t>
      </w:r>
    </w:p>
    <w:p w:rsidR="00F21573" w:rsidRPr="00CC3077" w:rsidRDefault="00F21573" w:rsidP="00F21573">
      <w:pPr>
        <w:pStyle w:val="Resref"/>
      </w:pPr>
      <w:r w:rsidRPr="00CC3077">
        <w:t>(Hammamet, 2016)</w:t>
      </w:r>
    </w:p>
    <w:p w:rsidR="00F21573" w:rsidRPr="00F21573" w:rsidRDefault="00F21573" w:rsidP="00F21573">
      <w:pPr>
        <w:pStyle w:val="Normalaftertitle0"/>
        <w:rPr>
          <w:szCs w:val="24"/>
          <w:lang w:val="es-ES_tradnl"/>
        </w:rPr>
      </w:pPr>
      <w:r w:rsidRPr="00F21573">
        <w:rPr>
          <w:szCs w:val="24"/>
          <w:lang w:val="es-ES_tradnl"/>
        </w:rPr>
        <w:t>La Asamblea Mundial de Normalización de las Telecomunicaciones (Hammamet, 2016),</w:t>
      </w:r>
    </w:p>
    <w:p w:rsidR="00F21573" w:rsidRPr="00CC3077" w:rsidRDefault="00F21573" w:rsidP="00F21573">
      <w:pPr>
        <w:pStyle w:val="Call"/>
      </w:pPr>
      <w:r w:rsidRPr="00CC3077">
        <w:t>recordando</w:t>
      </w:r>
    </w:p>
    <w:p w:rsidR="00F21573" w:rsidRPr="00CC3077" w:rsidRDefault="00F21573" w:rsidP="00F21573">
      <w:r w:rsidRPr="00CC3077">
        <w:rPr>
          <w:i/>
          <w:iCs/>
        </w:rPr>
        <w:t>a)</w:t>
      </w:r>
      <w:r w:rsidRPr="00CC3077">
        <w:tab/>
        <w:t>el § 10e) y el § 23o) del Plan de Acción de Ginebra de la C</w:t>
      </w:r>
      <w:r>
        <w:t>umbre Mundial sobre la Sociedad de la Información (CMSI)</w:t>
      </w:r>
      <w:r w:rsidRPr="00CC3077">
        <w:t>;</w:t>
      </w:r>
    </w:p>
    <w:p w:rsidR="00F21573" w:rsidRPr="00CC3077" w:rsidRDefault="00F21573" w:rsidP="00F21573">
      <w:r w:rsidRPr="00CC3077">
        <w:rPr>
          <w:i/>
          <w:iCs/>
        </w:rPr>
        <w:t>b)</w:t>
      </w:r>
      <w:r w:rsidRPr="00CC3077">
        <w:tab/>
        <w:t>el § 29) del Compromiso de Túnez de la CMSI;</w:t>
      </w:r>
    </w:p>
    <w:p w:rsidR="00F21573" w:rsidRPr="00CC3077" w:rsidRDefault="00F21573" w:rsidP="00F21573">
      <w:r w:rsidRPr="00CC3077">
        <w:rPr>
          <w:i/>
          <w:iCs/>
        </w:rPr>
        <w:t>c)</w:t>
      </w:r>
      <w:r w:rsidRPr="00CC3077">
        <w:tab/>
        <w:t xml:space="preserve">el § 49 de la Agenda de Túnez </w:t>
      </w:r>
      <w:r>
        <w:t xml:space="preserve">para la Sociedad de la Información </w:t>
      </w:r>
      <w:r w:rsidRPr="00CC3077">
        <w:t>de la CMSI;</w:t>
      </w:r>
    </w:p>
    <w:p w:rsidR="00F21573" w:rsidRPr="00CC3077" w:rsidRDefault="00F21573" w:rsidP="00DA6EB3">
      <w:r w:rsidRPr="00CC3077">
        <w:rPr>
          <w:i/>
          <w:iCs/>
        </w:rPr>
        <w:t>d)</w:t>
      </w:r>
      <w:r w:rsidRPr="00CC3077">
        <w:tab/>
        <w:t xml:space="preserve">la Resolución 44 (Rev. </w:t>
      </w:r>
      <w:proofErr w:type="spellStart"/>
      <w:r w:rsidR="00DA6EB3" w:rsidRPr="00DA6EB3">
        <w:t>Hammamet</w:t>
      </w:r>
      <w:proofErr w:type="spellEnd"/>
      <w:r w:rsidR="00DA6EB3" w:rsidRPr="00DA6EB3">
        <w:t>, 2016</w:t>
      </w:r>
      <w:r w:rsidRPr="00CC3077">
        <w:t xml:space="preserve">) de </w:t>
      </w:r>
      <w:r w:rsidR="00DA6EB3">
        <w:t>esta</w:t>
      </w:r>
      <w:r w:rsidR="00DA6EB3" w:rsidRPr="00CC3077">
        <w:t xml:space="preserve"> </w:t>
      </w:r>
      <w:r w:rsidRPr="00CC3077">
        <w:t xml:space="preserve">Asamblea </w:t>
      </w:r>
      <w:r>
        <w:t>sobre r</w:t>
      </w:r>
      <w:r w:rsidRPr="00CC3077">
        <w:t xml:space="preserve">educción de la </w:t>
      </w:r>
      <w:r>
        <w:t>brecha de normalización</w:t>
      </w:r>
      <w:r w:rsidRPr="00CC3077">
        <w:t xml:space="preserve"> entre los países en desarrollo</w:t>
      </w:r>
      <w:r>
        <w:rPr>
          <w:rStyle w:val="FootnoteReference"/>
        </w:rPr>
        <w:footnoteReference w:customMarkFollows="1" w:id="1"/>
        <w:t>1</w:t>
      </w:r>
      <w:r w:rsidRPr="00CC3077">
        <w:t xml:space="preserve"> y desarrollados;</w:t>
      </w:r>
    </w:p>
    <w:p w:rsidR="00F21573" w:rsidRPr="00CC3077" w:rsidRDefault="00F21573" w:rsidP="00F21573">
      <w:r w:rsidRPr="00CC3077">
        <w:rPr>
          <w:i/>
          <w:iCs/>
        </w:rPr>
        <w:t>e)</w:t>
      </w:r>
      <w:r w:rsidRPr="00CC3077">
        <w:tab/>
        <w:t xml:space="preserve">la Resolución 58 (Rev. Dubái, 2014) de la Conferencia Mundial de Desarrollo de </w:t>
      </w:r>
      <w:r>
        <w:t>las Telecomunicaciones</w:t>
      </w:r>
      <w:r w:rsidRPr="00CC3077">
        <w:t>, en la que se resuelve invitar a los Estados Miembros a promover y realizar la investigación y desarrollo de equipos, servicios y programas accesibles a las TIC, haciendo hincapié en el software gratuito y de código abierto y los equipos y servicios asequibles,</w:t>
      </w:r>
    </w:p>
    <w:p w:rsidR="00F21573" w:rsidRPr="00CC3077" w:rsidRDefault="00F21573" w:rsidP="00F21573">
      <w:pPr>
        <w:pStyle w:val="Call"/>
      </w:pPr>
      <w:r w:rsidRPr="00CC3077">
        <w:t>resuelve</w:t>
      </w:r>
    </w:p>
    <w:p w:rsidR="00F21573" w:rsidRPr="00CC3077" w:rsidRDefault="00F21573" w:rsidP="00F21573">
      <w:r w:rsidRPr="00CC3077">
        <w:t xml:space="preserve">que el </w:t>
      </w:r>
      <w:r>
        <w:t>Grupo Asesor de Normalización de las Telecomunicaciones (</w:t>
      </w:r>
      <w:r w:rsidRPr="00CC3077">
        <w:t>GANT</w:t>
      </w:r>
      <w:r>
        <w:t>)</w:t>
      </w:r>
      <w:r w:rsidRPr="00CC3077">
        <w:t xml:space="preserve"> siga trabajando sobre las ventajas y l</w:t>
      </w:r>
      <w:r>
        <w:t>os inconvenientes</w:t>
      </w:r>
      <w:r w:rsidRPr="00CC3077">
        <w:t xml:space="preserve"> de la </w:t>
      </w:r>
      <w:r>
        <w:t>ejecución</w:t>
      </w:r>
      <w:r w:rsidRPr="00CC3077">
        <w:t xml:space="preserve"> de proyectos</w:t>
      </w:r>
      <w:r>
        <w:t xml:space="preserve"> de</w:t>
      </w:r>
      <w:r w:rsidRPr="00CC3077">
        <w:t xml:space="preserve"> código abierto en los trabajos</w:t>
      </w:r>
      <w:r>
        <w:t xml:space="preserve"> </w:t>
      </w:r>
      <w:r w:rsidRPr="00CC3077">
        <w:t xml:space="preserve">del </w:t>
      </w:r>
      <w:r>
        <w:t>Sector de Normalización de las Telecomunicaciones de la UIT (</w:t>
      </w:r>
      <w:r w:rsidRPr="00CC3077">
        <w:t>UIT-T</w:t>
      </w:r>
      <w:r>
        <w:t>)</w:t>
      </w:r>
      <w:r w:rsidRPr="00CC3077">
        <w:t>, s</w:t>
      </w:r>
      <w:r>
        <w:t>i</w:t>
      </w:r>
      <w:r w:rsidRPr="00CC3077">
        <w:t xml:space="preserve"> proced</w:t>
      </w:r>
      <w:r>
        <w:t>e,</w:t>
      </w:r>
    </w:p>
    <w:p w:rsidR="00F21573" w:rsidRPr="00CC3077" w:rsidRDefault="00F21573" w:rsidP="00F21573">
      <w:pPr>
        <w:pStyle w:val="Call"/>
      </w:pPr>
      <w:r>
        <w:t>encarga</w:t>
      </w:r>
      <w:r w:rsidRPr="00CC3077">
        <w:t xml:space="preserve"> a todas las Comisiones de Estudio del </w:t>
      </w:r>
      <w:r>
        <w:t xml:space="preserve">Sector de Normalización de las Telecomunicaciones de la </w:t>
      </w:r>
      <w:r w:rsidRPr="00CC3077">
        <w:t>UIT, dentro de los r</w:t>
      </w:r>
      <w:r>
        <w:t>ecursos financieros disponibles</w:t>
      </w:r>
    </w:p>
    <w:p w:rsidR="00F21573" w:rsidRPr="00CC3077" w:rsidRDefault="00F21573" w:rsidP="00F21573">
      <w:r w:rsidRPr="00CC3077">
        <w:t>1</w:t>
      </w:r>
      <w:r w:rsidRPr="00CC3077">
        <w:tab/>
        <w:t>que contribuyan a las investigaciones del GANT sobre código abierto indicadas en el Informe 8 del GANT de julio de 2016;</w:t>
      </w:r>
    </w:p>
    <w:p w:rsidR="00F21573" w:rsidRPr="00CC3077" w:rsidRDefault="00F21573" w:rsidP="00F21573">
      <w:r w:rsidRPr="00CC3077">
        <w:t>2</w:t>
      </w:r>
      <w:r w:rsidRPr="00CC3077">
        <w:tab/>
        <w:t xml:space="preserve">que consideren los resultados del GANT sobre código abierto </w:t>
      </w:r>
      <w:r>
        <w:t xml:space="preserve">con el fin de </w:t>
      </w:r>
      <w:r w:rsidRPr="00CC3077">
        <w:t xml:space="preserve">analizar </w:t>
      </w:r>
      <w:r>
        <w:t xml:space="preserve">la ventaja de utilizar </w:t>
      </w:r>
      <w:r w:rsidRPr="00CC3077">
        <w:t>el código abierto en la elaboración de implementaciones de referencia de las Recomendaciones del UIT-T, llegado el caso;</w:t>
      </w:r>
    </w:p>
    <w:p w:rsidR="00F21573" w:rsidRPr="00CC3077" w:rsidRDefault="00F21573" w:rsidP="00F21573">
      <w:r w:rsidRPr="00CC3077">
        <w:t>3</w:t>
      </w:r>
      <w:r w:rsidRPr="00CC3077">
        <w:tab/>
        <w:t>que consideren el resultado d</w:t>
      </w:r>
      <w:r>
        <w:t xml:space="preserve">e los estudios indicados en el </w:t>
      </w:r>
      <w:r w:rsidRPr="00CC3077">
        <w:rPr>
          <w:i/>
          <w:iCs/>
        </w:rPr>
        <w:t>resuelve</w:t>
      </w:r>
      <w:r>
        <w:t xml:space="preserve"> 2</w:t>
      </w:r>
      <w:r w:rsidRPr="00CC3077">
        <w:t xml:space="preserve"> </w:t>
      </w:r>
      <w:r w:rsidRPr="00CC3077">
        <w:rPr>
          <w:i/>
          <w:iCs/>
        </w:rPr>
        <w:t xml:space="preserve">supra </w:t>
      </w:r>
      <w:r w:rsidRPr="00CC3077">
        <w:t xml:space="preserve">para seguir utilizando el código abierto, </w:t>
      </w:r>
      <w:r>
        <w:t>si procede</w:t>
      </w:r>
      <w:r w:rsidRPr="00CC3077">
        <w:t>;</w:t>
      </w:r>
    </w:p>
    <w:p w:rsidR="00F45387" w:rsidRDefault="00F45387" w:rsidP="00F21573">
      <w:r>
        <w:br w:type="page"/>
      </w:r>
    </w:p>
    <w:p w:rsidR="00F21573" w:rsidRPr="00CC3077" w:rsidRDefault="00F21573" w:rsidP="00F21573">
      <w:bookmarkStart w:id="10" w:name="_GoBack"/>
      <w:bookmarkEnd w:id="10"/>
      <w:r w:rsidRPr="00CC3077">
        <w:lastRenderedPageBreak/>
        <w:t>4</w:t>
      </w:r>
      <w:r w:rsidRPr="00CC3077">
        <w:tab/>
        <w:t xml:space="preserve">que fomenten la utilización de proyectos de código abierto en sus trabajos, </w:t>
      </w:r>
      <w:r>
        <w:t>cuando</w:t>
      </w:r>
      <w:r w:rsidRPr="00CC3077">
        <w:t xml:space="preserve"> proceda, teniendo en cuenta los resultados del estudio del GANT;</w:t>
      </w:r>
    </w:p>
    <w:p w:rsidR="00F21573" w:rsidRPr="00CC3077" w:rsidRDefault="00F21573" w:rsidP="00F21573">
      <w:r w:rsidRPr="00CC3077">
        <w:t>5</w:t>
      </w:r>
      <w:r w:rsidRPr="00CC3077">
        <w:tab/>
        <w:t>que sigan participando en proyectos código abierto,</w:t>
      </w:r>
    </w:p>
    <w:p w:rsidR="00F21573" w:rsidRPr="00CC3077" w:rsidRDefault="00F21573" w:rsidP="00F21573">
      <w:pPr>
        <w:pStyle w:val="Call"/>
      </w:pPr>
      <w:r w:rsidRPr="00CC3077">
        <w:t>encarga al Director de la Oficina de Normalización de las Telecomunicaciones</w:t>
      </w:r>
    </w:p>
    <w:p w:rsidR="00F21573" w:rsidRPr="00CC3077" w:rsidRDefault="00F21573" w:rsidP="00F21573">
      <w:r>
        <w:t>1</w:t>
      </w:r>
      <w:r w:rsidRPr="00CC3077">
        <w:tab/>
        <w:t>que ofrezca a los participantes del UIT-T formación en materia de código abierto (por ejemplo, cursillos, seminarios, talleres) en colaboración con las comunidades de código abierto y la </w:t>
      </w:r>
      <w:r>
        <w:t>Oficina de Desarrollo de las Telecomunicaciones</w:t>
      </w:r>
      <w:r w:rsidRPr="00CC3077">
        <w:t>, teniendo en cuenta el objetivo del UIT-T de reduc</w:t>
      </w:r>
      <w:r>
        <w:t>ir</w:t>
      </w:r>
      <w:r w:rsidRPr="00CC3077">
        <w:t xml:space="preserve"> </w:t>
      </w:r>
      <w:r>
        <w:t>la brecha</w:t>
      </w:r>
      <w:r w:rsidRPr="00CC3077">
        <w:t xml:space="preserve"> de normalización, la </w:t>
      </w:r>
      <w:r>
        <w:t>brecha digital en materia</w:t>
      </w:r>
      <w:r w:rsidRPr="00CC3077">
        <w:t xml:space="preserve"> de género y las limitaciones presupuestarias de la Unión;</w:t>
      </w:r>
    </w:p>
    <w:p w:rsidR="00F21573" w:rsidRPr="00CC3077" w:rsidRDefault="00F21573" w:rsidP="00F21573">
      <w:r>
        <w:t>2</w:t>
      </w:r>
      <w:r w:rsidRPr="00CC3077">
        <w:tab/>
        <w:t xml:space="preserve">que presente un Informe anual al GANT sobre los </w:t>
      </w:r>
      <w:r>
        <w:t>progresos logrados</w:t>
      </w:r>
      <w:r w:rsidRPr="00CC3077">
        <w:t xml:space="preserve"> en la aplicación de </w:t>
      </w:r>
      <w:r>
        <w:t>la presente</w:t>
      </w:r>
      <w:r w:rsidRPr="00CC3077">
        <w:t xml:space="preserve"> Resolución,</w:t>
      </w:r>
    </w:p>
    <w:p w:rsidR="00F21573" w:rsidRPr="00CC3077" w:rsidRDefault="00F21573" w:rsidP="00F21573">
      <w:pPr>
        <w:pStyle w:val="Call"/>
      </w:pPr>
      <w:r w:rsidRPr="00CC3077">
        <w:t>encarga al Grupo Asesor de Normalización de las Telecomunicaciones</w:t>
      </w:r>
    </w:p>
    <w:p w:rsidR="00F21573" w:rsidRPr="00CC3077" w:rsidRDefault="00F21573" w:rsidP="00F21573">
      <w:r w:rsidRPr="00CC3077">
        <w:t>que siga velando por la materialización de las conclusiones del Informe 8 del GANT en lo que respecta al código abierto,</w:t>
      </w:r>
    </w:p>
    <w:p w:rsidR="00F21573" w:rsidRPr="00CC3077" w:rsidRDefault="00F21573" w:rsidP="00F21573">
      <w:pPr>
        <w:pStyle w:val="Call"/>
      </w:pPr>
      <w:r w:rsidRPr="00CC3077">
        <w:t>invita al Grupo de Trabajo del Consejo sobre Recursos Humanos y Financieros</w:t>
      </w:r>
    </w:p>
    <w:p w:rsidR="00F21573" w:rsidRPr="00CC3077" w:rsidRDefault="00F21573" w:rsidP="00F21573">
      <w:r w:rsidRPr="00CC3077">
        <w:t>a evaluar las posibles consecuencias financieras para la Unión de la aplicación de la presente Resolución,</w:t>
      </w:r>
    </w:p>
    <w:p w:rsidR="00F21573" w:rsidRPr="00CC3077" w:rsidRDefault="00F21573" w:rsidP="00F21573">
      <w:pPr>
        <w:pStyle w:val="Call"/>
      </w:pPr>
      <w:r w:rsidRPr="00CC3077">
        <w:t>invita a los Miembros de la UIT</w:t>
      </w:r>
    </w:p>
    <w:p w:rsidR="006F5455" w:rsidRPr="006F5DC8" w:rsidRDefault="00F21573" w:rsidP="00F21573">
      <w:r w:rsidRPr="00CC3077">
        <w:t>a contribuir a la aplicación de la presente Resolución.</w:t>
      </w:r>
    </w:p>
    <w:p w:rsidR="006F5455" w:rsidRDefault="006F5455" w:rsidP="00A922AD"/>
    <w:p w:rsidR="0078750C" w:rsidRDefault="0078750C" w:rsidP="00A922AD"/>
    <w:p w:rsidR="00EE0A89" w:rsidRDefault="00EE0A89" w:rsidP="00A922AD"/>
    <w:p w:rsidR="0078750C" w:rsidRDefault="0078750C" w:rsidP="00A922AD"/>
    <w:p w:rsidR="0078750C" w:rsidRDefault="0078750C" w:rsidP="00A922AD"/>
    <w:p w:rsidR="0078750C" w:rsidRDefault="0078750C" w:rsidP="00A922AD"/>
    <w:p w:rsidR="0078750C" w:rsidRDefault="0078750C" w:rsidP="00A922AD"/>
    <w:p w:rsidR="0078750C" w:rsidRPr="006F5DC8" w:rsidRDefault="0078750C" w:rsidP="00A922AD"/>
    <w:sectPr w:rsidR="0078750C" w:rsidRPr="006F5DC8" w:rsidSect="00A922A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2D" w:rsidRDefault="00B4582D">
      <w:r>
        <w:separator/>
      </w:r>
    </w:p>
  </w:endnote>
  <w:endnote w:type="continuationSeparator" w:id="0">
    <w:p w:rsidR="00B4582D" w:rsidRDefault="00B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0C" w:rsidRDefault="00787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0C" w:rsidRDefault="00787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0C" w:rsidRDefault="0078750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F45387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78750C">
      <w:rPr>
        <w:lang w:val="en-US"/>
      </w:rPr>
      <w:t>90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9A204D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9A204D">
      <w:rPr>
        <w:lang w:val="en-US"/>
      </w:rPr>
      <w:t xml:space="preserve">-16 – </w:t>
    </w:r>
    <w:proofErr w:type="spellStart"/>
    <w:r w:rsidR="009A204D">
      <w:rPr>
        <w:lang w:val="en-US"/>
      </w:rPr>
      <w:t>Resolución</w:t>
    </w:r>
    <w:proofErr w:type="spellEnd"/>
    <w:r w:rsidR="009A204D">
      <w:rPr>
        <w:lang w:val="en-US"/>
      </w:rPr>
      <w:t xml:space="preserve"> 90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F4538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2D" w:rsidRDefault="00B4582D">
      <w:r>
        <w:t>____________________</w:t>
      </w:r>
    </w:p>
  </w:footnote>
  <w:footnote w:type="continuationSeparator" w:id="0">
    <w:p w:rsidR="00B4582D" w:rsidRDefault="00B4582D">
      <w:r>
        <w:continuationSeparator/>
      </w:r>
    </w:p>
  </w:footnote>
  <w:footnote w:id="1">
    <w:p w:rsidR="00F21573" w:rsidRDefault="00F21573" w:rsidP="00F21573">
      <w:pPr>
        <w:pStyle w:val="FootnoteText"/>
      </w:pPr>
      <w:r>
        <w:rPr>
          <w:rStyle w:val="FootnoteReference"/>
        </w:rPr>
        <w:t>1</w:t>
      </w:r>
      <w:r>
        <w:tab/>
      </w:r>
      <w:r w:rsidRPr="004E0644">
        <w:t xml:space="preserve">Este término </w:t>
      </w:r>
      <w:r>
        <w:t xml:space="preserve">comprende </w:t>
      </w:r>
      <w:r w:rsidRPr="004E0644">
        <w:t>los países menos adelantados, los pequeños Estados insulares en desarrollo, los países en desarrollo sin litoral y los países con economías en transición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0C" w:rsidRDefault="00787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0C" w:rsidRDefault="007875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0C" w:rsidRDefault="0078750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8750C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0110"/>
    <w:rsid w:val="008F7079"/>
    <w:rsid w:val="00906FCA"/>
    <w:rsid w:val="00917AD8"/>
    <w:rsid w:val="009215A0"/>
    <w:rsid w:val="009242C6"/>
    <w:rsid w:val="00946DF2"/>
    <w:rsid w:val="009560C3"/>
    <w:rsid w:val="009A204D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4582D"/>
    <w:rsid w:val="00B57627"/>
    <w:rsid w:val="00B96F52"/>
    <w:rsid w:val="00BB6C3F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A6EB3"/>
    <w:rsid w:val="00DC4B81"/>
    <w:rsid w:val="00DD71D5"/>
    <w:rsid w:val="00DE4D43"/>
    <w:rsid w:val="00DF16F1"/>
    <w:rsid w:val="00E16169"/>
    <w:rsid w:val="00E26A91"/>
    <w:rsid w:val="00E461D8"/>
    <w:rsid w:val="00E654F0"/>
    <w:rsid w:val="00E72AD0"/>
    <w:rsid w:val="00ED48FA"/>
    <w:rsid w:val="00EE0A89"/>
    <w:rsid w:val="00EE233D"/>
    <w:rsid w:val="00F05734"/>
    <w:rsid w:val="00F21573"/>
    <w:rsid w:val="00F40D91"/>
    <w:rsid w:val="00F45387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18</TotalTime>
  <Pages>4</Pages>
  <Words>750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4780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Catalano Moreira, Rossana</cp:lastModifiedBy>
  <cp:revision>6</cp:revision>
  <cp:lastPrinted>2016-12-13T15:23:00Z</cp:lastPrinted>
  <dcterms:created xsi:type="dcterms:W3CDTF">2016-12-19T18:07:00Z</dcterms:created>
  <dcterms:modified xsi:type="dcterms:W3CDTF">2016-12-20T13:27:00Z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