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2F639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2F639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1262F1D" w14:textId="452430E2" w:rsidR="00EA2A26" w:rsidRPr="00251518" w:rsidRDefault="00347EE0" w:rsidP="00632329">
            <w:pPr>
              <w:pStyle w:val="BodyText"/>
              <w:spacing w:before="440" w:line="240" w:lineRule="auto"/>
              <w:jc w:val="left"/>
              <w:rPr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32329">
              <w:rPr>
                <w:spacing w:val="-6"/>
                <w:sz w:val="44"/>
                <w:szCs w:val="44"/>
                <w:lang w:val="es-ES"/>
              </w:rPr>
              <w:t>8</w:t>
            </w:r>
            <w:r w:rsidR="00632329" w:rsidRPr="00632329">
              <w:rPr>
                <w:spacing w:val="-6"/>
                <w:sz w:val="44"/>
                <w:szCs w:val="44"/>
                <w:lang w:val="es-ES"/>
              </w:rPr>
              <w:t>9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391AD6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32329" w:rsidRPr="00632329">
              <w:rPr>
                <w:spacing w:val="-6"/>
                <w:sz w:val="44"/>
                <w:szCs w:val="44"/>
                <w:lang w:val="es-ES"/>
              </w:rPr>
              <w:t>Promoción de la utilización de las tecnologías de la información y</w:t>
            </w:r>
            <w:r w:rsidR="00632329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632329" w:rsidRPr="00632329">
              <w:rPr>
                <w:spacing w:val="-6"/>
                <w:sz w:val="44"/>
                <w:szCs w:val="44"/>
                <w:lang w:val="es-ES"/>
              </w:rPr>
              <w:t>la comunicación para reducir la brecha de inclusión financiera</w:t>
            </w: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076757D" w14:textId="77777777" w:rsidR="00B5549E" w:rsidRPr="008B7E09" w:rsidRDefault="00B5549E" w:rsidP="000E4393">
      <w:pPr>
        <w:spacing w:line="240" w:lineRule="exact"/>
        <w:jc w:val="center"/>
        <w:rPr>
          <w:sz w:val="20"/>
          <w:lang w:val="es-ES"/>
        </w:rPr>
      </w:pPr>
    </w:p>
    <w:p w14:paraId="7D9C158F" w14:textId="77777777" w:rsidR="00CD2832" w:rsidRPr="008B7E09" w:rsidRDefault="00CD2832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51CA3CC8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632329">
        <w:rPr>
          <w:rStyle w:val="href"/>
          <w:lang w:val="es-ES"/>
        </w:rPr>
        <w:t>89</w:t>
      </w:r>
      <w:r w:rsidR="00AA1264" w:rsidRPr="00DD5D50">
        <w:rPr>
          <w:lang w:val="es-ES"/>
        </w:rPr>
        <w:t xml:space="preserve"> </w:t>
      </w:r>
      <w:r w:rsidR="00F008B8">
        <w:rPr>
          <w:caps w:val="0"/>
          <w:lang w:val="es-ES"/>
        </w:rPr>
        <w:t>(</w:t>
      </w:r>
      <w:r w:rsidR="00496EA5">
        <w:rPr>
          <w:caps w:val="0"/>
          <w:lang w:val="es-ES"/>
        </w:rPr>
        <w:t>Rev.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13936819" w14:textId="77777777" w:rsidR="00632329" w:rsidRPr="0014777C" w:rsidRDefault="00632329" w:rsidP="00C42673">
      <w:pPr>
        <w:pStyle w:val="Restitle"/>
        <w:rPr>
          <w:lang w:val="es-ES_tradnl"/>
        </w:rPr>
      </w:pPr>
      <w:r w:rsidRPr="0014777C">
        <w:rPr>
          <w:lang w:val="es-ES_tradnl"/>
        </w:rPr>
        <w:t xml:space="preserve">Promoción de la utilización de las tecnologías de la información </w:t>
      </w:r>
      <w:bookmarkStart w:id="2" w:name="_Toc111990551"/>
      <w:r w:rsidRPr="0014777C">
        <w:rPr>
          <w:lang w:val="es-ES_tradnl"/>
        </w:rPr>
        <w:t>y</w:t>
      </w:r>
      <w:r w:rsidRPr="0014777C">
        <w:rPr>
          <w:lang w:val="es-ES_tradnl"/>
        </w:rPr>
        <w:br/>
        <w:t>la comunicación para reducir la brecha de inclusión financiera</w:t>
      </w:r>
      <w:bookmarkEnd w:id="2"/>
    </w:p>
    <w:p w14:paraId="190D4CFE" w14:textId="77777777" w:rsidR="00632329" w:rsidRPr="0014777C" w:rsidRDefault="00632329" w:rsidP="00C42673">
      <w:pPr>
        <w:pStyle w:val="Resref"/>
        <w:rPr>
          <w:lang w:val="es-ES_tradnl"/>
        </w:rPr>
      </w:pPr>
      <w:r w:rsidRPr="0014777C">
        <w:rPr>
          <w:lang w:val="es-ES_tradnl"/>
        </w:rPr>
        <w:t>(Hammamet, 2016; Ginebra, 2022; Nueva Delhi, 2024)</w:t>
      </w:r>
    </w:p>
    <w:p w14:paraId="2E4F71CF" w14:textId="77777777" w:rsidR="00632329" w:rsidRPr="0014777C" w:rsidRDefault="00632329" w:rsidP="00C42673">
      <w:pPr>
        <w:pStyle w:val="Normalaftertitle01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 Delhi, 2024),</w:t>
      </w:r>
    </w:p>
    <w:p w14:paraId="38CDDB41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recordando</w:t>
      </w:r>
    </w:p>
    <w:p w14:paraId="4C612A46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la inclusión financiera es una fuerza catalizadora esencial para reducir la pobreza y fomentar la prosperidad, que alrededor de 1 400 millones de personas en todo el mundo no poseen acceso a servicios financieros oficiales y que las mujeres suponen el 55 por ciento de las personas que carecen de servicios bancarios;</w:t>
      </w:r>
    </w:p>
    <w:p w14:paraId="469F9B37" w14:textId="130D0027" w:rsidR="00632329" w:rsidRPr="0014777C" w:rsidRDefault="00632329" w:rsidP="1C7B5B94">
      <w:pPr>
        <w:rPr>
          <w:lang w:val="es-ES"/>
        </w:rPr>
      </w:pPr>
      <w:r w:rsidRPr="1C7B5B94">
        <w:rPr>
          <w:i/>
          <w:iCs/>
          <w:lang w:val="es-ES"/>
        </w:rPr>
        <w:t>b)</w:t>
      </w:r>
      <w:r w:rsidRPr="0014777C">
        <w:rPr>
          <w:lang w:val="es-ES_tradnl"/>
        </w:rPr>
        <w:tab/>
      </w:r>
      <w:r w:rsidRPr="1C7B5B94">
        <w:rPr>
          <w:lang w:val="es-ES"/>
        </w:rPr>
        <w:t>que, según el informe Global Findex del Banco Mundial, el 46 por ciento de los adultos en los países en desarrollo</w:t>
      </w:r>
      <w:r w:rsidRPr="1C7B5B94">
        <w:rPr>
          <w:rStyle w:val="FootnoteReference"/>
          <w:lang w:val="es-ES"/>
        </w:rPr>
        <w:footnoteReference w:customMarkFollows="1" w:id="1"/>
        <w:t>1</w:t>
      </w:r>
      <w:r w:rsidRPr="1C7B5B94">
        <w:rPr>
          <w:lang w:val="es-ES"/>
        </w:rPr>
        <w:t xml:space="preserve"> seguía careciendo de una cuenta bancaria en 2021, y que, por otro lado, las disparidades de género con respecto a la titularidad de cuentas bancarias no se están reduciendo de forma notable: en 2011, el</w:t>
      </w:r>
      <w:r w:rsidR="00430D51">
        <w:rPr>
          <w:lang w:val="es-ES"/>
        </w:rPr>
        <w:t> </w:t>
      </w:r>
      <w:r w:rsidRPr="1C7B5B94">
        <w:rPr>
          <w:lang w:val="es-ES"/>
        </w:rPr>
        <w:t>47 por ciento de las mujeres y el 54 por ciento de hombres poseían una cuenta bancaria; en 2014, el 58 por ciento de las mujeres tenía una cuenta bancaria, frente al 65 por ciento de los hombres; y, en 2017, el 65 por ciento de las mujeres tenía una cuenta bancaria, frente al 72 por ciento de los hombres, y en 2012, el 74 por ciento de las mujeres disponían de una cuenta, en comparación con el 78 por ciento de los hombres;</w:t>
      </w:r>
    </w:p>
    <w:p w14:paraId="74127A5F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la utilización de tecnologías de la información y la comunicación (TIC), véanse en particular las tecnologías móviles, constituye un modo de reducir la brecha de inclusión financiera;</w:t>
      </w:r>
    </w:p>
    <w:p w14:paraId="03ED9636" w14:textId="77777777" w:rsidR="00632329" w:rsidRPr="0014777C" w:rsidRDefault="00632329" w:rsidP="00C42673">
      <w:pPr>
        <w:rPr>
          <w:iCs/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i/>
          <w:iCs/>
          <w:lang w:val="es-ES_tradnl"/>
        </w:rPr>
        <w:tab/>
      </w:r>
      <w:r w:rsidRPr="0014777C">
        <w:rPr>
          <w:iCs/>
          <w:lang w:val="es-ES_tradnl"/>
        </w:rPr>
        <w:t>que los servicios financieros digitales han dado lugar a un aumento espectacular de la inclusión financiera;</w:t>
      </w:r>
    </w:p>
    <w:p w14:paraId="4CA8474B" w14:textId="77777777" w:rsidR="00632329" w:rsidRPr="0014777C" w:rsidRDefault="00632329" w:rsidP="00C42673">
      <w:pPr>
        <w:rPr>
          <w:iCs/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iCs/>
          <w:lang w:val="es-ES_tradnl"/>
        </w:rPr>
        <w:tab/>
        <w:t>que los servicios financieros digitales incrementan los ingresos y la participación social de las mujeres, las niñas y los grupos vulnerables en los países en desarrollo, reduciendo así las desigualdades;</w:t>
      </w:r>
    </w:p>
    <w:p w14:paraId="6EC3F27E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 xml:space="preserve">la Resolución 55 (Rev. </w:t>
      </w:r>
      <w:r>
        <w:rPr>
          <w:lang w:val="es-ES_tradnl"/>
        </w:rPr>
        <w:t>Nueva Delhi, 2024</w:t>
      </w:r>
      <w:r w:rsidRPr="0014777C">
        <w:rPr>
          <w:lang w:val="es-ES_tradnl"/>
        </w:rPr>
        <w:t xml:space="preserve">) de la presente Asamblea, relativa a la </w:t>
      </w:r>
      <w:r>
        <w:rPr>
          <w:lang w:val="es-ES_tradnl"/>
        </w:rPr>
        <w:t xml:space="preserve">integración </w:t>
      </w:r>
      <w:r w:rsidRPr="0014777C">
        <w:rPr>
          <w:lang w:val="es-ES_tradnl"/>
        </w:rPr>
        <w:t>de la igualdad de género en las actividades del Sector de Normalización de las Telecomunicaciones de la UIT (UIT</w:t>
      </w:r>
      <w:r w:rsidRPr="0014777C">
        <w:rPr>
          <w:lang w:val="es-ES_tradnl"/>
        </w:rPr>
        <w:noBreakHyphen/>
        <w:t>T);</w:t>
      </w:r>
    </w:p>
    <w:p w14:paraId="6E3ABB57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los objetivos de la Unión de fomentar la colaboración entre los Miembros para lograr un desarrollo armonizado de las telecomunicaciones, promover el intercambio de prácticas idóneas y facilitar una oferta de servicios al menor costo posible;</w:t>
      </w:r>
    </w:p>
    <w:p w14:paraId="5E31E447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>la persistencia de la brecha digital y la brecha de inclusión financiera;</w:t>
      </w:r>
    </w:p>
    <w:p w14:paraId="3B0F5262" w14:textId="77777777" w:rsidR="00632329" w:rsidRPr="0014777C" w:rsidRDefault="00632329" w:rsidP="00C42673">
      <w:pPr>
        <w:overflowPunct/>
        <w:autoSpaceDE/>
        <w:autoSpaceDN/>
        <w:adjustRightInd/>
        <w:spacing w:before="0"/>
        <w:textAlignment w:val="auto"/>
        <w:rPr>
          <w:i/>
          <w:iCs/>
          <w:lang w:val="es-ES_tradnl"/>
        </w:rPr>
      </w:pPr>
      <w:r w:rsidRPr="0014777C">
        <w:rPr>
          <w:i/>
          <w:iCs/>
          <w:lang w:val="es-ES_tradnl"/>
        </w:rPr>
        <w:br w:type="page"/>
      </w:r>
    </w:p>
    <w:p w14:paraId="55D8443B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lastRenderedPageBreak/>
        <w:t>i)</w:t>
      </w:r>
      <w:r w:rsidRPr="0014777C">
        <w:rPr>
          <w:lang w:val="es-ES_tradnl"/>
        </w:rPr>
        <w:tab/>
        <w:t>la Resolución 1353</w:t>
      </w:r>
      <w:r>
        <w:rPr>
          <w:lang w:val="es-ES_tradnl"/>
        </w:rPr>
        <w:t xml:space="preserve"> d</w:t>
      </w:r>
      <w:r w:rsidRPr="0014777C">
        <w:rPr>
          <w:lang w:val="es-ES_tradnl"/>
        </w:rPr>
        <w:t>el Consejo de la UIT</w:t>
      </w:r>
      <w:r>
        <w:rPr>
          <w:lang w:val="es-ES_tradnl"/>
        </w:rPr>
        <w:t>, adoptada</w:t>
      </w:r>
      <w:r w:rsidRPr="0014777C">
        <w:rPr>
          <w:lang w:val="es-ES_tradnl"/>
        </w:rPr>
        <w:t xml:space="preserve"> en su reunión de 2012, en virtud de la cual se reconoce que las telecomunicaciones y las TIC son componentes esenciales para que los países desarrollados y los países en desarrollo logren el desarrollo sostenible, y se encarga al Secretario General, en colaboración con los Directores de las Oficinas, que identifique las nuevas actividades que debe emprender la UIT para ayudar a los países en desarrollo a lograr el desarrollo sostenible a través de las telecomunicaciones y las TIC;</w:t>
      </w:r>
    </w:p>
    <w:p w14:paraId="64BE61F9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j)</w:t>
      </w:r>
      <w:r w:rsidRPr="0014777C">
        <w:rPr>
          <w:lang w:val="es-ES_tradnl"/>
        </w:rPr>
        <w:tab/>
        <w:t>la Resolución 70 (Rev. Bucarest, 2022) de la Conferencia de Plenipotenciarios, sobre la incorporación de una perspectiva de género en la UIT y la promoción de la igualdad de género y el empoderamiento de las mujeres y las niñas por medio de las telecomunicaciones/TIC;</w:t>
      </w:r>
    </w:p>
    <w:p w14:paraId="76C185CA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k)</w:t>
      </w:r>
      <w:r w:rsidRPr="0014777C">
        <w:rPr>
          <w:lang w:val="es-ES_tradnl"/>
        </w:rPr>
        <w:tab/>
        <w:t>la Resolución 175 (Rev. Bucarest, 2022) de la Conferencia de Plenipotenciarios, sobre la accesibilidad de las telecomunicaciones/TIC para las personas con discapacidad y las personas con necesidades específicas;</w:t>
      </w:r>
    </w:p>
    <w:p w14:paraId="79368BA4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l)</w:t>
      </w:r>
      <w:r w:rsidRPr="0014777C">
        <w:rPr>
          <w:lang w:val="es-ES_tradnl"/>
        </w:rPr>
        <w:tab/>
        <w:t>la Resolución 184 (Rev. Bucarest, 2022) de la Conferencia de Plenipotenciarios, sobre la facilitación de iniciativas de integración digital de los pueblos indígenas;</w:t>
      </w:r>
    </w:p>
    <w:p w14:paraId="3C981D1F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m)</w:t>
      </w:r>
      <w:r w:rsidRPr="0014777C">
        <w:rPr>
          <w:lang w:val="es-ES_tradnl"/>
        </w:rPr>
        <w:tab/>
        <w:t>la Resolución 204 (Rev. Bucarest, 2022) de la Conferencia de Plenipotenciarios, sobre la utilización de las TIC para reducir la brecha de inclusión financiera,</w:t>
      </w:r>
    </w:p>
    <w:p w14:paraId="32A2028F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reconociendo</w:t>
      </w:r>
    </w:p>
    <w:p w14:paraId="0C48E8B1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 xml:space="preserve">que la Comisión de Estudio 3 del UIT-T ha participado en el estudio de los servicios financieros móviles a través de su Grupo de Relator sobre servicios financieros móviles en colaboración con </w:t>
      </w:r>
      <w:r>
        <w:rPr>
          <w:lang w:val="es-ES_tradnl"/>
        </w:rPr>
        <w:t>los organismos de normalización</w:t>
      </w:r>
      <w:r w:rsidRPr="0014777C">
        <w:rPr>
          <w:lang w:val="es-ES_tradnl"/>
        </w:rPr>
        <w:t xml:space="preserve"> pertinentes;</w:t>
      </w:r>
    </w:p>
    <w:p w14:paraId="64137F60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la labor realizada por el Grupo Temático del UIT-T sobre servicios financieros digitales y el Grupo Temático del UIT-T sobre la moneda digital, incluida la moneda fiduciaria digital;</w:t>
      </w:r>
    </w:p>
    <w:p w14:paraId="5B0A851A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la labor realizada por las Comisiones de Estudio pertinentes del UIT-T sobre los servicios financieros digitales a lo largo de los últimos periodos de estudios,</w:t>
      </w:r>
    </w:p>
    <w:p w14:paraId="3DA1209F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considerando</w:t>
      </w:r>
    </w:p>
    <w:p w14:paraId="696D35FF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la cuestión del acceso a los servicios financieros es motivo de preocupación a escala mundial y requiere una colaboración internacional;</w:t>
      </w:r>
    </w:p>
    <w:p w14:paraId="1DBD675B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la Resolución 70/1 de la Asamblea General de las Naciones Unidas, Transformar nuestro mundo: la Agenda 2030 para el Desarrollo Sostenible, reconociendo que se basa en los Objetivos de Desarrollo del Milenio y la meta de concluir sus asuntos pendientes, y subrayando la importancia que reviste la aplicación de esta nueva y ambiciosa agenda, cuyos objetivos fundamentales son la erradicación de la pobreza y la promoción del desarrollo sostenible en los planos económico, social y medioambiental;</w:t>
      </w:r>
    </w:p>
    <w:p w14:paraId="0632E13C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 xml:space="preserve">que </w:t>
      </w:r>
      <w:r>
        <w:rPr>
          <w:lang w:val="es-ES_tradnl"/>
        </w:rPr>
        <w:t>la</w:t>
      </w:r>
      <w:r w:rsidRPr="0014777C">
        <w:rPr>
          <w:lang w:val="es-ES_tradnl"/>
        </w:rPr>
        <w:t xml:space="preserve"> Agenda </w:t>
      </w:r>
      <w:r>
        <w:rPr>
          <w:lang w:val="es-ES_tradnl"/>
        </w:rPr>
        <w:t xml:space="preserve">2030 </w:t>
      </w:r>
      <w:r w:rsidRPr="0014777C">
        <w:rPr>
          <w:lang w:val="es-ES_tradnl"/>
        </w:rPr>
        <w:t>tiene como objetivo, entre otros, la adopción y aplicación de políticas encaminadas a fomentar la inclusión financiera, y que, en consecuencia, asocia dicha inclusión a varias metas relacionadas con los Objetivos de Desarrollo Sostenible y sus medios de aplicación;</w:t>
      </w:r>
    </w:p>
    <w:p w14:paraId="68F75FBC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la estabilidad de los servicios financieros digitales es importante para ampliar la inclusión financiera, y que esto requiere la cooperación, según proceda, de los consumidores, las empresas, los responsables de la elaboración de políticas y los organismos reguladores;</w:t>
      </w:r>
    </w:p>
    <w:p w14:paraId="75209E30" w14:textId="77777777" w:rsidR="00632329" w:rsidRPr="0014777C" w:rsidRDefault="00632329" w:rsidP="00C42673">
      <w:pPr>
        <w:overflowPunct/>
        <w:autoSpaceDE/>
        <w:autoSpaceDN/>
        <w:adjustRightInd/>
        <w:spacing w:before="0"/>
        <w:textAlignment w:val="auto"/>
        <w:rPr>
          <w:i/>
          <w:iCs/>
          <w:lang w:val="es-ES_tradnl"/>
        </w:rPr>
      </w:pPr>
      <w:r w:rsidRPr="0014777C">
        <w:rPr>
          <w:i/>
          <w:iCs/>
          <w:lang w:val="es-ES_tradnl"/>
        </w:rPr>
        <w:br w:type="page"/>
      </w:r>
    </w:p>
    <w:p w14:paraId="7F61910B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lastRenderedPageBreak/>
        <w:t>e)</w:t>
      </w:r>
      <w:r w:rsidRPr="0014777C">
        <w:rPr>
          <w:lang w:val="es-ES_tradnl"/>
        </w:rPr>
        <w:tab/>
        <w:t>la necesidad de que los reguladores de los sectores de telecomunicaciones y de los servicios financieros colaboren entre sí y con sus Ministerios de Finanzas y otras partes interesadas, entre otros actores, y compartan prácticas idóneas, habida cuenta de que los servicios financieros digitales abarcan esferas de competencia de todas las partes,</w:t>
      </w:r>
    </w:p>
    <w:p w14:paraId="5D064BB4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observando</w:t>
      </w:r>
    </w:p>
    <w:p w14:paraId="55932A35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el objetivo en materia de acceso universal a los servicios financieros establecido por el Banco Mundial no se ha alcanzado a nivel internacional en 2020, a pesar de que el acceso a una cuenta bancaria o a un instrumento electrónico para almacenar dinero o enviar y recibir pagos es el punto de partida para la gestión personal en el plano financiero;</w:t>
      </w:r>
    </w:p>
    <w:p w14:paraId="09C709BA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la interoperabilidad es, entre otras cosas, un elemento importante para poder realizar pagos electrónicos de manera cómoda, económica, rápida, fluida y segura, por medio de una cuenta bancaria: de hecho, la necesidad de garantizar la interoperabilidad figuró entre las conclusiones del Grupo de Tareas sobre los aspectos relativos a los pagos de la inclusión financiera, creado por el Comité de Pagos e Infraestructura del Mercado y el Grupo del Banco Mundial, que determinó la necesidad de mejorar los sistemas y servicios de pago existentes para fomentar dicha integración y reconoció que la aplicación de las normas y las prácticas idóneas existentes debería ser una prioridad;</w:t>
      </w:r>
    </w:p>
    <w:p w14:paraId="33CCC936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que, a pesar del incremento de la inclusión financiera y del aumento de los servicios de dinero móvil en las economías emergentes en los últimos años, la inclusión financiera digital sigue constituyendo un reto y, por tanto, los esfuerzos encaminados a desplegar normas y sistemas de apoyo a los servicios financieros digitales deben proseguir y acelerarse;</w:t>
      </w:r>
    </w:p>
    <w:p w14:paraId="524FEFA3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la importancia que reviste la asequibilidad de los servicios financieros digitales, especialmente en los países en desarrollo y para las personas en hogares con bajos ingresos, para conseguir la inclusión financiera;</w:t>
      </w:r>
    </w:p>
    <w:p w14:paraId="5FA923F1" w14:textId="77777777" w:rsidR="00632329" w:rsidRPr="0014777C" w:rsidRDefault="00632329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el creciente interés que suscita la utilización de los servicios financieros móviles y la digitalización de los pagos de los gobiernos a las personas, así como las aplicaciones de tecnologías incipientes, para progresar en la inclusión financiera con el fin de llegar mejor a los más necesitados,</w:t>
      </w:r>
    </w:p>
    <w:p w14:paraId="76D4CBAF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resuelve</w:t>
      </w:r>
    </w:p>
    <w:p w14:paraId="5C96F16F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continuar y avanzar en el desarrollo del programa de trabajo del UIT-T, incluido el trabajo en curso en las Comisiones de Estudio pertinentes del UIT-T, para contribuir a los esfuerzos generalizados que se realizan en todo el mundo para mejorar la inclusión financiera, en el marco de los procesos de las Naciones Unidas;</w:t>
      </w:r>
    </w:p>
    <w:p w14:paraId="25B908B7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realizar estudios y elaborar normas y directrices sobre la interoperabilidad, la digitalización de los pagos, la protección del consumidor, la calidad de servicio, los macrodatos, la seguridad de las transacciones de los servicios financieros digitales y las telecomunicaciones/TIC relacionadas con los servicios financieros digitales, siempre que estos estudios, normas y directrices no dupliquen los esfuerzos realizados en otras instituciones y estén relacionados con el mandato de la Unión;</w:t>
      </w:r>
    </w:p>
    <w:p w14:paraId="469022B5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alentar la colaboración entre los reguladores de las telecomunicaciones y las autoridades de los servicios financieros para desarrollar y elaborar normas y directrices, incluidas orientaciones sobre la protección de los consumidores;</w:t>
      </w:r>
    </w:p>
    <w:p w14:paraId="22904582" w14:textId="77777777" w:rsidR="00632329" w:rsidRPr="0014777C" w:rsidRDefault="00632329" w:rsidP="00C42673">
      <w:pPr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14777C">
        <w:rPr>
          <w:lang w:val="es-ES_tradnl"/>
        </w:rPr>
        <w:br w:type="page"/>
      </w:r>
    </w:p>
    <w:p w14:paraId="13C75835" w14:textId="77777777" w:rsidR="00632329" w:rsidRPr="0014777C" w:rsidRDefault="00632329" w:rsidP="00430D51">
      <w:pPr>
        <w:spacing w:before="120"/>
        <w:rPr>
          <w:lang w:val="es-ES_tradnl"/>
        </w:rPr>
      </w:pPr>
      <w:r w:rsidRPr="0014777C">
        <w:rPr>
          <w:lang w:val="es-ES_tradnl"/>
        </w:rPr>
        <w:lastRenderedPageBreak/>
        <w:t>4</w:t>
      </w:r>
      <w:r w:rsidRPr="0014777C">
        <w:rPr>
          <w:lang w:val="es-ES_tradnl"/>
        </w:rPr>
        <w:tab/>
        <w:t>alentar la utilización de las herramientas y tecnologías innovadoras que procedan, a fin de aumentar la inclusión financiera;</w:t>
      </w:r>
    </w:p>
    <w:p w14:paraId="618FA3C5" w14:textId="77777777" w:rsidR="00632329" w:rsidRPr="0014777C" w:rsidRDefault="00632329" w:rsidP="00430D51">
      <w:pPr>
        <w:spacing w:before="120"/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alentar la colaboración entre los gobiernos, las empresas de telecomunicaciones y las instituciones financieras para aplicar mecanismos, según proceda, a fin de obtener los recursos financieros necesarios para la infraestructura requerida,</w:t>
      </w:r>
    </w:p>
    <w:p w14:paraId="5E8AB772" w14:textId="77777777" w:rsidR="00632329" w:rsidRPr="0014777C" w:rsidRDefault="00632329" w:rsidP="1C7B5B94">
      <w:pPr>
        <w:pStyle w:val="Call"/>
        <w:rPr>
          <w:lang w:val="es-ES"/>
        </w:rPr>
      </w:pPr>
      <w:r w:rsidRPr="1C7B5B94">
        <w:rPr>
          <w:lang w:val="es-ES"/>
        </w:rPr>
        <w:t>encarga al Director de la Oficina de Normalización de las Telecomunicaciones, en colaboración con los Directores de las demás Oficinas</w:t>
      </w:r>
    </w:p>
    <w:p w14:paraId="0AAC8C6D" w14:textId="77777777" w:rsidR="00632329" w:rsidRPr="0014777C" w:rsidRDefault="00632329" w:rsidP="00430D51">
      <w:pPr>
        <w:spacing w:before="120"/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que informe al Consejo de la UIT cada año, y a la Asamblea Mundial de Normalización de las Telecomunicaciones, sobre los progresos logrados en la aplicación de esta Resolución;</w:t>
      </w:r>
    </w:p>
    <w:p w14:paraId="1893D651" w14:textId="77777777" w:rsidR="00632329" w:rsidRPr="0014777C" w:rsidRDefault="00632329" w:rsidP="00430D51">
      <w:pPr>
        <w:spacing w:before="120"/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que apoye la elaboración de informes y prácticas idóneas sobre la inclusión financiera digital, teniendo en cuenta los estudios pertinentes, siempre que estos estén claramente dentro del mandato de la Unión y no dupliquen el trabajo cuya responsabilidad corresponde a </w:t>
      </w:r>
      <w:r>
        <w:rPr>
          <w:lang w:val="es-ES_tradnl"/>
        </w:rPr>
        <w:t>otros organismos de normalización</w:t>
      </w:r>
      <w:r w:rsidRPr="0014777C">
        <w:rPr>
          <w:lang w:val="es-ES_tradnl"/>
        </w:rPr>
        <w:t xml:space="preserve"> e instituciones;</w:t>
      </w:r>
    </w:p>
    <w:p w14:paraId="7A91950C" w14:textId="77777777" w:rsidR="00632329" w:rsidRPr="0014777C" w:rsidRDefault="00632329" w:rsidP="00430D51">
      <w:pPr>
        <w:keepNext/>
        <w:keepLines/>
        <w:spacing w:before="120"/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que establezca una plataforma o, cuando sea posible, una relación con las ya existentes, para la formación, el diálogo y el intercambio de experiencias entre homólogos con respecto a los servicios financieros digitales entre países y regiones, organismos de reglamentación de los sectores de las telecomunicaciones y los servicios financieros, expertos de la industria y organizaciones internacionales y regionales;</w:t>
      </w:r>
    </w:p>
    <w:p w14:paraId="3E0FF355" w14:textId="77777777" w:rsidR="00632329" w:rsidRPr="0014777C" w:rsidRDefault="00632329" w:rsidP="00430D51">
      <w:pPr>
        <w:spacing w:before="120"/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 xml:space="preserve">que organice talleres y seminarios para los Miembros de la UIT en colaboración con </w:t>
      </w:r>
      <w:r>
        <w:rPr>
          <w:lang w:val="es-ES_tradnl"/>
        </w:rPr>
        <w:t>otros organismos de normalización</w:t>
      </w:r>
      <w:r w:rsidRPr="0014777C">
        <w:rPr>
          <w:lang w:val="es-ES_tradnl"/>
        </w:rPr>
        <w:t>, instituciones académicas y entidades cuyas responsabilidades principales consistan en elaborar normas, aplicarlas y crear capacidad en el ámbito de los servicios financieros, a fin de crear conciencia y determinar las necesidades y los retos a los que se enfrentan los reguladores en relación con la mejora de la inclusión financiera y las aplicaciones de las tecnologías incipientes en las finanzas digitales, así como de compartir las enseñanzas extraídas de diferentes regiones,</w:t>
      </w:r>
    </w:p>
    <w:p w14:paraId="04F6D508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encarga a las Comisiones de Estudio competentes del Sector de Normalización de las Telecomunicaciones de la UIT</w:t>
      </w:r>
    </w:p>
    <w:p w14:paraId="0C573C85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que organicen los trabajos y estudios necesarios para ampliar y acelerar los trabajos sobre servicios financieros digitales, empezando en su primera reunión del próximo periodo de estudios;</w:t>
      </w:r>
    </w:p>
    <w:p w14:paraId="09B97F07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que se coordinen y colaboren con </w:t>
      </w:r>
      <w:r>
        <w:rPr>
          <w:lang w:val="es-ES_tradnl"/>
        </w:rPr>
        <w:t>otros organismos de normalización</w:t>
      </w:r>
      <w:r w:rsidRPr="0014777C">
        <w:rPr>
          <w:lang w:val="es-ES_tradnl"/>
        </w:rPr>
        <w:t xml:space="preserve"> y entidades cuyas responsabilidades principales consistan en elaborar normas, aplicarlas y crear capacidad en el ámbito de los servicios financieros, así como con otros grupos de la UIT;</w:t>
      </w:r>
    </w:p>
    <w:p w14:paraId="2C4AF8AD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que desarrollen normas técnicas y directrices que ayuden a los países en desarrollo a aprovechar las tecnologías incipientes relacionadas con los servicios financieros digitales;</w:t>
      </w:r>
    </w:p>
    <w:p w14:paraId="5332C31D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>que desarrollen normas técnicas y orientaciones para que los países en desarrollo evalúen la seguridad de sus infraestructuras de servicios financieros digitales relacionadas con las telecomunicaciones,</w:t>
      </w:r>
    </w:p>
    <w:p w14:paraId="47451D4C" w14:textId="77777777" w:rsidR="00632329" w:rsidRPr="0014777C" w:rsidRDefault="00632329" w:rsidP="1C7B5B94">
      <w:pPr>
        <w:pStyle w:val="Call"/>
        <w:rPr>
          <w:lang w:val="es-ES"/>
        </w:rPr>
      </w:pPr>
      <w:r w:rsidRPr="1C7B5B94">
        <w:rPr>
          <w:lang w:val="es-ES"/>
        </w:rPr>
        <w:t>invita al Secretario General</w:t>
      </w:r>
    </w:p>
    <w:p w14:paraId="4181CA6B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a seguir cooperando y colaborando con otras entidades en el marco del sistema de las Naciones Unidas y otras entidades relevantes para la definición de futuras actividades internacionales destinadas a fomentar la inclusión financiera de forma eficaz,</w:t>
      </w:r>
    </w:p>
    <w:p w14:paraId="2B3F5499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t>invita a los Estados Miembros, los Miembros de Sector y los Asociados</w:t>
      </w:r>
    </w:p>
    <w:p w14:paraId="379D305F" w14:textId="77777777" w:rsidR="00632329" w:rsidRPr="0014777C" w:rsidRDefault="00632329" w:rsidP="00430D51">
      <w:pPr>
        <w:spacing w:before="80"/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seguir contribuyendo activamente a las Comisiones de Estudio del UIT-T sobre las cuestiones relativas a la utilización de las TIC para fomentar la inclusión financiera, dentro del mandato de la Unión;</w:t>
      </w:r>
    </w:p>
    <w:p w14:paraId="24558E98" w14:textId="77777777" w:rsidR="00632329" w:rsidRPr="0014777C" w:rsidRDefault="00632329" w:rsidP="00430D51">
      <w:pPr>
        <w:spacing w:before="80"/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a fomentar la integración de las TIC, los servicios financieros y la protección del consumidor para mejorar la utilización de los servicios financieros digitales con objeto de aumentar la inclusión financiera,</w:t>
      </w:r>
    </w:p>
    <w:p w14:paraId="014C2E25" w14:textId="77777777" w:rsidR="00632329" w:rsidRPr="0014777C" w:rsidRDefault="00632329" w:rsidP="00C42673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invita a los Estados Miembros</w:t>
      </w:r>
    </w:p>
    <w:p w14:paraId="6292FB82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elaborar y aplicar estrategias nacionales a fin de que la inclusión financiera se considere un asunto prioritario y utilizar las TIC para prestar servicios financieros a las personas que no tienen acceso a servicios bancarios;</w:t>
      </w:r>
    </w:p>
    <w:p w14:paraId="3BC7A1AA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a incluir políticas en favor de la inclusión financiera de las mujeres, las niñas y los grupos vulnerables, así como de la seguridad de los servicios financieros digitales, en sus estrategias nacionales de telecomunicaciones/TIC e inclusión financiera;</w:t>
      </w:r>
    </w:p>
    <w:p w14:paraId="7491CA3A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a llevar a cabo reformas que aprovechen las TIC para alcanzar la igualdad de género en el marco de los objetivos de esta Resolución y mejorar la inclusión financiera de las mujeres, las niñas y los grupos vulnerables;</w:t>
      </w:r>
    </w:p>
    <w:p w14:paraId="1807FA40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>a aumentar la coordinación, según corresponda, entre las autoridades nacionales de reglamentación para suprimir los obstáculos que impiden a los proveedores de servicios no bancarios acceder a la infraestructura de los sistemas de pago y a los proveedores de servicios financieros acceder a los canales de comunicaciones, y a fomentar condiciones que propicien una transferencia de fondos más asequible y segura en los países de origen y de destino, en particular promoviendo la competencia y transparencia en el mercado;</w:t>
      </w:r>
    </w:p>
    <w:p w14:paraId="05182160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a contribuir a los esfuerzos mundiales destinados a mejorar la ciberseguridad y la resiliencia del ecosistema financiero digital mediante la adopción de normas internacionales y prácticas idóneas del sector;</w:t>
      </w:r>
    </w:p>
    <w:p w14:paraId="09C5153A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6</w:t>
      </w:r>
      <w:r w:rsidRPr="0014777C">
        <w:rPr>
          <w:lang w:val="es-ES_tradnl"/>
        </w:rPr>
        <w:tab/>
        <w:t>a compartir experiencias internacionales en materia de utilización de identificadores únicos relacionados con las telecomunicaciones/TIC y a mejorar los sistemas nacionales de identificación, teniendo en cuenta que dichos sistemas pueden permitir que personas que carecen de educación formal y/o documentación establezcan una identidad digital única que una institución financiera pueda utilizar;</w:t>
      </w:r>
    </w:p>
    <w:p w14:paraId="68CC1222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7</w:t>
      </w:r>
      <w:r w:rsidRPr="0014777C">
        <w:rPr>
          <w:lang w:val="es-ES_tradnl"/>
        </w:rPr>
        <w:tab/>
        <w:t>a considerar la posibilidad de eliminar o reducir las tasas y gravámenes reglamentarios relativos al coste de poseer una conexión móvil para los hogares más pobres, asegurando así que las poblaciones a las que es difícil llegar, como las mujeres, las niñas y los grupos vulnerables, tengan un acceso asequible a las conexiones móviles para la utilización de los servicios financieros;</w:t>
      </w:r>
    </w:p>
    <w:p w14:paraId="7BC6C16C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8</w:t>
      </w:r>
      <w:r w:rsidRPr="0014777C">
        <w:rPr>
          <w:lang w:val="es-ES_tradnl"/>
        </w:rPr>
        <w:tab/>
        <w:t>a fomentar la adopción de medidas relacionadas con las telecomunicaciones/TIC que faciliten la interoperabilidad de los servicios financieros digitales;</w:t>
      </w:r>
    </w:p>
    <w:p w14:paraId="12F7597A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9</w:t>
      </w:r>
      <w:r w:rsidRPr="0014777C">
        <w:rPr>
          <w:lang w:val="es-ES_tradnl"/>
        </w:rPr>
        <w:tab/>
        <w:t>a elaborar programas de alfabetización digital y financiera para reducir la brecha de la inclusión financiera;</w:t>
      </w:r>
    </w:p>
    <w:p w14:paraId="36305FEF" w14:textId="77777777" w:rsidR="00632329" w:rsidRPr="0014777C" w:rsidRDefault="00632329" w:rsidP="00C42673">
      <w:pPr>
        <w:rPr>
          <w:lang w:val="es-ES_tradnl"/>
        </w:rPr>
      </w:pPr>
      <w:r w:rsidRPr="0014777C">
        <w:rPr>
          <w:lang w:val="es-ES_tradnl"/>
        </w:rPr>
        <w:t>10</w:t>
      </w:r>
      <w:r w:rsidRPr="0014777C">
        <w:rPr>
          <w:lang w:val="es-ES_tradnl"/>
        </w:rPr>
        <w:tab/>
        <w:t>a apoyar programas que ayuden a los países en desarrollo a crear los conocimientos técnicos y los marcos reglamentarios necesarios para que los servicios financieros sean seguros e inclusivos.</w:t>
      </w:r>
    </w:p>
    <w:p w14:paraId="78DD19A7" w14:textId="77777777" w:rsidR="00632329" w:rsidRPr="00E1552F" w:rsidRDefault="00632329" w:rsidP="00C42673">
      <w:pPr>
        <w:overflowPunct/>
        <w:autoSpaceDE/>
        <w:autoSpaceDN/>
        <w:adjustRightInd/>
        <w:spacing w:before="0"/>
        <w:textAlignment w:val="auto"/>
        <w:rPr>
          <w:lang w:val="es-ES_tradnl"/>
        </w:rPr>
      </w:pPr>
    </w:p>
    <w:p w14:paraId="4ABCE0AE" w14:textId="77777777" w:rsidR="0078706B" w:rsidRDefault="0078706B" w:rsidP="0078706B">
      <w:pPr>
        <w:rPr>
          <w:lang w:val="es-ES_tradnl"/>
        </w:rPr>
      </w:pPr>
    </w:p>
    <w:p w14:paraId="70CB87AC" w14:textId="77777777" w:rsidR="0078706B" w:rsidRDefault="0078706B" w:rsidP="0078706B">
      <w:pPr>
        <w:rPr>
          <w:lang w:val="es-ES_tradnl"/>
        </w:rPr>
      </w:pPr>
    </w:p>
    <w:p w14:paraId="3E236E41" w14:textId="77777777" w:rsidR="0078706B" w:rsidRDefault="0078706B" w:rsidP="0078706B">
      <w:pPr>
        <w:rPr>
          <w:lang w:val="es-ES_tradnl"/>
        </w:rPr>
      </w:pPr>
    </w:p>
    <w:p w14:paraId="06F597CA" w14:textId="77777777" w:rsidR="0078706B" w:rsidRDefault="0078706B" w:rsidP="0078706B">
      <w:pPr>
        <w:rPr>
          <w:lang w:val="es-ES_tradnl"/>
        </w:rPr>
      </w:pPr>
    </w:p>
    <w:p w14:paraId="15E583AB" w14:textId="77777777" w:rsidR="0078706B" w:rsidRPr="00B87CDD" w:rsidRDefault="0078706B" w:rsidP="0078706B">
      <w:pPr>
        <w:rPr>
          <w:lang w:val="es-ES_tradnl"/>
        </w:rPr>
      </w:pPr>
    </w:p>
    <w:p w14:paraId="42DE0EC8" w14:textId="77777777" w:rsidR="0078706B" w:rsidRPr="0014777C" w:rsidRDefault="0078706B" w:rsidP="0078706B">
      <w:pPr>
        <w:rPr>
          <w:lang w:val="es-ES_tradnl"/>
        </w:rPr>
      </w:pPr>
    </w:p>
    <w:sectPr w:rsidR="0078706B" w:rsidRPr="0014777C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1C2DD05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Resolución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C849D9">
      <w:rPr>
        <w:noProof/>
        <w:lang w:val="en-US"/>
      </w:rPr>
      <w:t>89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FE4DE8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849D9">
      <w:rPr>
        <w:noProof/>
        <w:lang w:val="en-US"/>
      </w:rPr>
      <w:t>89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293470E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r w:rsidR="00347EE0">
      <w:rPr>
        <w:lang w:val="en-US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849D9">
      <w:rPr>
        <w:noProof/>
        <w:lang w:val="en-US"/>
      </w:rPr>
      <w:t>89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  <w:footnote w:id="1">
    <w:p w14:paraId="552E26F5" w14:textId="77777777" w:rsidR="00632329" w:rsidRPr="00F234B8" w:rsidRDefault="00632329" w:rsidP="00C42673">
      <w:pPr>
        <w:pStyle w:val="FootnoteText"/>
        <w:rPr>
          <w:lang w:val="es-ES"/>
        </w:rPr>
      </w:pPr>
      <w:r w:rsidRPr="00711CE6">
        <w:rPr>
          <w:rStyle w:val="FootnoteReference"/>
          <w:lang w:val="es-ES"/>
        </w:rPr>
        <w:t>1</w:t>
      </w:r>
      <w:r>
        <w:rPr>
          <w:lang w:val="es-ES"/>
        </w:rPr>
        <w:tab/>
      </w:r>
      <w:r w:rsidRPr="005D2BF0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40FA"/>
    <w:rsid w:val="00006C17"/>
    <w:rsid w:val="00011D78"/>
    <w:rsid w:val="00017B45"/>
    <w:rsid w:val="00023463"/>
    <w:rsid w:val="000308B9"/>
    <w:rsid w:val="0003253E"/>
    <w:rsid w:val="000328F5"/>
    <w:rsid w:val="0003503D"/>
    <w:rsid w:val="0004155C"/>
    <w:rsid w:val="00051442"/>
    <w:rsid w:val="00065F07"/>
    <w:rsid w:val="00070490"/>
    <w:rsid w:val="00077A2D"/>
    <w:rsid w:val="00082DD3"/>
    <w:rsid w:val="00084AD7"/>
    <w:rsid w:val="000A381D"/>
    <w:rsid w:val="000A7F21"/>
    <w:rsid w:val="000B071B"/>
    <w:rsid w:val="000B3DBF"/>
    <w:rsid w:val="000B47CD"/>
    <w:rsid w:val="000B5A36"/>
    <w:rsid w:val="000C22AE"/>
    <w:rsid w:val="000C7B81"/>
    <w:rsid w:val="000D378F"/>
    <w:rsid w:val="000D3CE4"/>
    <w:rsid w:val="000D5219"/>
    <w:rsid w:val="000D6C83"/>
    <w:rsid w:val="000D6DAE"/>
    <w:rsid w:val="000E4393"/>
    <w:rsid w:val="00111EA8"/>
    <w:rsid w:val="00117D80"/>
    <w:rsid w:val="001309FB"/>
    <w:rsid w:val="0017525B"/>
    <w:rsid w:val="001762A1"/>
    <w:rsid w:val="001776E1"/>
    <w:rsid w:val="00184AAF"/>
    <w:rsid w:val="001A21DC"/>
    <w:rsid w:val="001B4A76"/>
    <w:rsid w:val="001C0F52"/>
    <w:rsid w:val="001C5240"/>
    <w:rsid w:val="001C604C"/>
    <w:rsid w:val="001E064E"/>
    <w:rsid w:val="001F3813"/>
    <w:rsid w:val="00211E22"/>
    <w:rsid w:val="002178BA"/>
    <w:rsid w:val="002204D5"/>
    <w:rsid w:val="002210D5"/>
    <w:rsid w:val="00227040"/>
    <w:rsid w:val="00237B40"/>
    <w:rsid w:val="002442BA"/>
    <w:rsid w:val="002462EF"/>
    <w:rsid w:val="00246C17"/>
    <w:rsid w:val="00251518"/>
    <w:rsid w:val="00256336"/>
    <w:rsid w:val="002742C3"/>
    <w:rsid w:val="002A37D9"/>
    <w:rsid w:val="002C182C"/>
    <w:rsid w:val="002D5607"/>
    <w:rsid w:val="002E1B7B"/>
    <w:rsid w:val="002E6A20"/>
    <w:rsid w:val="002F389D"/>
    <w:rsid w:val="002F6393"/>
    <w:rsid w:val="00317D22"/>
    <w:rsid w:val="00331B2F"/>
    <w:rsid w:val="003374BB"/>
    <w:rsid w:val="00347EE0"/>
    <w:rsid w:val="0035222D"/>
    <w:rsid w:val="003634BA"/>
    <w:rsid w:val="00364A0E"/>
    <w:rsid w:val="0038237B"/>
    <w:rsid w:val="003873BF"/>
    <w:rsid w:val="00390873"/>
    <w:rsid w:val="00391AD6"/>
    <w:rsid w:val="003A1924"/>
    <w:rsid w:val="003C3FD9"/>
    <w:rsid w:val="003D116F"/>
    <w:rsid w:val="003D7A8C"/>
    <w:rsid w:val="003E18C1"/>
    <w:rsid w:val="003F293E"/>
    <w:rsid w:val="00401308"/>
    <w:rsid w:val="00406157"/>
    <w:rsid w:val="00406B22"/>
    <w:rsid w:val="00423BC5"/>
    <w:rsid w:val="00430D51"/>
    <w:rsid w:val="004568D2"/>
    <w:rsid w:val="004612A7"/>
    <w:rsid w:val="00462F6A"/>
    <w:rsid w:val="00467305"/>
    <w:rsid w:val="0047011F"/>
    <w:rsid w:val="004876CD"/>
    <w:rsid w:val="0048772A"/>
    <w:rsid w:val="00496EA5"/>
    <w:rsid w:val="004A1F7E"/>
    <w:rsid w:val="004A3D58"/>
    <w:rsid w:val="004A58A4"/>
    <w:rsid w:val="004B7CB1"/>
    <w:rsid w:val="004D7DA4"/>
    <w:rsid w:val="004F2E56"/>
    <w:rsid w:val="00501F47"/>
    <w:rsid w:val="00503942"/>
    <w:rsid w:val="00504D1F"/>
    <w:rsid w:val="00514AB2"/>
    <w:rsid w:val="00524FB2"/>
    <w:rsid w:val="0053765D"/>
    <w:rsid w:val="00551B43"/>
    <w:rsid w:val="005569CA"/>
    <w:rsid w:val="00562EF2"/>
    <w:rsid w:val="00574CFF"/>
    <w:rsid w:val="00597C80"/>
    <w:rsid w:val="005A48CF"/>
    <w:rsid w:val="005C3E96"/>
    <w:rsid w:val="005D0420"/>
    <w:rsid w:val="005D1D45"/>
    <w:rsid w:val="00601999"/>
    <w:rsid w:val="00611A53"/>
    <w:rsid w:val="00611CD0"/>
    <w:rsid w:val="006144AB"/>
    <w:rsid w:val="00631549"/>
    <w:rsid w:val="00632329"/>
    <w:rsid w:val="006425B4"/>
    <w:rsid w:val="00653C1B"/>
    <w:rsid w:val="00661781"/>
    <w:rsid w:val="00665F6E"/>
    <w:rsid w:val="006678D7"/>
    <w:rsid w:val="006824D9"/>
    <w:rsid w:val="00684F2B"/>
    <w:rsid w:val="006870A0"/>
    <w:rsid w:val="00693D4F"/>
    <w:rsid w:val="00697D23"/>
    <w:rsid w:val="006B0459"/>
    <w:rsid w:val="006B5987"/>
    <w:rsid w:val="006E13C5"/>
    <w:rsid w:val="00700AE2"/>
    <w:rsid w:val="007067FD"/>
    <w:rsid w:val="00706D36"/>
    <w:rsid w:val="00707551"/>
    <w:rsid w:val="007116DC"/>
    <w:rsid w:val="0071403C"/>
    <w:rsid w:val="00717E4B"/>
    <w:rsid w:val="00720F3C"/>
    <w:rsid w:val="00722088"/>
    <w:rsid w:val="00724D33"/>
    <w:rsid w:val="00725BC9"/>
    <w:rsid w:val="00726747"/>
    <w:rsid w:val="0074102F"/>
    <w:rsid w:val="00753EC3"/>
    <w:rsid w:val="007550BF"/>
    <w:rsid w:val="00756678"/>
    <w:rsid w:val="007636F9"/>
    <w:rsid w:val="0076539C"/>
    <w:rsid w:val="007771C5"/>
    <w:rsid w:val="00780423"/>
    <w:rsid w:val="00781E25"/>
    <w:rsid w:val="00783EB8"/>
    <w:rsid w:val="0078706B"/>
    <w:rsid w:val="00787192"/>
    <w:rsid w:val="007958DD"/>
    <w:rsid w:val="007E0240"/>
    <w:rsid w:val="007F32A3"/>
    <w:rsid w:val="008075CD"/>
    <w:rsid w:val="00807BA6"/>
    <w:rsid w:val="00834699"/>
    <w:rsid w:val="00837339"/>
    <w:rsid w:val="00845E8E"/>
    <w:rsid w:val="00851E30"/>
    <w:rsid w:val="0088751E"/>
    <w:rsid w:val="00891F50"/>
    <w:rsid w:val="008968B6"/>
    <w:rsid w:val="008972C5"/>
    <w:rsid w:val="008B2B07"/>
    <w:rsid w:val="008B4CF6"/>
    <w:rsid w:val="008B7E09"/>
    <w:rsid w:val="008C7FC3"/>
    <w:rsid w:val="008D6D8D"/>
    <w:rsid w:val="008D7D48"/>
    <w:rsid w:val="00901958"/>
    <w:rsid w:val="009055E3"/>
    <w:rsid w:val="00905B41"/>
    <w:rsid w:val="00916468"/>
    <w:rsid w:val="0092650E"/>
    <w:rsid w:val="00927427"/>
    <w:rsid w:val="00931C08"/>
    <w:rsid w:val="00931EE1"/>
    <w:rsid w:val="009330E7"/>
    <w:rsid w:val="00934946"/>
    <w:rsid w:val="009423EF"/>
    <w:rsid w:val="0095090C"/>
    <w:rsid w:val="00951280"/>
    <w:rsid w:val="00952426"/>
    <w:rsid w:val="0096323D"/>
    <w:rsid w:val="009732A2"/>
    <w:rsid w:val="00974C0C"/>
    <w:rsid w:val="009755D7"/>
    <w:rsid w:val="009C2357"/>
    <w:rsid w:val="009D10A5"/>
    <w:rsid w:val="009D26AE"/>
    <w:rsid w:val="009D5BCF"/>
    <w:rsid w:val="009E1DCF"/>
    <w:rsid w:val="009F7009"/>
    <w:rsid w:val="009F73E5"/>
    <w:rsid w:val="00A01A91"/>
    <w:rsid w:val="00A07A58"/>
    <w:rsid w:val="00A146FC"/>
    <w:rsid w:val="00A24E9A"/>
    <w:rsid w:val="00A26B1A"/>
    <w:rsid w:val="00A3085D"/>
    <w:rsid w:val="00A4766C"/>
    <w:rsid w:val="00A5746D"/>
    <w:rsid w:val="00A65D98"/>
    <w:rsid w:val="00A71BCC"/>
    <w:rsid w:val="00A72377"/>
    <w:rsid w:val="00A75601"/>
    <w:rsid w:val="00A83D3D"/>
    <w:rsid w:val="00AA1264"/>
    <w:rsid w:val="00AA2D89"/>
    <w:rsid w:val="00AA6DF9"/>
    <w:rsid w:val="00AC4AF1"/>
    <w:rsid w:val="00AC4BB8"/>
    <w:rsid w:val="00AE4C26"/>
    <w:rsid w:val="00B150A9"/>
    <w:rsid w:val="00B17501"/>
    <w:rsid w:val="00B2011C"/>
    <w:rsid w:val="00B23929"/>
    <w:rsid w:val="00B241C9"/>
    <w:rsid w:val="00B3059C"/>
    <w:rsid w:val="00B33CAA"/>
    <w:rsid w:val="00B36E85"/>
    <w:rsid w:val="00B50CB4"/>
    <w:rsid w:val="00B50D4E"/>
    <w:rsid w:val="00B50F17"/>
    <w:rsid w:val="00B53A88"/>
    <w:rsid w:val="00B5549E"/>
    <w:rsid w:val="00B56BC0"/>
    <w:rsid w:val="00B67290"/>
    <w:rsid w:val="00B71A76"/>
    <w:rsid w:val="00B73379"/>
    <w:rsid w:val="00B73B62"/>
    <w:rsid w:val="00B7553A"/>
    <w:rsid w:val="00B92804"/>
    <w:rsid w:val="00BB34EA"/>
    <w:rsid w:val="00BC13B0"/>
    <w:rsid w:val="00BE53DB"/>
    <w:rsid w:val="00BE564D"/>
    <w:rsid w:val="00BE58E6"/>
    <w:rsid w:val="00BF610E"/>
    <w:rsid w:val="00C021E8"/>
    <w:rsid w:val="00C12E70"/>
    <w:rsid w:val="00C30E1E"/>
    <w:rsid w:val="00C32F69"/>
    <w:rsid w:val="00C42785"/>
    <w:rsid w:val="00C64078"/>
    <w:rsid w:val="00C706FC"/>
    <w:rsid w:val="00C72AF4"/>
    <w:rsid w:val="00C815EB"/>
    <w:rsid w:val="00C849D9"/>
    <w:rsid w:val="00C94EDF"/>
    <w:rsid w:val="00CD10C2"/>
    <w:rsid w:val="00CD2832"/>
    <w:rsid w:val="00CD3865"/>
    <w:rsid w:val="00CE767E"/>
    <w:rsid w:val="00CF024D"/>
    <w:rsid w:val="00D20887"/>
    <w:rsid w:val="00D21504"/>
    <w:rsid w:val="00D26850"/>
    <w:rsid w:val="00D26ECC"/>
    <w:rsid w:val="00D26F3B"/>
    <w:rsid w:val="00D27855"/>
    <w:rsid w:val="00D407AC"/>
    <w:rsid w:val="00D4292A"/>
    <w:rsid w:val="00D457B6"/>
    <w:rsid w:val="00D47C7E"/>
    <w:rsid w:val="00D50046"/>
    <w:rsid w:val="00D54881"/>
    <w:rsid w:val="00D66950"/>
    <w:rsid w:val="00D74D57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5D50"/>
    <w:rsid w:val="00DE48B4"/>
    <w:rsid w:val="00DF69A0"/>
    <w:rsid w:val="00E03ABC"/>
    <w:rsid w:val="00E154E2"/>
    <w:rsid w:val="00E20918"/>
    <w:rsid w:val="00E26646"/>
    <w:rsid w:val="00E300EC"/>
    <w:rsid w:val="00E339A6"/>
    <w:rsid w:val="00E47B1E"/>
    <w:rsid w:val="00E51820"/>
    <w:rsid w:val="00E56BAB"/>
    <w:rsid w:val="00E67297"/>
    <w:rsid w:val="00E758D6"/>
    <w:rsid w:val="00E75929"/>
    <w:rsid w:val="00E82452"/>
    <w:rsid w:val="00E83C1C"/>
    <w:rsid w:val="00E87FF6"/>
    <w:rsid w:val="00E96927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8B8"/>
    <w:rsid w:val="00F0099E"/>
    <w:rsid w:val="00F12607"/>
    <w:rsid w:val="00F14CC8"/>
    <w:rsid w:val="00F15F98"/>
    <w:rsid w:val="00F34748"/>
    <w:rsid w:val="00F4104C"/>
    <w:rsid w:val="00F4281C"/>
    <w:rsid w:val="00F42B66"/>
    <w:rsid w:val="00F557F4"/>
    <w:rsid w:val="00F576B9"/>
    <w:rsid w:val="00F67E96"/>
    <w:rsid w:val="00F84A96"/>
    <w:rsid w:val="00F86D27"/>
    <w:rsid w:val="00F9067E"/>
    <w:rsid w:val="00FA2510"/>
    <w:rsid w:val="00FA48C5"/>
    <w:rsid w:val="00FA591A"/>
    <w:rsid w:val="00FA70B7"/>
    <w:rsid w:val="00FC2788"/>
    <w:rsid w:val="00FD23A9"/>
    <w:rsid w:val="00FE3BEC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1">
    <w:name w:val="Normal after title0"/>
    <w:basedOn w:val="Normal"/>
    <w:next w:val="Normal"/>
    <w:rsid w:val="00391A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93</TotalTime>
  <Pages>7</Pages>
  <Words>2609</Words>
  <Characters>14448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89 – Promoción de la utilización de las tecnologías de la información y la comunicación para reducir la brecha de inclusión financiera</vt:lpstr>
    </vt:vector>
  </TitlesOfParts>
  <Company>ITU</Company>
  <LinksUpToDate>false</LinksUpToDate>
  <CharactersWithSpaces>17023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89 – Promoción de la utilización de las tecnologías de la información y la comunicación para reducir la brecha de inclusión financiera</dc:title>
  <dc:subject>ASAMBLEA MUNDIAL DE NORMALIZACIÓN DE LAS TELECOMUNICACIONES</dc:subject>
  <dc:creator>ITU-T</dc:creator>
  <cp:keywords/>
  <dc:description/>
  <cp:lastModifiedBy>Saez Grau, Ricardo</cp:lastModifiedBy>
  <cp:revision>83</cp:revision>
  <cp:lastPrinted>2024-11-27T13:52:00Z</cp:lastPrinted>
  <dcterms:created xsi:type="dcterms:W3CDTF">2024-11-26T13:57:00Z</dcterms:created>
  <dcterms:modified xsi:type="dcterms:W3CDTF">2024-11-27T13:53:00Z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