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1" w:rightFromText="181" w:vertAnchor="page" w:horzAnchor="margin" w:tblpY="506"/>
        <w:tblOverlap w:val="never"/>
        <w:tblW w:w="10740" w:type="dxa"/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5670"/>
      </w:tblGrid>
      <w:tr w:rsidR="00EA2A26" w:rsidRPr="0033681A" w14:paraId="7078E33C" w14:textId="77777777" w:rsidTr="00367A2B">
        <w:trPr>
          <w:trHeight w:hRule="exact" w:val="426"/>
        </w:trPr>
        <w:tc>
          <w:tcPr>
            <w:tcW w:w="5070" w:type="dxa"/>
            <w:gridSpan w:val="2"/>
          </w:tcPr>
          <w:p w14:paraId="1C1FE4AD" w14:textId="77777777" w:rsidR="00EA2A26" w:rsidRPr="0033681A" w:rsidRDefault="00EA2A26" w:rsidP="00A3085D">
            <w:pPr>
              <w:spacing w:before="60"/>
              <w:rPr>
                <w:rFonts w:ascii="Arial" w:eastAsia="Avenir Next W1G Medium" w:hAnsi="Arial" w:cs="Arial"/>
                <w:noProof/>
                <w:szCs w:val="24"/>
              </w:rPr>
            </w:pPr>
            <w:bookmarkStart w:id="0" w:name="c2tope"/>
            <w:bookmarkEnd w:id="0"/>
            <w:r w:rsidRPr="0033681A">
              <w:rPr>
                <w:rFonts w:ascii="Arial" w:hAnsi="Arial" w:cs="Arial"/>
                <w:b/>
                <w:color w:val="009CD6"/>
                <w:spacing w:val="-4"/>
                <w:sz w:val="32"/>
                <w:szCs w:val="32"/>
              </w:rPr>
              <w:t>ITU</w:t>
            </w:r>
            <w:r w:rsidRPr="0033681A">
              <w:rPr>
                <w:rFonts w:ascii="Arial" w:hAnsi="Arial" w:cs="Arial"/>
                <w:b/>
                <w:color w:val="292829"/>
                <w:spacing w:val="-4"/>
                <w:sz w:val="32"/>
                <w:szCs w:val="32"/>
              </w:rPr>
              <w:t>Publications</w:t>
            </w:r>
          </w:p>
        </w:tc>
        <w:tc>
          <w:tcPr>
            <w:tcW w:w="5670" w:type="dxa"/>
          </w:tcPr>
          <w:p w14:paraId="0E9475D3" w14:textId="4988F2A4" w:rsidR="00EA2A26" w:rsidRPr="00EA2A26" w:rsidRDefault="00347EE0" w:rsidP="00A3085D">
            <w:pPr>
              <w:spacing w:before="60"/>
              <w:jc w:val="right"/>
              <w:rPr>
                <w:rFonts w:ascii="Arial" w:eastAsia="Avenir Next W1G Medium" w:hAnsi="Arial" w:cs="Arial"/>
                <w:sz w:val="24"/>
                <w:szCs w:val="24"/>
              </w:rPr>
            </w:pPr>
            <w:r w:rsidRPr="00347EE0">
              <w:rPr>
                <w:rFonts w:ascii="Arial" w:eastAsia="Avenir Next W1G Medium" w:hAnsi="Arial" w:cs="Arial"/>
                <w:b/>
                <w:spacing w:val="-4"/>
                <w:sz w:val="24"/>
                <w:szCs w:val="24"/>
              </w:rPr>
              <w:t>Unión Internacional de Telecomunicaciones</w:t>
            </w:r>
          </w:p>
        </w:tc>
      </w:tr>
      <w:tr w:rsidR="00EA2A26" w:rsidRPr="0033681A" w14:paraId="42C85EB6" w14:textId="77777777" w:rsidTr="00367A2B">
        <w:trPr>
          <w:trHeight w:hRule="exact" w:val="992"/>
        </w:trPr>
        <w:tc>
          <w:tcPr>
            <w:tcW w:w="5070" w:type="dxa"/>
            <w:gridSpan w:val="2"/>
          </w:tcPr>
          <w:p w14:paraId="68B26EDA" w14:textId="32FCBD5F" w:rsidR="00EA2A26" w:rsidRPr="00EA2A26" w:rsidRDefault="00347EE0" w:rsidP="00367A2B">
            <w:pPr>
              <w:spacing w:before="0"/>
              <w:rPr>
                <w:rFonts w:ascii="Arial" w:eastAsia="Avenir Next W1G Medium" w:hAnsi="Arial" w:cs="Arial"/>
                <w:sz w:val="24"/>
                <w:szCs w:val="24"/>
              </w:rPr>
            </w:pPr>
            <w:r>
              <w:rPr>
                <w:rFonts w:ascii="Arial" w:eastAsia="Avenir Next W1G Medium" w:hAnsi="Arial" w:cs="Arial"/>
                <w:sz w:val="24"/>
                <w:szCs w:val="24"/>
              </w:rPr>
              <w:t>Resoluciones</w:t>
            </w:r>
          </w:p>
        </w:tc>
        <w:tc>
          <w:tcPr>
            <w:tcW w:w="5670" w:type="dxa"/>
          </w:tcPr>
          <w:p w14:paraId="20539D5B" w14:textId="66840162" w:rsidR="00EA2A26" w:rsidRPr="00EA2A26" w:rsidRDefault="00347EE0" w:rsidP="00367A2B">
            <w:pPr>
              <w:spacing w:before="0"/>
              <w:jc w:val="right"/>
              <w:rPr>
                <w:rFonts w:ascii="Arial" w:eastAsia="Avenir Next W1G Medium" w:hAnsi="Arial" w:cs="Arial"/>
                <w:sz w:val="24"/>
                <w:szCs w:val="24"/>
              </w:rPr>
            </w:pPr>
            <w:r w:rsidRPr="00347EE0">
              <w:rPr>
                <w:rFonts w:ascii="Arial" w:eastAsia="Avenir Next W1G Medium" w:hAnsi="Arial" w:cs="Arial"/>
                <w:sz w:val="24"/>
                <w:szCs w:val="24"/>
              </w:rPr>
              <w:t>Sector de Normalización</w:t>
            </w:r>
          </w:p>
        </w:tc>
      </w:tr>
      <w:tr w:rsidR="00EA2A26" w:rsidRPr="0033681A" w14:paraId="6AE027A4" w14:textId="77777777" w:rsidTr="00367A2B">
        <w:tblPrEx>
          <w:tblCellMar>
            <w:left w:w="85" w:type="dxa"/>
            <w:right w:w="85" w:type="dxa"/>
          </w:tblCellMar>
        </w:tblPrEx>
        <w:trPr>
          <w:gridBefore w:val="1"/>
          <w:wBefore w:w="817" w:type="dxa"/>
          <w:trHeight w:val="709"/>
        </w:trPr>
        <w:tc>
          <w:tcPr>
            <w:tcW w:w="9923" w:type="dxa"/>
            <w:gridSpan w:val="2"/>
          </w:tcPr>
          <w:p w14:paraId="1BE63DDE" w14:textId="77777777" w:rsidR="00EA2A26" w:rsidRPr="0033681A" w:rsidRDefault="00EA2A26" w:rsidP="00367A2B">
            <w:pPr>
              <w:pStyle w:val="BodyText"/>
              <w:spacing w:before="440"/>
              <w:rPr>
                <w:b w:val="0"/>
                <w:bCs w:val="0"/>
                <w:spacing w:val="-6"/>
                <w:sz w:val="44"/>
                <w:szCs w:val="44"/>
                <w:lang w:val="en-GB"/>
              </w:rPr>
            </w:pPr>
          </w:p>
        </w:tc>
      </w:tr>
      <w:tr w:rsidR="00EA2A26" w:rsidRPr="00613D5C" w14:paraId="09112B91" w14:textId="77777777" w:rsidTr="00367A2B">
        <w:tblPrEx>
          <w:tblCellMar>
            <w:left w:w="85" w:type="dxa"/>
            <w:right w:w="85" w:type="dxa"/>
          </w:tblCellMar>
        </w:tblPrEx>
        <w:trPr>
          <w:gridBefore w:val="1"/>
          <w:wBefore w:w="817" w:type="dxa"/>
          <w:trHeight w:val="129"/>
        </w:trPr>
        <w:tc>
          <w:tcPr>
            <w:tcW w:w="9923" w:type="dxa"/>
            <w:gridSpan w:val="2"/>
          </w:tcPr>
          <w:p w14:paraId="345DAF0C" w14:textId="77777777" w:rsidR="00EA2A26" w:rsidRPr="00613D5C" w:rsidRDefault="00EA2A26" w:rsidP="00367A2B">
            <w:pPr>
              <w:pStyle w:val="BodyText"/>
              <w:spacing w:before="120" w:after="240"/>
              <w:rPr>
                <w:spacing w:val="-6"/>
                <w:sz w:val="44"/>
                <w:szCs w:val="44"/>
                <w:lang w:val="en-GB"/>
              </w:rPr>
            </w:pPr>
          </w:p>
        </w:tc>
      </w:tr>
      <w:tr w:rsidR="00EA2A26" w:rsidRPr="002F6393" w14:paraId="594C2C35" w14:textId="77777777" w:rsidTr="00367A2B">
        <w:trPr>
          <w:trHeight w:val="80"/>
        </w:trPr>
        <w:tc>
          <w:tcPr>
            <w:tcW w:w="817" w:type="dxa"/>
          </w:tcPr>
          <w:p w14:paraId="72C102BC" w14:textId="77777777" w:rsidR="00EA2A26" w:rsidRPr="00613D5C" w:rsidRDefault="00EA2A26" w:rsidP="00367A2B">
            <w:pPr>
              <w:tabs>
                <w:tab w:val="right" w:pos="9639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9923" w:type="dxa"/>
            <w:gridSpan w:val="2"/>
            <w:tcBorders>
              <w:bottom w:val="single" w:sz="8" w:space="0" w:color="auto"/>
            </w:tcBorders>
          </w:tcPr>
          <w:p w14:paraId="46F1491F" w14:textId="6458DB41" w:rsidR="00EA2A26" w:rsidRPr="008B7E09" w:rsidRDefault="00347EE0" w:rsidP="00EA2A26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djustRightInd/>
              <w:spacing w:before="276" w:line="240" w:lineRule="auto"/>
              <w:jc w:val="left"/>
              <w:textAlignment w:val="auto"/>
              <w:rPr>
                <w:rFonts w:ascii="Arial" w:hAnsi="Arial" w:cs="Arial"/>
                <w:sz w:val="36"/>
                <w:szCs w:val="36"/>
                <w:lang w:val="es-ES"/>
              </w:rPr>
            </w:pPr>
            <w:r w:rsidRPr="008B7E09">
              <w:rPr>
                <w:rFonts w:ascii="Arial" w:hAnsi="Arial" w:cs="Arial"/>
                <w:sz w:val="36"/>
                <w:szCs w:val="36"/>
                <w:lang w:val="es-ES"/>
              </w:rPr>
              <w:t xml:space="preserve">ASAMBLEA MUNDIAL DE NORMALIZACIÓN DE LAS TELECOMUNICACIONES </w:t>
            </w:r>
            <w:r w:rsidR="00EA2A26" w:rsidRPr="008B7E09">
              <w:rPr>
                <w:rFonts w:ascii="Arial" w:hAnsi="Arial" w:cs="Arial"/>
                <w:sz w:val="36"/>
                <w:szCs w:val="36"/>
                <w:lang w:val="es-ES"/>
              </w:rPr>
              <w:br/>
            </w:r>
            <w:r w:rsidRPr="008B7E09">
              <w:rPr>
                <w:rFonts w:ascii="Arial" w:hAnsi="Arial" w:cs="Arial"/>
                <w:sz w:val="36"/>
                <w:szCs w:val="36"/>
                <w:lang w:val="es-ES"/>
              </w:rPr>
              <w:t>Nueva Delhi</w:t>
            </w:r>
            <w:r w:rsidR="00EA2A26" w:rsidRPr="008B7E09">
              <w:rPr>
                <w:rFonts w:ascii="Arial" w:hAnsi="Arial" w:cs="Arial"/>
                <w:sz w:val="36"/>
                <w:szCs w:val="36"/>
                <w:lang w:val="es-ES"/>
              </w:rPr>
              <w:t xml:space="preserve">, 15-24 </w:t>
            </w:r>
            <w:r w:rsidRPr="008B7E09">
              <w:rPr>
                <w:rFonts w:ascii="Arial" w:hAnsi="Arial" w:cs="Arial"/>
                <w:sz w:val="36"/>
                <w:szCs w:val="36"/>
                <w:lang w:val="es-ES"/>
              </w:rPr>
              <w:t>de octubre de</w:t>
            </w:r>
            <w:r w:rsidR="00423BC5" w:rsidRPr="008B7E09">
              <w:rPr>
                <w:rFonts w:ascii="Arial" w:hAnsi="Arial" w:cs="Arial"/>
                <w:sz w:val="36"/>
                <w:szCs w:val="36"/>
                <w:lang w:val="es-ES"/>
              </w:rPr>
              <w:t xml:space="preserve"> </w:t>
            </w:r>
            <w:r w:rsidR="00EA2A26" w:rsidRPr="008B7E09">
              <w:rPr>
                <w:rFonts w:ascii="Arial" w:hAnsi="Arial" w:cs="Arial"/>
                <w:sz w:val="36"/>
                <w:szCs w:val="36"/>
                <w:lang w:val="es-ES"/>
              </w:rPr>
              <w:t>2024</w:t>
            </w:r>
          </w:p>
          <w:p w14:paraId="318F1603" w14:textId="77777777" w:rsidR="00EA2A26" w:rsidRPr="008B7E09" w:rsidRDefault="00EA2A26" w:rsidP="00367A2B">
            <w:pPr>
              <w:rPr>
                <w:lang w:val="es-ES"/>
              </w:rPr>
            </w:pPr>
          </w:p>
        </w:tc>
      </w:tr>
      <w:tr w:rsidR="00EA2A26" w:rsidRPr="002F6393" w14:paraId="40EA4FB7" w14:textId="77777777" w:rsidTr="00367A2B">
        <w:trPr>
          <w:trHeight w:val="743"/>
        </w:trPr>
        <w:tc>
          <w:tcPr>
            <w:tcW w:w="817" w:type="dxa"/>
          </w:tcPr>
          <w:p w14:paraId="5A48D328" w14:textId="77777777" w:rsidR="00EA2A26" w:rsidRPr="008B7E09" w:rsidRDefault="00EA2A26" w:rsidP="00367A2B">
            <w:pPr>
              <w:tabs>
                <w:tab w:val="right" w:pos="9639"/>
              </w:tabs>
              <w:rPr>
                <w:rFonts w:ascii="Arial" w:hAnsi="Arial" w:cs="Arial"/>
                <w:sz w:val="48"/>
                <w:szCs w:val="48"/>
                <w:lang w:val="es-ES"/>
              </w:rPr>
            </w:pPr>
          </w:p>
        </w:tc>
        <w:tc>
          <w:tcPr>
            <w:tcW w:w="9923" w:type="dxa"/>
            <w:gridSpan w:val="2"/>
            <w:tcBorders>
              <w:top w:val="single" w:sz="8" w:space="0" w:color="auto"/>
            </w:tcBorders>
          </w:tcPr>
          <w:p w14:paraId="51262F1D" w14:textId="1D9E9ED1" w:rsidR="00EA2A26" w:rsidRPr="00251518" w:rsidRDefault="00347EE0" w:rsidP="00632329">
            <w:pPr>
              <w:pStyle w:val="BodyText"/>
              <w:spacing w:before="440" w:line="240" w:lineRule="auto"/>
              <w:jc w:val="left"/>
              <w:rPr>
                <w:lang w:val="es-ES"/>
              </w:rPr>
            </w:pPr>
            <w:r w:rsidRPr="00251518">
              <w:rPr>
                <w:spacing w:val="-6"/>
                <w:sz w:val="44"/>
                <w:szCs w:val="44"/>
                <w:lang w:val="es-ES"/>
              </w:rPr>
              <w:t>Resolución</w:t>
            </w:r>
            <w:r w:rsidR="00EA2A26" w:rsidRPr="00251518">
              <w:rPr>
                <w:spacing w:val="-6"/>
                <w:sz w:val="44"/>
                <w:szCs w:val="44"/>
                <w:lang w:val="es-ES"/>
              </w:rPr>
              <w:t xml:space="preserve"> </w:t>
            </w:r>
            <w:r w:rsidR="00632329">
              <w:rPr>
                <w:spacing w:val="-6"/>
                <w:sz w:val="44"/>
                <w:szCs w:val="44"/>
                <w:lang w:val="es-ES"/>
              </w:rPr>
              <w:t>8</w:t>
            </w:r>
            <w:r w:rsidR="00F87DDF">
              <w:rPr>
                <w:spacing w:val="-6"/>
                <w:sz w:val="44"/>
                <w:szCs w:val="44"/>
                <w:lang w:val="es-ES"/>
              </w:rPr>
              <w:t>8</w:t>
            </w:r>
            <w:r w:rsidR="00845E8E" w:rsidRPr="00251518">
              <w:rPr>
                <w:spacing w:val="-6"/>
                <w:sz w:val="44"/>
                <w:szCs w:val="44"/>
                <w:lang w:val="es-ES"/>
              </w:rPr>
              <w:t xml:space="preserve"> –</w:t>
            </w:r>
            <w:r w:rsidR="00391AD6">
              <w:rPr>
                <w:spacing w:val="-6"/>
                <w:sz w:val="44"/>
                <w:szCs w:val="44"/>
                <w:lang w:val="es-ES"/>
              </w:rPr>
              <w:t xml:space="preserve"> </w:t>
            </w:r>
            <w:r w:rsidR="00F87DDF" w:rsidRPr="00F87DDF">
              <w:rPr>
                <w:spacing w:val="-6"/>
                <w:sz w:val="44"/>
                <w:szCs w:val="44"/>
                <w:lang w:val="es-ES"/>
              </w:rPr>
              <w:t>Itinerancia Móvil Internacional</w:t>
            </w:r>
          </w:p>
        </w:tc>
      </w:tr>
    </w:tbl>
    <w:p w14:paraId="7800F3B2" w14:textId="77777777" w:rsidR="00EA2A26" w:rsidRPr="00251518" w:rsidRDefault="00EA2A26" w:rsidP="00EA2A2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sz w:val="18"/>
          <w:lang w:val="es-ES"/>
        </w:rPr>
      </w:pPr>
      <w:r w:rsidRPr="0033681A">
        <w:rPr>
          <w:rFonts w:ascii="Arial" w:eastAsia="Avenir Next W1G Medium" w:hAnsi="Arial" w:cs="Arial"/>
          <w:noProof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4C388CF" wp14:editId="2C642E50">
                <wp:simplePos x="0" y="0"/>
                <wp:positionH relativeFrom="page">
                  <wp:posOffset>6350</wp:posOffset>
                </wp:positionH>
                <wp:positionV relativeFrom="page">
                  <wp:posOffset>908685</wp:posOffset>
                </wp:positionV>
                <wp:extent cx="7772400" cy="22987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29870"/>
                          <a:chOff x="0" y="1784"/>
                          <a:chExt cx="11906" cy="362"/>
                        </a:xfrm>
                      </wpg:grpSpPr>
                      <wps:wsp>
                        <wps:cNvPr id="31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1817"/>
                            <a:ext cx="11906" cy="329"/>
                          </a:xfrm>
                          <a:prstGeom prst="rect">
                            <a:avLst/>
                          </a:prstGeom>
                          <a:solidFill>
                            <a:srgbClr val="9D17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5"/>
                        <wps:cNvSpPr>
                          <a:spLocks/>
                        </wps:cNvSpPr>
                        <wps:spPr bwMode="auto">
                          <a:xfrm>
                            <a:off x="1109" y="1784"/>
                            <a:ext cx="627" cy="314"/>
                          </a:xfrm>
                          <a:custGeom>
                            <a:avLst/>
                            <a:gdLst>
                              <a:gd name="T0" fmla="+- 0 1736 1109"/>
                              <a:gd name="T1" fmla="*/ T0 w 627"/>
                              <a:gd name="T2" fmla="+- 0 1784 1784"/>
                              <a:gd name="T3" fmla="*/ 1784 h 314"/>
                              <a:gd name="T4" fmla="+- 0 1109 1109"/>
                              <a:gd name="T5" fmla="*/ T4 w 627"/>
                              <a:gd name="T6" fmla="+- 0 1784 1784"/>
                              <a:gd name="T7" fmla="*/ 1784 h 314"/>
                              <a:gd name="T8" fmla="+- 0 1423 1109"/>
                              <a:gd name="T9" fmla="*/ T8 w 627"/>
                              <a:gd name="T10" fmla="+- 0 2097 1784"/>
                              <a:gd name="T11" fmla="*/ 2097 h 314"/>
                              <a:gd name="T12" fmla="+- 0 1736 1109"/>
                              <a:gd name="T13" fmla="*/ T12 w 627"/>
                              <a:gd name="T14" fmla="+- 0 1784 1784"/>
                              <a:gd name="T15" fmla="*/ 1784 h 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27" h="314">
                                <a:moveTo>
                                  <a:pt x="627" y="0"/>
                                </a:moveTo>
                                <a:lnTo>
                                  <a:pt x="0" y="0"/>
                                </a:lnTo>
                                <a:lnTo>
                                  <a:pt x="314" y="313"/>
                                </a:lnTo>
                                <a:lnTo>
                                  <a:pt x="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CC4C1" id="Group 30" o:spid="_x0000_s1026" style="position:absolute;margin-left:.5pt;margin-top:71.55pt;width:612pt;height:18.1pt;z-index:-251656192;mso-position-horizontal-relative:page;mso-position-vertical-relative:page" coordorigin=",1784" coordsize="11906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">
                <v:rect id="docshape4" o:spid="_x0000_s1027" style="position:absolute;top:1817;width:11906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" fillcolor="#9d170a" stroked="f"/>
                <v:shape id="docshape5" o:spid="_x0000_s1028" style="position:absolute;left:1109;top:1784;width:627;height:314;visibility:visible;mso-wrap-style:square;v-text-anchor:top" coordsize="62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" path="m627,l,,314,313,627,xe" stroked="f">
                  <v:path arrowok="t" o:connecttype="custom" o:connectlocs="627,1784;0,1784;314,2097;627,1784" o:connectangles="0,0,0,0"/>
                </v:shape>
                <w10:wrap anchorx="page" anchory="page"/>
              </v:group>
            </w:pict>
          </mc:Fallback>
        </mc:AlternateContent>
      </w:r>
      <w:r w:rsidRPr="0033681A">
        <w:rPr>
          <w:noProof/>
        </w:rPr>
        <w:drawing>
          <wp:anchor distT="0" distB="0" distL="0" distR="0" simplePos="0" relativeHeight="251659264" behindDoc="1" locked="0" layoutInCell="1" allowOverlap="1" wp14:anchorId="1A5186FC" wp14:editId="44B435CE">
            <wp:simplePos x="0" y="0"/>
            <wp:positionH relativeFrom="page">
              <wp:posOffset>6355080</wp:posOffset>
            </wp:positionH>
            <wp:positionV relativeFrom="page">
              <wp:posOffset>9591675</wp:posOffset>
            </wp:positionV>
            <wp:extent cx="737870" cy="813435"/>
            <wp:effectExtent l="0" t="0" r="0" b="0"/>
            <wp:wrapNone/>
            <wp:docPr id="1" name="image1.png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, icon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91FA29" w14:textId="77777777" w:rsidR="00EA2A26" w:rsidRPr="00251518" w:rsidRDefault="00EA2A26" w:rsidP="00EA2A26">
      <w:pPr>
        <w:jc w:val="left"/>
        <w:rPr>
          <w:lang w:val="es-ES"/>
        </w:rPr>
        <w:sectPr w:rsidR="00EA2A26" w:rsidRPr="00251518" w:rsidSect="00EA2A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oddPage"/>
          <w:pgSz w:w="11907" w:h="16840" w:code="9"/>
          <w:pgMar w:top="1038" w:right="601" w:bottom="1860" w:left="618" w:header="567" w:footer="284" w:gutter="0"/>
          <w:pgNumType w:start="1"/>
          <w:cols w:space="720"/>
          <w:titlePg/>
          <w:docGrid w:linePitch="326"/>
        </w:sectPr>
      </w:pPr>
    </w:p>
    <w:p w14:paraId="4E8E85DC" w14:textId="7A3BA8F4" w:rsidR="008968B6" w:rsidRPr="00DC1CCA" w:rsidRDefault="00347EE0" w:rsidP="00AA1264">
      <w:pPr>
        <w:spacing w:before="480" w:line="240" w:lineRule="auto"/>
        <w:jc w:val="center"/>
        <w:rPr>
          <w:lang w:val="es-ES"/>
        </w:rPr>
      </w:pPr>
      <w:bookmarkStart w:id="1" w:name="irecnoe"/>
      <w:bookmarkEnd w:id="1"/>
      <w:r w:rsidRPr="00DC1CCA">
        <w:rPr>
          <w:lang w:val="es-ES"/>
        </w:rPr>
        <w:lastRenderedPageBreak/>
        <w:t>PREFACIO</w:t>
      </w:r>
    </w:p>
    <w:p w14:paraId="224BFE8E" w14:textId="77777777" w:rsidR="00347EE0" w:rsidRPr="00347EE0" w:rsidRDefault="00347EE0" w:rsidP="00347EE0">
      <w:pPr>
        <w:spacing w:before="120" w:line="240" w:lineRule="auto"/>
        <w:rPr>
          <w:rFonts w:eastAsia="SimSun"/>
          <w:sz w:val="20"/>
          <w:lang w:val="es-ES"/>
        </w:rPr>
      </w:pPr>
      <w:r w:rsidRPr="00347EE0">
        <w:rPr>
          <w:rFonts w:eastAsia="SimSun"/>
          <w:sz w:val="20"/>
          <w:lang w:val="es-ES"/>
        </w:rPr>
        <w:t>La Unión Internacional de Telecomunicaciones (UIT) es el organismo especializado de las Naciones Unidas en el campo de las telecomunicaciones y de las tecnologías de la información y la comunicación. El Sector de Normalización de las Telecomunicaciones de la UIT (UIT-T) es un órgano permanente de la UIT. Este órgano estudia los aspectos técnicos, de explotación y tarifarios y publica Recomendaciones sobre los mismos, con miras a la normalización de las telecomunicaciones en el plano mundial.</w:t>
      </w:r>
    </w:p>
    <w:p w14:paraId="58714A47" w14:textId="77777777" w:rsidR="00347EE0" w:rsidRPr="00347EE0" w:rsidRDefault="00347EE0" w:rsidP="00347EE0">
      <w:pPr>
        <w:spacing w:before="120" w:line="240" w:lineRule="auto"/>
        <w:rPr>
          <w:rFonts w:eastAsia="SimSun"/>
          <w:sz w:val="20"/>
          <w:lang w:val="es-ES"/>
        </w:rPr>
      </w:pPr>
      <w:r w:rsidRPr="00347EE0">
        <w:rPr>
          <w:rFonts w:eastAsia="SimSun"/>
          <w:sz w:val="20"/>
          <w:lang w:val="es-ES"/>
        </w:rPr>
        <w:t>La Asamblea Mundial de Normalización de las Telecomunicaciones (AMNT), que se celebra cada cuatro años, establece los temas que han de estudiar las Comisiones de Estudio del UIT-T, que a su vez producen Recomendaciones sobre dichos temas.</w:t>
      </w:r>
    </w:p>
    <w:p w14:paraId="0D3B6495" w14:textId="77777777" w:rsidR="00347EE0" w:rsidRPr="00347EE0" w:rsidRDefault="00347EE0" w:rsidP="00347EE0">
      <w:pPr>
        <w:spacing w:before="120" w:line="240" w:lineRule="auto"/>
        <w:rPr>
          <w:rFonts w:eastAsia="SimSun"/>
          <w:sz w:val="20"/>
          <w:lang w:val="es-ES"/>
        </w:rPr>
      </w:pPr>
      <w:r w:rsidRPr="00347EE0">
        <w:rPr>
          <w:rFonts w:eastAsia="SimSun"/>
          <w:sz w:val="20"/>
          <w:lang w:val="es-ES"/>
        </w:rPr>
        <w:t>La aprobación de Recomendaciones por los Miembros del UIT-T es el objeto del procedimiento establecido en la Resolución 1 de la AMNT.</w:t>
      </w:r>
    </w:p>
    <w:p w14:paraId="3A8E52FD" w14:textId="77777777" w:rsidR="00347EE0" w:rsidRPr="00347EE0" w:rsidRDefault="00347EE0" w:rsidP="00347EE0">
      <w:pPr>
        <w:spacing w:before="120" w:line="240" w:lineRule="auto"/>
        <w:rPr>
          <w:rFonts w:eastAsia="SimSun"/>
          <w:sz w:val="20"/>
          <w:lang w:val="es-ES"/>
        </w:rPr>
      </w:pPr>
      <w:r w:rsidRPr="00347EE0">
        <w:rPr>
          <w:rFonts w:eastAsia="SimSun"/>
          <w:sz w:val="20"/>
          <w:lang w:val="es-ES"/>
        </w:rPr>
        <w:t>En ciertos sectores de la tecnología de la información que corresponden a la esfera de competencia del UIT-T, se preparan las normas necesarias en colaboración con la ISO y la CEI.</w:t>
      </w:r>
    </w:p>
    <w:p w14:paraId="192371AE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7FCCDABA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70F00C73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441A93C9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4AA4512C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1CCAE5F2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2EE42A0A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022D9329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297330FC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432B0A04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652C1D75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687301D2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1F19B9D8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38FB642B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1F3E9127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3E533C3E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1A3ADD69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5F4CB22D" w14:textId="77777777" w:rsidR="000E4393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1076757D" w14:textId="77777777" w:rsidR="00B5549E" w:rsidRPr="008B7E09" w:rsidRDefault="00B5549E" w:rsidP="000E4393">
      <w:pPr>
        <w:spacing w:line="240" w:lineRule="exact"/>
        <w:jc w:val="center"/>
        <w:rPr>
          <w:sz w:val="20"/>
          <w:lang w:val="es-ES"/>
        </w:rPr>
      </w:pPr>
    </w:p>
    <w:p w14:paraId="7D9C158F" w14:textId="77777777" w:rsidR="00CD2832" w:rsidRPr="008B7E09" w:rsidRDefault="00CD2832" w:rsidP="000E4393">
      <w:pPr>
        <w:spacing w:line="240" w:lineRule="exact"/>
        <w:jc w:val="center"/>
        <w:rPr>
          <w:sz w:val="20"/>
          <w:lang w:val="es-ES"/>
        </w:rPr>
      </w:pPr>
    </w:p>
    <w:p w14:paraId="1B58521F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5D96A7C5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77AF2A3F" w14:textId="77777777" w:rsidR="00AA1264" w:rsidRPr="008B7E09" w:rsidRDefault="00AA1264" w:rsidP="000E4393">
      <w:pPr>
        <w:spacing w:line="240" w:lineRule="exact"/>
        <w:jc w:val="center"/>
        <w:rPr>
          <w:sz w:val="20"/>
          <w:lang w:val="es-ES"/>
        </w:rPr>
      </w:pPr>
    </w:p>
    <w:p w14:paraId="39F6B1E2" w14:textId="77777777" w:rsidR="00EA2A26" w:rsidRPr="008B7E09" w:rsidRDefault="00EA2A26" w:rsidP="00EA2A26">
      <w:pPr>
        <w:spacing w:before="120" w:line="240" w:lineRule="auto"/>
        <w:rPr>
          <w:sz w:val="20"/>
          <w:lang w:val="es-ES"/>
        </w:rPr>
      </w:pPr>
    </w:p>
    <w:p w14:paraId="4812ECBE" w14:textId="6AEFAE01" w:rsidR="00EA2A26" w:rsidRPr="008B7E09" w:rsidRDefault="00EA2A26" w:rsidP="00EA2A26">
      <w:pPr>
        <w:spacing w:before="120" w:line="240" w:lineRule="auto"/>
        <w:jc w:val="center"/>
        <w:rPr>
          <w:sz w:val="20"/>
          <w:lang w:val="es-ES"/>
        </w:rPr>
      </w:pPr>
      <w:r w:rsidRPr="00EA2A26">
        <w:rPr>
          <w:sz w:val="20"/>
          <w:lang w:val="en-GB"/>
        </w:rPr>
        <w:sym w:font="Symbol" w:char="F0E3"/>
      </w:r>
      <w:r w:rsidRPr="008B7E09">
        <w:rPr>
          <w:sz w:val="20"/>
          <w:lang w:val="es-ES"/>
        </w:rPr>
        <w:t> </w:t>
      </w:r>
      <w:r w:rsidR="00423BC5" w:rsidRPr="008B7E09">
        <w:rPr>
          <w:sz w:val="20"/>
          <w:lang w:val="es-ES"/>
        </w:rPr>
        <w:t>UIT</w:t>
      </w:r>
      <w:r w:rsidRPr="008B7E09">
        <w:rPr>
          <w:sz w:val="20"/>
          <w:lang w:val="es-ES"/>
        </w:rPr>
        <w:t> 2024</w:t>
      </w:r>
    </w:p>
    <w:p w14:paraId="5A25B5AD" w14:textId="249216DD" w:rsidR="008968B6" w:rsidRPr="008B7E09" w:rsidRDefault="00347EE0" w:rsidP="00EA2A26">
      <w:pPr>
        <w:spacing w:before="120" w:line="240" w:lineRule="auto"/>
        <w:rPr>
          <w:lang w:val="es-ES"/>
        </w:rPr>
      </w:pPr>
      <w:r w:rsidRPr="008B7E09">
        <w:rPr>
          <w:sz w:val="20"/>
          <w:lang w:val="es-ES"/>
        </w:rPr>
        <w:t>Reservados todos los derechos. Ninguna parte de esta publicación puede reproducirse por ningún procedimiento sin previa autorización escrita por parte de la UIT.</w:t>
      </w:r>
    </w:p>
    <w:p w14:paraId="73B79B51" w14:textId="77777777" w:rsidR="00B73379" w:rsidRPr="008B7E09" w:rsidRDefault="00B73379" w:rsidP="003374BB">
      <w:pPr>
        <w:pStyle w:val="ResNo"/>
        <w:rPr>
          <w:lang w:val="es-ES"/>
        </w:rPr>
        <w:sectPr w:rsidR="00B73379" w:rsidRPr="008B7E09" w:rsidSect="00DE48B4">
          <w:headerReference w:type="even" r:id="rId14"/>
          <w:footerReference w:type="even" r:id="rId15"/>
          <w:footerReference w:type="default" r:id="rId16"/>
          <w:footnotePr>
            <w:numRestart w:val="eachSect"/>
          </w:footnotePr>
          <w:type w:val="evenPage"/>
          <w:pgSz w:w="11907" w:h="16834" w:code="9"/>
          <w:pgMar w:top="1134" w:right="1134" w:bottom="1134" w:left="1134" w:header="567" w:footer="567" w:gutter="0"/>
          <w:paperSrc w:first="15" w:other="15"/>
          <w:pgNumType w:start="1"/>
          <w:cols w:space="720"/>
        </w:sectPr>
      </w:pPr>
    </w:p>
    <w:p w14:paraId="65CE5AB9" w14:textId="433C710C" w:rsidR="00AA1264" w:rsidRDefault="00347EE0" w:rsidP="00AA1264">
      <w:pPr>
        <w:pStyle w:val="ResNo"/>
        <w:rPr>
          <w:lang w:val="es-ES"/>
        </w:rPr>
      </w:pPr>
      <w:r w:rsidRPr="00DD5D50">
        <w:rPr>
          <w:lang w:val="es-ES"/>
        </w:rPr>
        <w:lastRenderedPageBreak/>
        <w:t>RESOLUCIÓN</w:t>
      </w:r>
      <w:r w:rsidR="00AA1264" w:rsidRPr="00DD5D50">
        <w:rPr>
          <w:lang w:val="es-ES"/>
        </w:rPr>
        <w:t xml:space="preserve"> </w:t>
      </w:r>
      <w:r w:rsidR="00632329">
        <w:rPr>
          <w:rStyle w:val="href"/>
          <w:lang w:val="es-ES"/>
        </w:rPr>
        <w:t>8</w:t>
      </w:r>
      <w:r w:rsidR="00F87DDF">
        <w:rPr>
          <w:rStyle w:val="href"/>
          <w:lang w:val="es-ES"/>
        </w:rPr>
        <w:t>8</w:t>
      </w:r>
      <w:r w:rsidR="00AA1264" w:rsidRPr="00DD5D50">
        <w:rPr>
          <w:lang w:val="es-ES"/>
        </w:rPr>
        <w:t xml:space="preserve"> </w:t>
      </w:r>
      <w:r w:rsidR="00F008B8">
        <w:rPr>
          <w:caps w:val="0"/>
          <w:lang w:val="es-ES"/>
        </w:rPr>
        <w:t>(</w:t>
      </w:r>
      <w:r w:rsidR="00496EA5">
        <w:rPr>
          <w:caps w:val="0"/>
          <w:lang w:val="es-ES"/>
        </w:rPr>
        <w:t>Rev. </w:t>
      </w:r>
      <w:r w:rsidR="00DD5D50" w:rsidRPr="005C2A3C">
        <w:rPr>
          <w:caps w:val="0"/>
          <w:lang w:val="es-ES"/>
        </w:rPr>
        <w:t>Nueva Delhi</w:t>
      </w:r>
      <w:r w:rsidR="00DD5D50" w:rsidRPr="005C2A3C">
        <w:rPr>
          <w:lang w:val="es-ES"/>
        </w:rPr>
        <w:t>, 2024</w:t>
      </w:r>
      <w:r w:rsidR="00DD5D50">
        <w:rPr>
          <w:lang w:val="es-ES"/>
        </w:rPr>
        <w:t>)</w:t>
      </w:r>
    </w:p>
    <w:p w14:paraId="700B8D40" w14:textId="77777777" w:rsidR="00F87DDF" w:rsidRPr="0014777C" w:rsidRDefault="00F87DDF" w:rsidP="00C42673">
      <w:pPr>
        <w:pStyle w:val="Restitle"/>
        <w:rPr>
          <w:lang w:val="es-ES_tradnl"/>
        </w:rPr>
      </w:pPr>
      <w:bookmarkStart w:id="2" w:name="_Toc111990549"/>
      <w:r w:rsidRPr="0014777C">
        <w:rPr>
          <w:lang w:val="es-ES_tradnl"/>
        </w:rPr>
        <w:t>Itinerancia Móvil Internacional</w:t>
      </w:r>
      <w:bookmarkEnd w:id="2"/>
    </w:p>
    <w:p w14:paraId="0636D135" w14:textId="77777777" w:rsidR="00F87DDF" w:rsidRPr="0014777C" w:rsidRDefault="00F87DDF" w:rsidP="00C42673">
      <w:pPr>
        <w:pStyle w:val="Resref"/>
        <w:rPr>
          <w:lang w:val="es-ES_tradnl"/>
        </w:rPr>
      </w:pPr>
      <w:r w:rsidRPr="0014777C">
        <w:rPr>
          <w:lang w:val="es-ES_tradnl"/>
        </w:rPr>
        <w:t>(Hammamet, 2016; Nueva Delhi, 2024)</w:t>
      </w:r>
    </w:p>
    <w:p w14:paraId="00048299" w14:textId="77777777" w:rsidR="00F87DDF" w:rsidRPr="0014777C" w:rsidRDefault="00F87DDF" w:rsidP="00C42673">
      <w:pPr>
        <w:pStyle w:val="Normalaftertitle01"/>
        <w:rPr>
          <w:lang w:val="es-ES_tradnl"/>
        </w:rPr>
      </w:pPr>
      <w:r w:rsidRPr="0014777C">
        <w:rPr>
          <w:lang w:val="es-ES_tradnl"/>
        </w:rPr>
        <w:t>La Asamblea Mundial de Normalización de las Telecomunicaciones (Nueva Delhi, 2024),</w:t>
      </w:r>
    </w:p>
    <w:p w14:paraId="4812DEBB" w14:textId="77777777" w:rsidR="00F87DDF" w:rsidRPr="0014777C" w:rsidRDefault="00F87DDF" w:rsidP="00C42673">
      <w:pPr>
        <w:pStyle w:val="Call"/>
        <w:rPr>
          <w:lang w:val="es-ES_tradnl"/>
        </w:rPr>
      </w:pPr>
      <w:r w:rsidRPr="0014777C">
        <w:rPr>
          <w:lang w:val="es-ES_tradnl"/>
        </w:rPr>
        <w:t>considerando</w:t>
      </w:r>
    </w:p>
    <w:p w14:paraId="16F779CA" w14:textId="77777777" w:rsidR="00F87DDF" w:rsidRPr="0014777C" w:rsidRDefault="00F87DDF" w:rsidP="00C42673">
      <w:pPr>
        <w:rPr>
          <w:lang w:val="es-ES_tradnl"/>
        </w:rPr>
      </w:pPr>
      <w:r w:rsidRPr="0014777C">
        <w:rPr>
          <w:i/>
          <w:iCs/>
          <w:lang w:val="es-ES_tradnl"/>
        </w:rPr>
        <w:t>a)</w:t>
      </w:r>
      <w:r w:rsidRPr="0014777C">
        <w:rPr>
          <w:lang w:val="es-ES_tradnl"/>
        </w:rPr>
        <w:tab/>
        <w:t>los resultados del Taller de Alto Nivel de la UIT sobre itinerancia móvil internacional (IMR) que se celebró en Ginebra el 23 y 24 de septiembre de 2013;</w:t>
      </w:r>
    </w:p>
    <w:p w14:paraId="2F07F128" w14:textId="77777777" w:rsidR="00F87DDF" w:rsidRPr="0014777C" w:rsidRDefault="00F87DDF" w:rsidP="00C42673">
      <w:pPr>
        <w:rPr>
          <w:lang w:val="es-ES_tradnl"/>
        </w:rPr>
      </w:pPr>
      <w:r w:rsidRPr="0014777C">
        <w:rPr>
          <w:i/>
          <w:iCs/>
          <w:lang w:val="es-ES_tradnl"/>
        </w:rPr>
        <w:t>b)</w:t>
      </w:r>
      <w:r w:rsidRPr="0014777C">
        <w:rPr>
          <w:lang w:val="es-ES_tradnl"/>
        </w:rPr>
        <w:tab/>
        <w:t>los resultados del Diálogo Global sobre IMR que se celebró en Ginebra el 18 de septiembre de 2015;</w:t>
      </w:r>
    </w:p>
    <w:p w14:paraId="5EBB5CE7" w14:textId="7423415D" w:rsidR="00F87DDF" w:rsidRPr="0014777C" w:rsidRDefault="00F87DDF" w:rsidP="00C42673">
      <w:pPr>
        <w:rPr>
          <w:lang w:val="es-ES_tradnl"/>
        </w:rPr>
      </w:pPr>
      <w:r w:rsidRPr="0014777C">
        <w:rPr>
          <w:i/>
          <w:iCs/>
          <w:lang w:val="es-ES_tradnl"/>
        </w:rPr>
        <w:t>c)</w:t>
      </w:r>
      <w:r w:rsidRPr="0014777C">
        <w:rPr>
          <w:lang w:val="es-ES_tradnl"/>
        </w:rPr>
        <w:tab/>
        <w:t>que las tareas realizadas en el Sector de Normalización de las Telecomunicaciones de la UIT (UIT</w:t>
      </w:r>
      <w:r>
        <w:rPr>
          <w:lang w:val="es-ES_tradnl"/>
        </w:rPr>
        <w:noBreakHyphen/>
      </w:r>
      <w:r w:rsidRPr="0014777C">
        <w:rPr>
          <w:lang w:val="es-ES_tradnl"/>
        </w:rPr>
        <w:t>T) comprenden las Recomendaciones, evaluación de la conformidad y las cuestiones con repercusiones políticas o reglamentarias;</w:t>
      </w:r>
    </w:p>
    <w:p w14:paraId="54E7EDCC" w14:textId="77777777" w:rsidR="00F87DDF" w:rsidRPr="0014777C" w:rsidRDefault="00F87DDF" w:rsidP="00C42673">
      <w:pPr>
        <w:rPr>
          <w:lang w:val="es-ES_tradnl"/>
        </w:rPr>
      </w:pPr>
      <w:r w:rsidRPr="0014777C">
        <w:rPr>
          <w:i/>
          <w:iCs/>
          <w:lang w:val="es-ES_tradnl"/>
        </w:rPr>
        <w:t>d)</w:t>
      </w:r>
      <w:r w:rsidRPr="0014777C">
        <w:rPr>
          <w:lang w:val="es-ES_tradnl"/>
        </w:rPr>
        <w:tab/>
        <w:t>que la economía depende cada vez más de tecnologías de comunicaciones móviles que sean fiables, rentables, competitivas y asequibles a escala mundial;</w:t>
      </w:r>
    </w:p>
    <w:p w14:paraId="609A89D1" w14:textId="77777777" w:rsidR="00F87DDF" w:rsidRPr="0014777C" w:rsidRDefault="00F87DDF" w:rsidP="00C42673">
      <w:pPr>
        <w:rPr>
          <w:lang w:val="es-ES_tradnl"/>
        </w:rPr>
      </w:pPr>
      <w:r w:rsidRPr="0014777C">
        <w:rPr>
          <w:i/>
          <w:iCs/>
          <w:lang w:val="es-ES_tradnl"/>
        </w:rPr>
        <w:t>e)</w:t>
      </w:r>
      <w:r w:rsidRPr="0014777C">
        <w:rPr>
          <w:lang w:val="es-ES_tradnl"/>
        </w:rPr>
        <w:tab/>
        <w:t>que las tarifas mayoristas de IMR no guardan relación directa con los costos subyacentes, lo que puede afectar las tarifas minoristas, que pueden llegar a ser incoherentes y arbitrarias;</w:t>
      </w:r>
    </w:p>
    <w:p w14:paraId="23A6078C" w14:textId="77777777" w:rsidR="00F87DDF" w:rsidRPr="0014777C" w:rsidRDefault="00F87DDF" w:rsidP="00C42673">
      <w:pPr>
        <w:rPr>
          <w:lang w:val="es-ES_tradnl"/>
        </w:rPr>
      </w:pPr>
      <w:r w:rsidRPr="0014777C">
        <w:rPr>
          <w:i/>
          <w:iCs/>
          <w:lang w:val="es-ES_tradnl"/>
        </w:rPr>
        <w:t>f)</w:t>
      </w:r>
      <w:r w:rsidRPr="0014777C">
        <w:rPr>
          <w:lang w:val="es-ES_tradnl"/>
        </w:rPr>
        <w:tab/>
        <w:t>que no puede existir un mercado internacional competitivo de telecomunicaciones si persisten las diferencias significativas entre los precios nacionales y los precios de la itinerancia móvil internacional;</w:t>
      </w:r>
    </w:p>
    <w:p w14:paraId="337C3990" w14:textId="77777777" w:rsidR="00F87DDF" w:rsidRPr="0014777C" w:rsidRDefault="00F87DDF" w:rsidP="00C42673">
      <w:pPr>
        <w:rPr>
          <w:lang w:val="es-ES_tradnl"/>
        </w:rPr>
      </w:pPr>
      <w:r w:rsidRPr="0014777C">
        <w:rPr>
          <w:i/>
          <w:iCs/>
          <w:lang w:val="es-ES_tradnl"/>
        </w:rPr>
        <w:t>g)</w:t>
      </w:r>
      <w:r w:rsidRPr="0014777C">
        <w:rPr>
          <w:lang w:val="es-ES_tradnl"/>
        </w:rPr>
        <w:tab/>
        <w:t>que existen diferencias de costos entre los países y las regiones;</w:t>
      </w:r>
    </w:p>
    <w:p w14:paraId="3FB90987" w14:textId="77777777" w:rsidR="00F87DDF" w:rsidRPr="0014777C" w:rsidRDefault="00F87DDF" w:rsidP="00C42673">
      <w:pPr>
        <w:rPr>
          <w:lang w:val="es-ES_tradnl"/>
        </w:rPr>
      </w:pPr>
      <w:r w:rsidRPr="0014777C">
        <w:rPr>
          <w:i/>
          <w:iCs/>
          <w:lang w:val="es-ES_tradnl"/>
        </w:rPr>
        <w:t>h)</w:t>
      </w:r>
      <w:r w:rsidRPr="0014777C">
        <w:rPr>
          <w:lang w:val="es-ES_tradnl"/>
        </w:rPr>
        <w:tab/>
        <w:t>que la adopción y utilización de las Telecomunicaciones Móviles Internacionales (IMT) ha crecido de manera exponencial,</w:t>
      </w:r>
    </w:p>
    <w:p w14:paraId="38AF4D12" w14:textId="77777777" w:rsidR="00F87DDF" w:rsidRPr="0014777C" w:rsidRDefault="00F87DDF" w:rsidP="1C7B5B94">
      <w:pPr>
        <w:pStyle w:val="Call"/>
        <w:rPr>
          <w:lang w:val="es-ES"/>
        </w:rPr>
      </w:pPr>
      <w:r w:rsidRPr="1C7B5B94">
        <w:rPr>
          <w:lang w:val="es-ES"/>
        </w:rPr>
        <w:t>considerando además</w:t>
      </w:r>
    </w:p>
    <w:p w14:paraId="382C7AE4" w14:textId="77777777" w:rsidR="00F87DDF" w:rsidRPr="0014777C" w:rsidRDefault="00F87DDF" w:rsidP="1C7B5B94">
      <w:pPr>
        <w:rPr>
          <w:lang w:val="es-ES"/>
        </w:rPr>
      </w:pPr>
      <w:r w:rsidRPr="1C7B5B94">
        <w:rPr>
          <w:i/>
          <w:iCs/>
          <w:lang w:val="es-ES"/>
        </w:rPr>
        <w:t>a)</w:t>
      </w:r>
      <w:r w:rsidRPr="00FC5825">
        <w:rPr>
          <w:lang w:val="es-ES"/>
        </w:rPr>
        <w:tab/>
      </w:r>
      <w:r w:rsidRPr="1C7B5B94">
        <w:rPr>
          <w:lang w:val="es-ES"/>
        </w:rPr>
        <w:t>el fuerte crecimiento de los sistemas IMT y de otras tecnologías, y el papel desempeñado por los acuerdos de itinerancia para Internet de las cosas (IoT) y las comunicaciones máquina a máquina (M2M) a la hora de facilitar dicho desarrollo;</w:t>
      </w:r>
    </w:p>
    <w:p w14:paraId="1D733E05" w14:textId="77777777" w:rsidR="00F87DDF" w:rsidRPr="0014777C" w:rsidRDefault="00F87DDF" w:rsidP="1C7B5B94">
      <w:pPr>
        <w:rPr>
          <w:lang w:val="es-ES"/>
        </w:rPr>
      </w:pPr>
      <w:r w:rsidRPr="1C7B5B94">
        <w:rPr>
          <w:i/>
          <w:iCs/>
          <w:lang w:val="es-ES"/>
        </w:rPr>
        <w:t>b)</w:t>
      </w:r>
      <w:r w:rsidRPr="00FC5825">
        <w:rPr>
          <w:lang w:val="es-ES"/>
        </w:rPr>
        <w:tab/>
      </w:r>
      <w:r w:rsidRPr="1C7B5B94">
        <w:rPr>
          <w:lang w:val="es-ES"/>
        </w:rPr>
        <w:t>el Informe Técnico del UIT-T sobre aspectos de itinerancia de la IoT y la M2M, en el que se destacan las diferencias fundamentales que existen entre los servicios de telecomunicaciones tradicionales y los servicios IoT/M2M, como sus elementos conectados y conexiones, servicios esenciales, ingresos medios por usuario y modelos comerciales;</w:t>
      </w:r>
    </w:p>
    <w:p w14:paraId="691EFA57" w14:textId="77777777" w:rsidR="00F87DDF" w:rsidRPr="0014777C" w:rsidRDefault="00F87DDF" w:rsidP="00C42673">
      <w:pPr>
        <w:rPr>
          <w:lang w:val="es-ES_tradnl"/>
        </w:rPr>
      </w:pPr>
      <w:r w:rsidRPr="0014777C">
        <w:rPr>
          <w:i/>
          <w:iCs/>
          <w:lang w:val="es-ES_tradnl"/>
        </w:rPr>
        <w:t>c)</w:t>
      </w:r>
      <w:r w:rsidRPr="0014777C">
        <w:rPr>
          <w:lang w:val="es-ES_tradnl"/>
        </w:rPr>
        <w:tab/>
        <w:t>el Taller de alto nivel de la UIT sobre IMR, en el que se señaló que, "con respecto a la itinerancia M2M, es importante distinguir la itinerancia M2M de la itinerancia tradicional del consumidor de voz y datos, ya que las cuestiones e implicaciones que se plantean son bastante diferentes y los problemas asociados a los precios de la itinerancia de los consumidores no se materializan",</w:t>
      </w:r>
    </w:p>
    <w:p w14:paraId="6476C21B" w14:textId="77777777" w:rsidR="00F87DDF" w:rsidRPr="0014777C" w:rsidRDefault="00F87DDF" w:rsidP="00C42673">
      <w:pPr>
        <w:overflowPunct/>
        <w:autoSpaceDE/>
        <w:autoSpaceDN/>
        <w:adjustRightInd/>
        <w:spacing w:before="0"/>
        <w:textAlignment w:val="auto"/>
        <w:rPr>
          <w:i/>
          <w:lang w:val="es-ES_tradnl"/>
        </w:rPr>
      </w:pPr>
      <w:r w:rsidRPr="0014777C">
        <w:rPr>
          <w:lang w:val="es-ES_tradnl"/>
        </w:rPr>
        <w:br w:type="page"/>
      </w:r>
    </w:p>
    <w:p w14:paraId="3B01723B" w14:textId="77777777" w:rsidR="00F87DDF" w:rsidRPr="0014777C" w:rsidRDefault="00F87DDF" w:rsidP="00C42673">
      <w:pPr>
        <w:pStyle w:val="Call"/>
        <w:rPr>
          <w:lang w:val="es-ES_tradnl"/>
        </w:rPr>
      </w:pPr>
      <w:r w:rsidRPr="0014777C">
        <w:rPr>
          <w:lang w:val="es-ES_tradnl"/>
        </w:rPr>
        <w:lastRenderedPageBreak/>
        <w:t>observando</w:t>
      </w:r>
    </w:p>
    <w:p w14:paraId="418814E7" w14:textId="77777777" w:rsidR="00F87DDF" w:rsidRPr="0014777C" w:rsidRDefault="00F87DDF" w:rsidP="00C42673">
      <w:pPr>
        <w:rPr>
          <w:lang w:val="es-ES_tradnl"/>
        </w:rPr>
      </w:pPr>
      <w:r w:rsidRPr="0014777C">
        <w:rPr>
          <w:i/>
          <w:iCs/>
          <w:lang w:val="es-ES_tradnl"/>
        </w:rPr>
        <w:t>a)</w:t>
      </w:r>
      <w:r w:rsidRPr="0014777C">
        <w:rPr>
          <w:lang w:val="es-ES_tradnl"/>
        </w:rPr>
        <w:tab/>
        <w:t xml:space="preserve">que la Recomendación </w:t>
      </w:r>
      <w:r>
        <w:rPr>
          <w:lang w:val="es-ES_tradnl"/>
        </w:rPr>
        <w:t xml:space="preserve">UIT-T </w:t>
      </w:r>
      <w:r w:rsidRPr="0014777C">
        <w:rPr>
          <w:lang w:val="es-ES_tradnl"/>
        </w:rPr>
        <w:t>D.98 es un acuerdo concertado entre los Estados Miembros y los Miembros de Sector en 2012;</w:t>
      </w:r>
    </w:p>
    <w:p w14:paraId="1C96C919" w14:textId="77777777" w:rsidR="00F87DDF" w:rsidRPr="0014777C" w:rsidRDefault="00F87DDF" w:rsidP="00C42673">
      <w:pPr>
        <w:rPr>
          <w:lang w:val="es-ES_tradnl"/>
        </w:rPr>
      </w:pPr>
      <w:r w:rsidRPr="0014777C">
        <w:rPr>
          <w:i/>
          <w:iCs/>
          <w:lang w:val="es-ES_tradnl"/>
        </w:rPr>
        <w:t>b)</w:t>
      </w:r>
      <w:r w:rsidRPr="0014777C">
        <w:rPr>
          <w:lang w:val="es-ES_tradnl"/>
        </w:rPr>
        <w:tab/>
        <w:t>que en la Recomendación</w:t>
      </w:r>
      <w:r>
        <w:rPr>
          <w:lang w:val="es-ES_tradnl"/>
        </w:rPr>
        <w:t xml:space="preserve"> UIT-T </w:t>
      </w:r>
      <w:r w:rsidRPr="0014777C">
        <w:rPr>
          <w:lang w:val="es-ES_tradnl"/>
        </w:rPr>
        <w:t>D.97 se proponen posibles enfoques para reducir las tarifas de itinerancia excesivas, habida cuenta de la necesidad de fomentar la competencia en el mercado de itinerancia, de informar a los consumidores y de considerar la posibilidad de tomar medidas reglamentarias adecuadas como la introducción de límites a las tarifas de itinerancia,</w:t>
      </w:r>
    </w:p>
    <w:p w14:paraId="5FAD7C20" w14:textId="77777777" w:rsidR="00F87DDF" w:rsidRPr="0014777C" w:rsidRDefault="00F87DDF" w:rsidP="1C7B5B94">
      <w:pPr>
        <w:pStyle w:val="Call"/>
        <w:rPr>
          <w:lang w:val="es-ES"/>
        </w:rPr>
      </w:pPr>
      <w:r w:rsidRPr="1C7B5B94">
        <w:rPr>
          <w:lang w:val="es-ES"/>
        </w:rPr>
        <w:t>observando además</w:t>
      </w:r>
    </w:p>
    <w:p w14:paraId="1D7FD2BC" w14:textId="77777777" w:rsidR="00F87DDF" w:rsidRPr="0014777C" w:rsidRDefault="00F87DDF" w:rsidP="1C7B5B94">
      <w:pPr>
        <w:rPr>
          <w:i/>
          <w:iCs/>
          <w:lang w:val="es-ES"/>
        </w:rPr>
      </w:pPr>
      <w:r w:rsidRPr="1C7B5B94">
        <w:rPr>
          <w:i/>
          <w:iCs/>
          <w:lang w:val="es-ES"/>
        </w:rPr>
        <w:t>a)</w:t>
      </w:r>
      <w:r w:rsidRPr="00FC5825">
        <w:rPr>
          <w:lang w:val="es-ES"/>
        </w:rPr>
        <w:tab/>
      </w:r>
      <w:r w:rsidRPr="1C7B5B94">
        <w:rPr>
          <w:lang w:val="es-ES"/>
        </w:rPr>
        <w:t>los trabajos que realiza la Comisión de Estudio 3 sobre aspectos de itinerancia de la IoT y la M2M;</w:t>
      </w:r>
    </w:p>
    <w:p w14:paraId="4BC43A7B" w14:textId="77777777" w:rsidR="00F87DDF" w:rsidRPr="0014777C" w:rsidRDefault="00F87DDF" w:rsidP="1C7B5B94">
      <w:pPr>
        <w:rPr>
          <w:lang w:val="es-ES"/>
        </w:rPr>
      </w:pPr>
      <w:r w:rsidRPr="1C7B5B94">
        <w:rPr>
          <w:i/>
          <w:iCs/>
          <w:lang w:val="es-ES"/>
        </w:rPr>
        <w:t>b)</w:t>
      </w:r>
      <w:r w:rsidRPr="00FC5825">
        <w:rPr>
          <w:lang w:val="es-ES"/>
        </w:rPr>
        <w:tab/>
      </w:r>
      <w:r w:rsidRPr="1C7B5B94">
        <w:rPr>
          <w:lang w:val="es-ES"/>
        </w:rPr>
        <w:t>la existencia de toda una serie de acuerdos comerciales y otros mecanismos que soportan el despliegue de servicios IoT/M2M satisfactoriamente en todo el mundo,</w:t>
      </w:r>
    </w:p>
    <w:p w14:paraId="420465C3" w14:textId="77777777" w:rsidR="00F87DDF" w:rsidRPr="0014777C" w:rsidRDefault="00F87DDF" w:rsidP="00C42673">
      <w:pPr>
        <w:pStyle w:val="Call"/>
        <w:rPr>
          <w:lang w:val="es-ES_tradnl"/>
        </w:rPr>
      </w:pPr>
      <w:r w:rsidRPr="0014777C">
        <w:rPr>
          <w:lang w:val="es-ES_tradnl"/>
        </w:rPr>
        <w:t>resuelve</w:t>
      </w:r>
    </w:p>
    <w:p w14:paraId="3DC0C4F4" w14:textId="77777777" w:rsidR="00F87DDF" w:rsidRPr="0014777C" w:rsidRDefault="00F87DDF" w:rsidP="00C42673">
      <w:pPr>
        <w:rPr>
          <w:rFonts w:eastAsia="MS Mincho"/>
          <w:lang w:val="es-ES_tradnl"/>
        </w:rPr>
      </w:pPr>
      <w:r w:rsidRPr="0014777C">
        <w:rPr>
          <w:rFonts w:eastAsia="MS Mincho"/>
          <w:lang w:val="es-ES_tradnl"/>
        </w:rPr>
        <w:t>1</w:t>
      </w:r>
      <w:r w:rsidRPr="0014777C">
        <w:rPr>
          <w:rFonts w:eastAsia="MS Mincho"/>
          <w:lang w:val="es-ES_tradnl"/>
        </w:rPr>
        <w:tab/>
        <w:t>que la Comisión de Estudio 3 del UIT-T siga estudiando las repercusiones económicas de las tarifas de la IMR, incluidos los principios y metodologías para facilitar la conclusión de acuerdos de IMR justos y razonables;</w:t>
      </w:r>
    </w:p>
    <w:p w14:paraId="275099B0" w14:textId="77777777" w:rsidR="00F87DDF" w:rsidRPr="0014777C" w:rsidRDefault="00F87DDF" w:rsidP="1C7B5B94">
      <w:pPr>
        <w:rPr>
          <w:lang w:val="es-ES"/>
        </w:rPr>
      </w:pPr>
      <w:r w:rsidRPr="1C7B5B94">
        <w:rPr>
          <w:lang w:val="es-ES"/>
        </w:rPr>
        <w:t>2</w:t>
      </w:r>
      <w:r w:rsidRPr="00FC5825">
        <w:rPr>
          <w:lang w:val="es-ES"/>
        </w:rPr>
        <w:tab/>
      </w:r>
      <w:r w:rsidRPr="1C7B5B94">
        <w:rPr>
          <w:lang w:val="es-ES"/>
        </w:rPr>
        <w:t>que la Comisión de Estudio 3 del UIT-T siga estudiando los aspectos de itinerancia de los servicios IoT/M2M,</w:t>
      </w:r>
    </w:p>
    <w:p w14:paraId="5A24AEA2" w14:textId="77777777" w:rsidR="00F87DDF" w:rsidRPr="0014777C" w:rsidRDefault="00F87DDF" w:rsidP="1C7B5B94">
      <w:pPr>
        <w:pStyle w:val="Call"/>
        <w:rPr>
          <w:lang w:val="es-ES"/>
        </w:rPr>
      </w:pPr>
      <w:r w:rsidRPr="1C7B5B94">
        <w:rPr>
          <w:lang w:val="es-ES"/>
        </w:rPr>
        <w:t xml:space="preserve">encarga al Director de la Oficina de Normalización de las Telecomunicaciones </w:t>
      </w:r>
    </w:p>
    <w:p w14:paraId="4C4C5172" w14:textId="77777777" w:rsidR="00F87DDF" w:rsidRPr="0014777C" w:rsidRDefault="00F87DDF" w:rsidP="1C7B5B94">
      <w:pPr>
        <w:rPr>
          <w:lang w:val="es-ES"/>
        </w:rPr>
      </w:pPr>
      <w:r w:rsidRPr="1C7B5B94">
        <w:rPr>
          <w:lang w:val="es-ES"/>
        </w:rPr>
        <w:t>1</w:t>
      </w:r>
      <w:r w:rsidRPr="00FC5825">
        <w:rPr>
          <w:lang w:val="es-ES"/>
        </w:rPr>
        <w:tab/>
      </w:r>
      <w:r w:rsidRPr="1C7B5B94">
        <w:rPr>
          <w:lang w:val="es-ES"/>
        </w:rPr>
        <w:t>que, en colaboración con el Director de la Oficina de Desarrollo de las Telecomunicaciones, organice iniciativas para sensibilizar sobre los beneficios para el consumidor de bajar las tarifas de itinerancia móvil internacional;</w:t>
      </w:r>
    </w:p>
    <w:p w14:paraId="26DD5F07" w14:textId="77777777" w:rsidR="00F87DDF" w:rsidRPr="0014777C" w:rsidRDefault="00F87DDF" w:rsidP="00C42673">
      <w:pPr>
        <w:rPr>
          <w:lang w:val="es-ES_tradnl"/>
        </w:rPr>
      </w:pPr>
      <w:r w:rsidRPr="0014777C">
        <w:rPr>
          <w:lang w:val="es-ES_tradnl"/>
        </w:rPr>
        <w:t>2</w:t>
      </w:r>
      <w:r w:rsidRPr="0014777C">
        <w:rPr>
          <w:lang w:val="es-ES_tradnl"/>
        </w:rPr>
        <w:tab/>
        <w:t>que proponga enfoques cooperativos para fomentar la aplicación de las Recomendaciones </w:t>
      </w:r>
      <w:r>
        <w:rPr>
          <w:lang w:val="es-ES_tradnl"/>
        </w:rPr>
        <w:t xml:space="preserve">UIT-T </w:t>
      </w:r>
      <w:r w:rsidRPr="0014777C">
        <w:rPr>
          <w:lang w:val="es-ES_tradnl"/>
        </w:rPr>
        <w:t xml:space="preserve">D.98 y </w:t>
      </w:r>
      <w:r>
        <w:rPr>
          <w:lang w:val="es-ES_tradnl"/>
        </w:rPr>
        <w:t xml:space="preserve">UIT-T </w:t>
      </w:r>
      <w:r w:rsidRPr="0014777C">
        <w:rPr>
          <w:lang w:val="es-ES_tradnl"/>
        </w:rPr>
        <w:t>D.97, y reducir las tarifas de itinerancia móvil internacional entre los Estados Miembros mediante la promoción de programas de capacitación, talleres y directrices relativas a los convenios de cooperación internacional,</w:t>
      </w:r>
    </w:p>
    <w:p w14:paraId="15935681" w14:textId="77777777" w:rsidR="00F87DDF" w:rsidRPr="0014777C" w:rsidRDefault="00F87DDF" w:rsidP="00C42673">
      <w:pPr>
        <w:pStyle w:val="Call"/>
        <w:rPr>
          <w:lang w:val="es-ES_tradnl"/>
        </w:rPr>
      </w:pPr>
      <w:r w:rsidRPr="0014777C">
        <w:rPr>
          <w:lang w:val="es-ES_tradnl"/>
        </w:rPr>
        <w:t>invita a los Estados Miembros</w:t>
      </w:r>
    </w:p>
    <w:p w14:paraId="506A46DD" w14:textId="77777777" w:rsidR="00F87DDF" w:rsidRPr="0014777C" w:rsidRDefault="00F87DDF" w:rsidP="00C42673">
      <w:pPr>
        <w:rPr>
          <w:lang w:val="es-ES_tradnl"/>
        </w:rPr>
      </w:pPr>
      <w:r w:rsidRPr="0014777C">
        <w:rPr>
          <w:lang w:val="es-ES_tradnl"/>
        </w:rPr>
        <w:t>1</w:t>
      </w:r>
      <w:r w:rsidRPr="0014777C">
        <w:rPr>
          <w:lang w:val="es-ES_tradnl"/>
        </w:rPr>
        <w:tab/>
        <w:t>a tomar medidas para la aplicación de las Recomendaciones UIT-T D.98 y UIT-T D.97;</w:t>
      </w:r>
    </w:p>
    <w:p w14:paraId="182D6860" w14:textId="77777777" w:rsidR="00F87DDF" w:rsidRPr="0014777C" w:rsidRDefault="00F87DDF" w:rsidP="00C42673">
      <w:pPr>
        <w:rPr>
          <w:lang w:val="es-ES_tradnl"/>
        </w:rPr>
      </w:pPr>
      <w:r w:rsidRPr="0014777C">
        <w:rPr>
          <w:lang w:val="es-ES_tradnl"/>
        </w:rPr>
        <w:t>2</w:t>
      </w:r>
      <w:r w:rsidRPr="0014777C">
        <w:rPr>
          <w:lang w:val="es-ES_tradnl"/>
        </w:rPr>
        <w:tab/>
        <w:t>a colaborar en los esfuerzos para reducir las tarifas de itinerancia móvil internacional tomando medidas reglamentarias, si procede.</w:t>
      </w:r>
    </w:p>
    <w:p w14:paraId="2109E76B" w14:textId="77777777" w:rsidR="00F87DDF" w:rsidRPr="00AD1A1A" w:rsidRDefault="00F87DDF" w:rsidP="00F87DDF">
      <w:pPr>
        <w:rPr>
          <w:lang w:val="es-ES"/>
        </w:rPr>
      </w:pPr>
    </w:p>
    <w:p w14:paraId="4ABCE0AE" w14:textId="77777777" w:rsidR="0078706B" w:rsidRDefault="0078706B" w:rsidP="00F87DDF">
      <w:pPr>
        <w:rPr>
          <w:lang w:val="es-ES_tradnl"/>
        </w:rPr>
      </w:pPr>
    </w:p>
    <w:p w14:paraId="70CB87AC" w14:textId="77777777" w:rsidR="0078706B" w:rsidRDefault="0078706B" w:rsidP="00F87DDF">
      <w:pPr>
        <w:rPr>
          <w:lang w:val="es-ES_tradnl"/>
        </w:rPr>
      </w:pPr>
    </w:p>
    <w:p w14:paraId="25B82787" w14:textId="77777777" w:rsidR="00F87DDF" w:rsidRDefault="00F87DDF" w:rsidP="00F87DDF">
      <w:pPr>
        <w:rPr>
          <w:lang w:val="es-ES_tradnl"/>
        </w:rPr>
      </w:pPr>
    </w:p>
    <w:p w14:paraId="3E236E41" w14:textId="77777777" w:rsidR="0078706B" w:rsidRDefault="0078706B" w:rsidP="00F87DDF">
      <w:pPr>
        <w:rPr>
          <w:lang w:val="es-ES_tradnl"/>
        </w:rPr>
      </w:pPr>
    </w:p>
    <w:p w14:paraId="06F597CA" w14:textId="77777777" w:rsidR="0078706B" w:rsidRDefault="0078706B" w:rsidP="00F87DDF">
      <w:pPr>
        <w:rPr>
          <w:lang w:val="es-ES_tradnl"/>
        </w:rPr>
      </w:pPr>
    </w:p>
    <w:p w14:paraId="15E583AB" w14:textId="77777777" w:rsidR="0078706B" w:rsidRPr="00B87CDD" w:rsidRDefault="0078706B" w:rsidP="00F87DDF">
      <w:pPr>
        <w:rPr>
          <w:lang w:val="es-ES_tradnl"/>
        </w:rPr>
      </w:pPr>
    </w:p>
    <w:p w14:paraId="42DE0EC8" w14:textId="77777777" w:rsidR="0078706B" w:rsidRPr="0014777C" w:rsidRDefault="0078706B" w:rsidP="00F87DDF">
      <w:pPr>
        <w:rPr>
          <w:lang w:val="es-ES_tradnl"/>
        </w:rPr>
      </w:pPr>
    </w:p>
    <w:sectPr w:rsidR="0078706B" w:rsidRPr="0014777C" w:rsidSect="0072674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Sect"/>
      </w:footnotePr>
      <w:pgSz w:w="11907" w:h="16834" w:code="9"/>
      <w:pgMar w:top="1134" w:right="1134" w:bottom="1134" w:left="1134" w:header="567" w:footer="567" w:gutter="0"/>
      <w:paperSrc w:first="15" w:other="15"/>
      <w:pgNumType w:start="1"/>
      <w:cols w:space="720"/>
      <w:vAlign w:val="both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8562D" w14:textId="77777777" w:rsidR="00AC4BB8" w:rsidRDefault="00AC4BB8">
      <w:r>
        <w:separator/>
      </w:r>
    </w:p>
  </w:endnote>
  <w:endnote w:type="continuationSeparator" w:id="0">
    <w:p w14:paraId="0DE9726D" w14:textId="77777777" w:rsidR="00AC4BB8" w:rsidRDefault="00AC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A8C0A" w14:textId="77777777" w:rsidR="002F6393" w:rsidRDefault="002F63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0E5D5" w14:textId="77777777" w:rsidR="002F6393" w:rsidRDefault="002F63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E8F78" w14:textId="77777777" w:rsidR="002F6393" w:rsidRDefault="002F639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54EDF" w14:textId="77777777" w:rsidR="000D3CE4" w:rsidRPr="00DE48B4" w:rsidRDefault="000D3CE4" w:rsidP="00DE48B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05C13" w14:textId="77777777" w:rsidR="000D3CE4" w:rsidRPr="008968B6" w:rsidRDefault="000D3CE4" w:rsidP="008968B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BAB00" w14:textId="6B31C855" w:rsidR="00C72AF4" w:rsidRPr="00D50046" w:rsidRDefault="00700AE2" w:rsidP="00B150A9">
    <w:pPr>
      <w:pStyle w:val="FooterQP"/>
      <w:tabs>
        <w:tab w:val="clear" w:pos="907"/>
        <w:tab w:val="left" w:pos="851"/>
      </w:tabs>
      <w:rPr>
        <w:lang w:val="en-US"/>
      </w:rPr>
    </w:pPr>
    <w:r>
      <w:rPr>
        <w:b w:val="0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</w:rPr>
      <w:fldChar w:fldCharType="separate"/>
    </w:r>
    <w:r>
      <w:rPr>
        <w:b w:val="0"/>
      </w:rPr>
      <w:t>2</w:t>
    </w:r>
    <w:r>
      <w:rPr>
        <w:b w:val="0"/>
      </w:rPr>
      <w:fldChar w:fldCharType="end"/>
    </w:r>
    <w:r>
      <w:rPr>
        <w:lang w:val="en-US"/>
      </w:rPr>
      <w:tab/>
      <w:t xml:space="preserve">AMNT-24 – Resolución </w:t>
    </w:r>
    <w:r w:rsidR="00D50046">
      <w:fldChar w:fldCharType="begin"/>
    </w:r>
    <w:r w:rsidR="00D50046">
      <w:rPr>
        <w:lang w:val="en-US"/>
      </w:rPr>
      <w:instrText>styleref href</w:instrText>
    </w:r>
    <w:r w:rsidR="00D50046">
      <w:fldChar w:fldCharType="separate"/>
    </w:r>
    <w:r w:rsidR="006E5C46">
      <w:rPr>
        <w:noProof/>
        <w:lang w:val="en-US"/>
      </w:rPr>
      <w:t>88</w:t>
    </w:r>
    <w:r w:rsidR="00D50046"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543F9" w14:textId="4C7C780C" w:rsidR="00AA1264" w:rsidRPr="00D50046" w:rsidRDefault="00D50046" w:rsidP="00D50046">
    <w:pPr>
      <w:pStyle w:val="FooterQP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="002F6393">
      <w:rPr>
        <w:lang w:val="en-US"/>
      </w:rPr>
      <w:t xml:space="preserve">AMNT-24 – Resolución </w:t>
    </w:r>
    <w:r>
      <w:fldChar w:fldCharType="begin"/>
    </w:r>
    <w:r>
      <w:rPr>
        <w:lang w:val="en-US"/>
      </w:rPr>
      <w:instrText>styleref href</w:instrText>
    </w:r>
    <w:r>
      <w:fldChar w:fldCharType="separate"/>
    </w:r>
    <w:r w:rsidR="006E5C46">
      <w:rPr>
        <w:noProof/>
        <w:lang w:val="en-US"/>
      </w:rPr>
      <w:t>88</w:t>
    </w:r>
    <w:r>
      <w:fldChar w:fldCharType="end"/>
    </w:r>
    <w:r>
      <w:tab/>
    </w:r>
    <w:r w:rsidRPr="00B73379">
      <w:rPr>
        <w:b w:val="0"/>
        <w:bCs/>
      </w:rPr>
      <w:fldChar w:fldCharType="begin"/>
    </w:r>
    <w:r w:rsidRPr="00B73379">
      <w:rPr>
        <w:b w:val="0"/>
        <w:bCs/>
        <w:lang w:val="en-US"/>
      </w:rPr>
      <w:instrText xml:space="preserve"> PAGE  \* MERGEFORMAT </w:instrText>
    </w:r>
    <w:r w:rsidRPr="00B73379">
      <w:rPr>
        <w:b w:val="0"/>
        <w:bCs/>
      </w:rPr>
      <w:fldChar w:fldCharType="separate"/>
    </w:r>
    <w:r w:rsidR="00EA12A2">
      <w:rPr>
        <w:b w:val="0"/>
        <w:bCs/>
        <w:noProof/>
        <w:lang w:val="en-US"/>
      </w:rPr>
      <w:t>25</w:t>
    </w:r>
    <w:r w:rsidRPr="00B73379">
      <w:rPr>
        <w:b w:val="0"/>
        <w:bCs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6C6A4" w14:textId="7EA5BD4E" w:rsidR="00A4766C" w:rsidRPr="00A4766C" w:rsidRDefault="00A4766C" w:rsidP="00D50046">
    <w:pPr>
      <w:pStyle w:val="FooterQP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="002A37D9">
      <w:rPr>
        <w:lang w:val="en-US"/>
      </w:rPr>
      <w:t>AMNT</w:t>
    </w:r>
    <w:r>
      <w:rPr>
        <w:lang w:val="en-US"/>
      </w:rPr>
      <w:t>-</w:t>
    </w:r>
    <w:r w:rsidR="00FE715C">
      <w:rPr>
        <w:lang w:val="en-US"/>
      </w:rPr>
      <w:t>2</w:t>
    </w:r>
    <w:r w:rsidR="00EA2A26">
      <w:rPr>
        <w:lang w:val="en-US"/>
      </w:rPr>
      <w:t>4</w:t>
    </w:r>
    <w:r>
      <w:rPr>
        <w:lang w:val="en-US"/>
      </w:rPr>
      <w:t xml:space="preserve"> – </w:t>
    </w:r>
    <w:r w:rsidR="00347EE0">
      <w:rPr>
        <w:lang w:val="en-US"/>
      </w:rPr>
      <w:t>Resolución</w:t>
    </w:r>
    <w:r>
      <w:rPr>
        <w:lang w:val="en-US"/>
      </w:rPr>
      <w:t xml:space="preserve"> </w:t>
    </w:r>
    <w:r>
      <w:fldChar w:fldCharType="begin"/>
    </w:r>
    <w:r>
      <w:rPr>
        <w:lang w:val="en-US"/>
      </w:rPr>
      <w:instrText>styleref href</w:instrText>
    </w:r>
    <w:r>
      <w:fldChar w:fldCharType="separate"/>
    </w:r>
    <w:r w:rsidR="006E5C46">
      <w:rPr>
        <w:noProof/>
        <w:lang w:val="en-US"/>
      </w:rPr>
      <w:t>88</w:t>
    </w:r>
    <w:r>
      <w:fldChar w:fldCharType="end"/>
    </w:r>
    <w:r>
      <w:tab/>
    </w:r>
    <w:r w:rsidRPr="00B73379">
      <w:rPr>
        <w:b w:val="0"/>
        <w:bCs/>
      </w:rPr>
      <w:fldChar w:fldCharType="begin"/>
    </w:r>
    <w:r w:rsidRPr="00B73379">
      <w:rPr>
        <w:b w:val="0"/>
        <w:bCs/>
        <w:lang w:val="en-US"/>
      </w:rPr>
      <w:instrText xml:space="preserve"> PAGE  \* MERGEFORMAT </w:instrText>
    </w:r>
    <w:r w:rsidRPr="00B73379">
      <w:rPr>
        <w:b w:val="0"/>
        <w:bCs/>
      </w:rPr>
      <w:fldChar w:fldCharType="separate"/>
    </w:r>
    <w:r w:rsidR="00EA12A2">
      <w:rPr>
        <w:b w:val="0"/>
        <w:bCs/>
        <w:noProof/>
        <w:lang w:val="en-US"/>
      </w:rPr>
      <w:t>15</w:t>
    </w:r>
    <w:r w:rsidRPr="00B73379">
      <w:rPr>
        <w:b w:val="0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591F0" w14:textId="77777777" w:rsidR="00AC4BB8" w:rsidRDefault="00AC4BB8">
      <w:r>
        <w:t>____________________</w:t>
      </w:r>
    </w:p>
  </w:footnote>
  <w:footnote w:type="continuationSeparator" w:id="0">
    <w:p w14:paraId="109843B8" w14:textId="77777777" w:rsidR="00AC4BB8" w:rsidRDefault="00AC4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10BE2" w14:textId="77777777" w:rsidR="00EA2A26" w:rsidRDefault="00EA2A26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6D224" w14:textId="77777777" w:rsidR="00EA2A26" w:rsidRDefault="00EA2A26" w:rsidP="00CE6FBD">
    <w:pPr>
      <w:pStyle w:val="Header"/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123FF" w14:textId="77777777" w:rsidR="002F6393" w:rsidRDefault="002F639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2A584" w14:textId="77777777" w:rsidR="00A65D98" w:rsidRDefault="00A65D98">
    <w:pPr>
      <w:pStyle w:val="Header"/>
      <w:ind w:right="360"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F2D71" w14:textId="77777777" w:rsidR="00C72AF4" w:rsidRDefault="00C72AF4">
    <w:pPr>
      <w:pStyle w:val="Header"/>
      <w:ind w:right="360" w:firstLine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CFEDD" w14:textId="77777777" w:rsidR="00AA1264" w:rsidRPr="00AA1264" w:rsidRDefault="00AA1264" w:rsidP="00AA126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4BC5B" w14:textId="77777777" w:rsidR="00A4766C" w:rsidRDefault="00A47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3771CF"/>
    <w:multiLevelType w:val="hybridMultilevel"/>
    <w:tmpl w:val="A6E2B150"/>
    <w:lvl w:ilvl="0" w:tplc="13AC265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AD64F5"/>
    <w:multiLevelType w:val="hybridMultilevel"/>
    <w:tmpl w:val="FB7ECF2E"/>
    <w:lvl w:ilvl="0" w:tplc="04090017">
      <w:start w:val="1"/>
      <w:numFmt w:val="lowerLetter"/>
      <w:lvlText w:val="%1)"/>
      <w:lvlJc w:val="left"/>
      <w:pPr>
        <w:tabs>
          <w:tab w:val="num" w:pos="1514"/>
        </w:tabs>
        <w:ind w:left="1514" w:hanging="360"/>
      </w:pPr>
    </w:lvl>
    <w:lvl w:ilvl="1" w:tplc="945E817E">
      <w:start w:val="3"/>
      <w:numFmt w:val="bullet"/>
      <w:lvlText w:val="-"/>
      <w:lvlJc w:val="left"/>
      <w:pPr>
        <w:tabs>
          <w:tab w:val="num" w:pos="2339"/>
        </w:tabs>
        <w:ind w:left="2339" w:hanging="465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6" w15:restartNumberingAfterBreak="0">
    <w:nsid w:val="04C10297"/>
    <w:multiLevelType w:val="hybridMultilevel"/>
    <w:tmpl w:val="C9E84DA2"/>
    <w:lvl w:ilvl="0" w:tplc="B9C2E4B0">
      <w:start w:val="3"/>
      <w:numFmt w:val="lowerRoman"/>
      <w:lvlText w:val="%1)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94"/>
        </w:tabs>
        <w:ind w:left="1594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4"/>
        </w:tabs>
        <w:ind w:left="1994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4"/>
        </w:tabs>
        <w:ind w:left="2394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94"/>
        </w:tabs>
        <w:ind w:left="2794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4"/>
        </w:tabs>
        <w:ind w:left="3194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94"/>
        </w:tabs>
        <w:ind w:left="3994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4"/>
        </w:tabs>
        <w:ind w:left="4394" w:hanging="400"/>
      </w:pPr>
    </w:lvl>
  </w:abstractNum>
  <w:abstractNum w:abstractNumId="7" w15:restartNumberingAfterBreak="0">
    <w:nsid w:val="06D13142"/>
    <w:multiLevelType w:val="multilevel"/>
    <w:tmpl w:val="FC805C12"/>
    <w:lvl w:ilvl="0">
      <w:start w:val="3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6DB3661"/>
    <w:multiLevelType w:val="hybridMultilevel"/>
    <w:tmpl w:val="18B06554"/>
    <w:lvl w:ilvl="0" w:tplc="C728CD9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0C0E3449"/>
    <w:multiLevelType w:val="hybridMultilevel"/>
    <w:tmpl w:val="12049A1A"/>
    <w:lvl w:ilvl="0" w:tplc="32400C44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137C3191"/>
    <w:multiLevelType w:val="multilevel"/>
    <w:tmpl w:val="3426EF6A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10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7E552A1"/>
    <w:multiLevelType w:val="hybridMultilevel"/>
    <w:tmpl w:val="9C3ACEEA"/>
    <w:lvl w:ilvl="0" w:tplc="3C3C5DB6">
      <w:start w:val="3"/>
      <w:numFmt w:val="lowerLetter"/>
      <w:lvlText w:val="%1)"/>
      <w:lvlJc w:val="left"/>
      <w:pPr>
        <w:tabs>
          <w:tab w:val="num" w:pos="1155"/>
        </w:tabs>
        <w:ind w:left="1155" w:hanging="79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DB2326"/>
    <w:multiLevelType w:val="hybridMultilevel"/>
    <w:tmpl w:val="2A5A2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63433"/>
    <w:multiLevelType w:val="hybridMultilevel"/>
    <w:tmpl w:val="542460AA"/>
    <w:lvl w:ilvl="0" w:tplc="5756D91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0C7644E"/>
    <w:multiLevelType w:val="hybridMultilevel"/>
    <w:tmpl w:val="5D2016D4"/>
    <w:lvl w:ilvl="0" w:tplc="18C6A21C">
      <w:start w:val="1"/>
      <w:numFmt w:val="lowerLetter"/>
      <w:lvlText w:val="%1)"/>
      <w:lvlJc w:val="left"/>
      <w:pPr>
        <w:ind w:left="360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8073DB"/>
    <w:multiLevelType w:val="hybridMultilevel"/>
    <w:tmpl w:val="B7F4B8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4B2CB9"/>
    <w:multiLevelType w:val="multilevel"/>
    <w:tmpl w:val="705E47D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0A75D95"/>
    <w:multiLevelType w:val="hybridMultilevel"/>
    <w:tmpl w:val="03CCFCEA"/>
    <w:lvl w:ilvl="0" w:tplc="F1829A40">
      <w:start w:val="1"/>
      <w:numFmt w:val="lowerLetter"/>
      <w:lvlText w:val="%1)"/>
      <w:lvlJc w:val="left"/>
      <w:pPr>
        <w:ind w:left="720" w:hanging="72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580ADD"/>
    <w:multiLevelType w:val="hybridMultilevel"/>
    <w:tmpl w:val="57D874FA"/>
    <w:lvl w:ilvl="0" w:tplc="D16005EA">
      <w:start w:val="3"/>
      <w:numFmt w:val="lowerRoman"/>
      <w:lvlText w:val="%1)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9" w15:restartNumberingAfterBreak="0">
    <w:nsid w:val="559F0960"/>
    <w:multiLevelType w:val="hybridMultilevel"/>
    <w:tmpl w:val="C52E18BE"/>
    <w:lvl w:ilvl="0" w:tplc="0B066290">
      <w:start w:val="1"/>
      <w:numFmt w:val="lowerLetter"/>
      <w:lvlText w:val="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0A955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037678"/>
    <w:multiLevelType w:val="hybridMultilevel"/>
    <w:tmpl w:val="36B05B1C"/>
    <w:lvl w:ilvl="0" w:tplc="4D02BE8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8CB65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 Bold" w:eastAsia="Times New Roman" w:hAnsi="Times New Roman Bold"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BF6C09"/>
    <w:multiLevelType w:val="hybridMultilevel"/>
    <w:tmpl w:val="94225D8E"/>
    <w:lvl w:ilvl="0" w:tplc="92D22FAA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1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F5726E"/>
    <w:multiLevelType w:val="multilevel"/>
    <w:tmpl w:val="4BDC83F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10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D496900"/>
    <w:multiLevelType w:val="hybridMultilevel"/>
    <w:tmpl w:val="D528DF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3C4DA6"/>
    <w:multiLevelType w:val="hybridMultilevel"/>
    <w:tmpl w:val="AA5C218A"/>
    <w:lvl w:ilvl="0" w:tplc="04090017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</w:lvl>
    <w:lvl w:ilvl="1" w:tplc="48DA20EE">
      <w:start w:val="1"/>
      <w:numFmt w:val="decimal"/>
      <w:lvlText w:val="%2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2" w:tplc="1B001E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6A26EA"/>
    <w:multiLevelType w:val="hybridMultilevel"/>
    <w:tmpl w:val="4A180894"/>
    <w:lvl w:ilvl="0" w:tplc="04090017">
      <w:start w:val="1"/>
      <w:numFmt w:val="lowerLetter"/>
      <w:lvlText w:val="%1)"/>
      <w:lvlJc w:val="left"/>
      <w:pPr>
        <w:tabs>
          <w:tab w:val="num" w:pos="1514"/>
        </w:tabs>
        <w:ind w:left="15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34"/>
        </w:tabs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26" w15:restartNumberingAfterBreak="0">
    <w:nsid w:val="7AF43A61"/>
    <w:multiLevelType w:val="hybridMultilevel"/>
    <w:tmpl w:val="B890094C"/>
    <w:lvl w:ilvl="0" w:tplc="0C78C4B4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10BA4"/>
    <w:multiLevelType w:val="hybridMultilevel"/>
    <w:tmpl w:val="4AA87EB8"/>
    <w:lvl w:ilvl="0" w:tplc="27E61176">
      <w:start w:val="1"/>
      <w:numFmt w:val="lowerLetter"/>
      <w:lvlText w:val="%1)"/>
      <w:lvlJc w:val="left"/>
      <w:pPr>
        <w:tabs>
          <w:tab w:val="num" w:pos="795"/>
        </w:tabs>
        <w:ind w:left="795" w:hanging="79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D450147"/>
    <w:multiLevelType w:val="hybridMultilevel"/>
    <w:tmpl w:val="166A2A8E"/>
    <w:lvl w:ilvl="0" w:tplc="1FF8DF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508400534">
    <w:abstractNumId w:val="28"/>
  </w:num>
  <w:num w:numId="2" w16cid:durableId="1539005737">
    <w:abstractNumId w:val="13"/>
  </w:num>
  <w:num w:numId="3" w16cid:durableId="139750628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2763375">
    <w:abstractNumId w:val="18"/>
  </w:num>
  <w:num w:numId="5" w16cid:durableId="769550680">
    <w:abstractNumId w:val="20"/>
  </w:num>
  <w:num w:numId="6" w16cid:durableId="1028213405">
    <w:abstractNumId w:val="8"/>
  </w:num>
  <w:num w:numId="7" w16cid:durableId="40861194">
    <w:abstractNumId w:val="6"/>
  </w:num>
  <w:num w:numId="8" w16cid:durableId="548878394">
    <w:abstractNumId w:val="26"/>
  </w:num>
  <w:num w:numId="9" w16cid:durableId="17086759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3695314">
    <w:abstractNumId w:val="21"/>
  </w:num>
  <w:num w:numId="11" w16cid:durableId="1320033458">
    <w:abstractNumId w:val="4"/>
  </w:num>
  <w:num w:numId="12" w16cid:durableId="1625772228">
    <w:abstractNumId w:val="14"/>
  </w:num>
  <w:num w:numId="13" w16cid:durableId="1976832084">
    <w:abstractNumId w:val="15"/>
  </w:num>
  <w:num w:numId="14" w16cid:durableId="1031564875">
    <w:abstractNumId w:val="23"/>
  </w:num>
  <w:num w:numId="15" w16cid:durableId="163209178">
    <w:abstractNumId w:val="12"/>
  </w:num>
  <w:num w:numId="16" w16cid:durableId="922253490">
    <w:abstractNumId w:val="27"/>
  </w:num>
  <w:num w:numId="17" w16cid:durableId="100997407">
    <w:abstractNumId w:val="24"/>
  </w:num>
  <w:num w:numId="18" w16cid:durableId="1323191817">
    <w:abstractNumId w:val="19"/>
  </w:num>
  <w:num w:numId="19" w16cid:durableId="1344938320">
    <w:abstractNumId w:val="9"/>
  </w:num>
  <w:num w:numId="20" w16cid:durableId="1045105427">
    <w:abstractNumId w:val="16"/>
  </w:num>
  <w:num w:numId="21" w16cid:durableId="957953241">
    <w:abstractNumId w:val="10"/>
  </w:num>
  <w:num w:numId="22" w16cid:durableId="884409409">
    <w:abstractNumId w:val="22"/>
  </w:num>
  <w:num w:numId="23" w16cid:durableId="1534727971">
    <w:abstractNumId w:val="7"/>
  </w:num>
  <w:num w:numId="24" w16cid:durableId="108009643">
    <w:abstractNumId w:val="25"/>
  </w:num>
  <w:num w:numId="25" w16cid:durableId="1606184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mirrorMargins/>
  <w:proofState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26"/>
    <w:rsid w:val="00001053"/>
    <w:rsid w:val="000040FA"/>
    <w:rsid w:val="00006C17"/>
    <w:rsid w:val="00011D78"/>
    <w:rsid w:val="00017B45"/>
    <w:rsid w:val="00023463"/>
    <w:rsid w:val="000308B9"/>
    <w:rsid w:val="0003253E"/>
    <w:rsid w:val="000328F5"/>
    <w:rsid w:val="0003503D"/>
    <w:rsid w:val="0004155C"/>
    <w:rsid w:val="00051442"/>
    <w:rsid w:val="00065F07"/>
    <w:rsid w:val="00070490"/>
    <w:rsid w:val="00077A2D"/>
    <w:rsid w:val="00082DD3"/>
    <w:rsid w:val="00084AD7"/>
    <w:rsid w:val="000A381D"/>
    <w:rsid w:val="000A7F21"/>
    <w:rsid w:val="000B071B"/>
    <w:rsid w:val="000B3DBF"/>
    <w:rsid w:val="000B47CD"/>
    <w:rsid w:val="000B5A36"/>
    <w:rsid w:val="000C22AE"/>
    <w:rsid w:val="000C7B81"/>
    <w:rsid w:val="000D378F"/>
    <w:rsid w:val="000D3CE4"/>
    <w:rsid w:val="000D5219"/>
    <w:rsid w:val="000D6C83"/>
    <w:rsid w:val="000D6DAE"/>
    <w:rsid w:val="000E4393"/>
    <w:rsid w:val="00111EA8"/>
    <w:rsid w:val="00117D80"/>
    <w:rsid w:val="001309FB"/>
    <w:rsid w:val="0017525B"/>
    <w:rsid w:val="001762A1"/>
    <w:rsid w:val="001776E1"/>
    <w:rsid w:val="00184AAF"/>
    <w:rsid w:val="001A21DC"/>
    <w:rsid w:val="001B4A76"/>
    <w:rsid w:val="001C0F52"/>
    <w:rsid w:val="001C5240"/>
    <w:rsid w:val="001C604C"/>
    <w:rsid w:val="001E064E"/>
    <w:rsid w:val="001F3813"/>
    <w:rsid w:val="00211E22"/>
    <w:rsid w:val="002178BA"/>
    <w:rsid w:val="002204D5"/>
    <w:rsid w:val="002210D5"/>
    <w:rsid w:val="00227040"/>
    <w:rsid w:val="00237B40"/>
    <w:rsid w:val="002442BA"/>
    <w:rsid w:val="002462EF"/>
    <w:rsid w:val="00246C17"/>
    <w:rsid w:val="00251518"/>
    <w:rsid w:val="00256336"/>
    <w:rsid w:val="002742C3"/>
    <w:rsid w:val="002A37D9"/>
    <w:rsid w:val="002C182C"/>
    <w:rsid w:val="002D5607"/>
    <w:rsid w:val="002E1B7B"/>
    <w:rsid w:val="002E6A20"/>
    <w:rsid w:val="002F389D"/>
    <w:rsid w:val="002F6393"/>
    <w:rsid w:val="00317D22"/>
    <w:rsid w:val="00331B2F"/>
    <w:rsid w:val="003374BB"/>
    <w:rsid w:val="00347EE0"/>
    <w:rsid w:val="0035222D"/>
    <w:rsid w:val="003634BA"/>
    <w:rsid w:val="00364A0E"/>
    <w:rsid w:val="0038237B"/>
    <w:rsid w:val="003873BF"/>
    <w:rsid w:val="00390873"/>
    <w:rsid w:val="00391AD6"/>
    <w:rsid w:val="003A1924"/>
    <w:rsid w:val="003C3FD9"/>
    <w:rsid w:val="003D116F"/>
    <w:rsid w:val="003D7A8C"/>
    <w:rsid w:val="003E18C1"/>
    <w:rsid w:val="003F293E"/>
    <w:rsid w:val="00401308"/>
    <w:rsid w:val="00406157"/>
    <w:rsid w:val="00406B22"/>
    <w:rsid w:val="00423BC5"/>
    <w:rsid w:val="00430D51"/>
    <w:rsid w:val="004568D2"/>
    <w:rsid w:val="004612A7"/>
    <w:rsid w:val="00462F6A"/>
    <w:rsid w:val="00467305"/>
    <w:rsid w:val="0047011F"/>
    <w:rsid w:val="004876CD"/>
    <w:rsid w:val="0048772A"/>
    <w:rsid w:val="00496EA5"/>
    <w:rsid w:val="004A1F7E"/>
    <w:rsid w:val="004A3D58"/>
    <w:rsid w:val="004A58A4"/>
    <w:rsid w:val="004B7CB1"/>
    <w:rsid w:val="004D7DA4"/>
    <w:rsid w:val="004F2E56"/>
    <w:rsid w:val="00501F47"/>
    <w:rsid w:val="00503942"/>
    <w:rsid w:val="00504D1F"/>
    <w:rsid w:val="00514AB2"/>
    <w:rsid w:val="00524FB2"/>
    <w:rsid w:val="0053765D"/>
    <w:rsid w:val="00551B43"/>
    <w:rsid w:val="005569CA"/>
    <w:rsid w:val="00562EF2"/>
    <w:rsid w:val="00574CFF"/>
    <w:rsid w:val="00597C80"/>
    <w:rsid w:val="005A48CF"/>
    <w:rsid w:val="005C3E96"/>
    <w:rsid w:val="005D0420"/>
    <w:rsid w:val="005D1D45"/>
    <w:rsid w:val="00601999"/>
    <w:rsid w:val="00611A53"/>
    <w:rsid w:val="00611CD0"/>
    <w:rsid w:val="006144AB"/>
    <w:rsid w:val="00631549"/>
    <w:rsid w:val="00632329"/>
    <w:rsid w:val="006425B4"/>
    <w:rsid w:val="00653C1B"/>
    <w:rsid w:val="00661781"/>
    <w:rsid w:val="00662581"/>
    <w:rsid w:val="00665F6E"/>
    <w:rsid w:val="006678D7"/>
    <w:rsid w:val="006824D9"/>
    <w:rsid w:val="00684F2B"/>
    <w:rsid w:val="006870A0"/>
    <w:rsid w:val="00693D4F"/>
    <w:rsid w:val="00697D23"/>
    <w:rsid w:val="006B0459"/>
    <w:rsid w:val="006B5987"/>
    <w:rsid w:val="006E13C5"/>
    <w:rsid w:val="006E5C46"/>
    <w:rsid w:val="00700AE2"/>
    <w:rsid w:val="007067FD"/>
    <w:rsid w:val="00706D36"/>
    <w:rsid w:val="00707551"/>
    <w:rsid w:val="007116DC"/>
    <w:rsid w:val="0071403C"/>
    <w:rsid w:val="00717E4B"/>
    <w:rsid w:val="00720F3C"/>
    <w:rsid w:val="00722088"/>
    <w:rsid w:val="00724D33"/>
    <w:rsid w:val="00725BC9"/>
    <w:rsid w:val="00726747"/>
    <w:rsid w:val="0074102F"/>
    <w:rsid w:val="00753EC3"/>
    <w:rsid w:val="007550BF"/>
    <w:rsid w:val="00756678"/>
    <w:rsid w:val="007636F9"/>
    <w:rsid w:val="0076539C"/>
    <w:rsid w:val="007771C5"/>
    <w:rsid w:val="00780423"/>
    <w:rsid w:val="00781E25"/>
    <w:rsid w:val="00783EB8"/>
    <w:rsid w:val="0078706B"/>
    <w:rsid w:val="00787192"/>
    <w:rsid w:val="007958DD"/>
    <w:rsid w:val="007A0406"/>
    <w:rsid w:val="007E0240"/>
    <w:rsid w:val="007F32A3"/>
    <w:rsid w:val="008075CD"/>
    <w:rsid w:val="00807BA6"/>
    <w:rsid w:val="00834699"/>
    <w:rsid w:val="00837339"/>
    <w:rsid w:val="00845E8E"/>
    <w:rsid w:val="00851E30"/>
    <w:rsid w:val="0088751E"/>
    <w:rsid w:val="00891F50"/>
    <w:rsid w:val="008968B6"/>
    <w:rsid w:val="008972C5"/>
    <w:rsid w:val="008B2B07"/>
    <w:rsid w:val="008B4CF6"/>
    <w:rsid w:val="008B7E09"/>
    <w:rsid w:val="008C7FC3"/>
    <w:rsid w:val="008D6D8D"/>
    <w:rsid w:val="008D7D48"/>
    <w:rsid w:val="00901958"/>
    <w:rsid w:val="009055E3"/>
    <w:rsid w:val="00905B41"/>
    <w:rsid w:val="00916468"/>
    <w:rsid w:val="0092650E"/>
    <w:rsid w:val="00927427"/>
    <w:rsid w:val="00931C08"/>
    <w:rsid w:val="00931EE1"/>
    <w:rsid w:val="009330E7"/>
    <w:rsid w:val="00934946"/>
    <w:rsid w:val="009423EF"/>
    <w:rsid w:val="0095090C"/>
    <w:rsid w:val="00951280"/>
    <w:rsid w:val="00952426"/>
    <w:rsid w:val="0096323D"/>
    <w:rsid w:val="009732A2"/>
    <w:rsid w:val="00974C0C"/>
    <w:rsid w:val="009755D7"/>
    <w:rsid w:val="009C2357"/>
    <w:rsid w:val="009D10A5"/>
    <w:rsid w:val="009D26AE"/>
    <w:rsid w:val="009D5BCF"/>
    <w:rsid w:val="009E1DCF"/>
    <w:rsid w:val="009F7009"/>
    <w:rsid w:val="009F73E5"/>
    <w:rsid w:val="00A01A91"/>
    <w:rsid w:val="00A07A58"/>
    <w:rsid w:val="00A146FC"/>
    <w:rsid w:val="00A24E9A"/>
    <w:rsid w:val="00A26B1A"/>
    <w:rsid w:val="00A3085D"/>
    <w:rsid w:val="00A4766C"/>
    <w:rsid w:val="00A5746D"/>
    <w:rsid w:val="00A65D98"/>
    <w:rsid w:val="00A71BCC"/>
    <w:rsid w:val="00A72377"/>
    <w:rsid w:val="00A75601"/>
    <w:rsid w:val="00A83D3D"/>
    <w:rsid w:val="00AA1264"/>
    <w:rsid w:val="00AA2D89"/>
    <w:rsid w:val="00AA6DF9"/>
    <w:rsid w:val="00AC4AF1"/>
    <w:rsid w:val="00AC4BB8"/>
    <w:rsid w:val="00AE4C26"/>
    <w:rsid w:val="00B150A9"/>
    <w:rsid w:val="00B17501"/>
    <w:rsid w:val="00B2011C"/>
    <w:rsid w:val="00B23929"/>
    <w:rsid w:val="00B241C9"/>
    <w:rsid w:val="00B3059C"/>
    <w:rsid w:val="00B33CAA"/>
    <w:rsid w:val="00B36E85"/>
    <w:rsid w:val="00B50CB4"/>
    <w:rsid w:val="00B50D4E"/>
    <w:rsid w:val="00B50F17"/>
    <w:rsid w:val="00B53A88"/>
    <w:rsid w:val="00B5549E"/>
    <w:rsid w:val="00B56BC0"/>
    <w:rsid w:val="00B67290"/>
    <w:rsid w:val="00B71A76"/>
    <w:rsid w:val="00B73379"/>
    <w:rsid w:val="00B73B62"/>
    <w:rsid w:val="00B7553A"/>
    <w:rsid w:val="00B92804"/>
    <w:rsid w:val="00BB34EA"/>
    <w:rsid w:val="00BC13B0"/>
    <w:rsid w:val="00BE53DB"/>
    <w:rsid w:val="00BE564D"/>
    <w:rsid w:val="00BE58E6"/>
    <w:rsid w:val="00BF610E"/>
    <w:rsid w:val="00C021E8"/>
    <w:rsid w:val="00C12E70"/>
    <w:rsid w:val="00C30E1E"/>
    <w:rsid w:val="00C32F69"/>
    <w:rsid w:val="00C42785"/>
    <w:rsid w:val="00C64078"/>
    <w:rsid w:val="00C706FC"/>
    <w:rsid w:val="00C72AF4"/>
    <w:rsid w:val="00C815EB"/>
    <w:rsid w:val="00C849D9"/>
    <w:rsid w:val="00C94EDF"/>
    <w:rsid w:val="00CD10C2"/>
    <w:rsid w:val="00CD2832"/>
    <w:rsid w:val="00CD3865"/>
    <w:rsid w:val="00CE767E"/>
    <w:rsid w:val="00CF024D"/>
    <w:rsid w:val="00D20887"/>
    <w:rsid w:val="00D21504"/>
    <w:rsid w:val="00D26850"/>
    <w:rsid w:val="00D26ECC"/>
    <w:rsid w:val="00D26F3B"/>
    <w:rsid w:val="00D27855"/>
    <w:rsid w:val="00D407AC"/>
    <w:rsid w:val="00D4292A"/>
    <w:rsid w:val="00D457B6"/>
    <w:rsid w:val="00D47C7E"/>
    <w:rsid w:val="00D50046"/>
    <w:rsid w:val="00D54881"/>
    <w:rsid w:val="00D66950"/>
    <w:rsid w:val="00D74D57"/>
    <w:rsid w:val="00D76D88"/>
    <w:rsid w:val="00D8497D"/>
    <w:rsid w:val="00D94D9E"/>
    <w:rsid w:val="00DA125E"/>
    <w:rsid w:val="00DA7D60"/>
    <w:rsid w:val="00DB2AF8"/>
    <w:rsid w:val="00DB350D"/>
    <w:rsid w:val="00DB5592"/>
    <w:rsid w:val="00DC1CCA"/>
    <w:rsid w:val="00DD5D50"/>
    <w:rsid w:val="00DE48B4"/>
    <w:rsid w:val="00DF69A0"/>
    <w:rsid w:val="00E03ABC"/>
    <w:rsid w:val="00E154E2"/>
    <w:rsid w:val="00E20918"/>
    <w:rsid w:val="00E26646"/>
    <w:rsid w:val="00E300EC"/>
    <w:rsid w:val="00E339A6"/>
    <w:rsid w:val="00E47B1E"/>
    <w:rsid w:val="00E51820"/>
    <w:rsid w:val="00E56BAB"/>
    <w:rsid w:val="00E67297"/>
    <w:rsid w:val="00E758D6"/>
    <w:rsid w:val="00E75929"/>
    <w:rsid w:val="00E82452"/>
    <w:rsid w:val="00E83C1C"/>
    <w:rsid w:val="00E87FF6"/>
    <w:rsid w:val="00E96927"/>
    <w:rsid w:val="00E96B11"/>
    <w:rsid w:val="00E96C27"/>
    <w:rsid w:val="00EA12A2"/>
    <w:rsid w:val="00EA2A26"/>
    <w:rsid w:val="00EB3556"/>
    <w:rsid w:val="00EC4C99"/>
    <w:rsid w:val="00EE1126"/>
    <w:rsid w:val="00EE2FE2"/>
    <w:rsid w:val="00EE4B7A"/>
    <w:rsid w:val="00F008B8"/>
    <w:rsid w:val="00F0099E"/>
    <w:rsid w:val="00F12607"/>
    <w:rsid w:val="00F14CC8"/>
    <w:rsid w:val="00F15F98"/>
    <w:rsid w:val="00F34748"/>
    <w:rsid w:val="00F4104C"/>
    <w:rsid w:val="00F4281C"/>
    <w:rsid w:val="00F42B66"/>
    <w:rsid w:val="00F557F4"/>
    <w:rsid w:val="00F576B9"/>
    <w:rsid w:val="00F67E96"/>
    <w:rsid w:val="00F84A96"/>
    <w:rsid w:val="00F86D27"/>
    <w:rsid w:val="00F87DDF"/>
    <w:rsid w:val="00F9067E"/>
    <w:rsid w:val="00FA2510"/>
    <w:rsid w:val="00FA48C5"/>
    <w:rsid w:val="00FA591A"/>
    <w:rsid w:val="00FA70B7"/>
    <w:rsid w:val="00FC2788"/>
    <w:rsid w:val="00FD23A9"/>
    <w:rsid w:val="00FE3BEC"/>
    <w:rsid w:val="00FE715C"/>
    <w:rsid w:val="00FF0521"/>
    <w:rsid w:val="00FF2798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CE57DB"/>
  <w15:docId w15:val="{4EFD016A-5C5C-47F6-9039-194AE1CE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rFonts w:ascii="Times New Roman" w:hAnsi="Times New Roman"/>
      <w:sz w:val="22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360"/>
      <w:outlineLvl w:val="1"/>
    </w:pPr>
  </w:style>
  <w:style w:type="paragraph" w:styleId="Heading3">
    <w:name w:val="heading 3"/>
    <w:basedOn w:val="Heading1"/>
    <w:next w:val="Normal"/>
    <w:qFormat/>
    <w:pPr>
      <w:spacing w:before="24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</w:style>
  <w:style w:type="paragraph" w:styleId="TOC6">
    <w:name w:val="toc 6"/>
    <w:basedOn w:val="TOC4"/>
    <w:semiHidden/>
  </w:style>
  <w:style w:type="paragraph" w:styleId="TOC5">
    <w:name w:val="toc 5"/>
    <w:basedOn w:val="TOC4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rsid w:val="00B3059C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te"/>
    <w:link w:val="FootnoteTextChar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 w:line="240" w:lineRule="exact"/>
    </w:pPr>
    <w:rPr>
      <w:sz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qFormat/>
    <w:rsid w:val="003374BB"/>
    <w:rPr>
      <w:lang w:val="fr-FR" w:eastAsia="en-US" w:bidi="ar-SA"/>
    </w:rPr>
  </w:style>
  <w:style w:type="paragraph" w:customStyle="1" w:styleId="enumlev1">
    <w:name w:val="enumlev1"/>
    <w:basedOn w:val="Normal"/>
    <w:link w:val="enumlev1Char"/>
    <w:qFormat/>
    <w:pPr>
      <w:spacing w:before="80"/>
      <w:ind w:left="794" w:hanging="794"/>
    </w:pPr>
  </w:style>
  <w:style w:type="character" w:customStyle="1" w:styleId="enumlev1Char">
    <w:name w:val="enumlev1 Char"/>
    <w:link w:val="enumlev1"/>
    <w:qFormat/>
    <w:rsid w:val="003374BB"/>
    <w:rPr>
      <w:sz w:val="22"/>
      <w:lang w:val="fr-FR" w:eastAsia="en-US" w:bidi="ar-SA"/>
    </w:r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</w:style>
  <w:style w:type="paragraph" w:customStyle="1" w:styleId="Chaptitle">
    <w:name w:val="Chap_titl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uiPriority w:val="99"/>
    <w:pPr>
      <w:spacing w:before="400"/>
    </w:pPr>
  </w:style>
  <w:style w:type="character" w:styleId="PageNumber">
    <w:name w:val="page number"/>
    <w:basedOn w:val="DefaultParagraphFont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pPr>
      <w:jc w:val="left"/>
    </w:pPr>
  </w:style>
  <w:style w:type="paragraph" w:styleId="BodyTextFirstIndent">
    <w:name w:val="Body Text First Indent"/>
    <w:basedOn w:val="BodyText"/>
    <w:rsid w:val="00EE1126"/>
    <w:pPr>
      <w:spacing w:after="120"/>
      <w:ind w:firstLine="210"/>
    </w:pPr>
    <w:rPr>
      <w:rFonts w:ascii="Times New Roman" w:hAnsi="Times New Roman" w:cs="Times New Roman"/>
      <w:b w:val="0"/>
      <w:bCs w:val="0"/>
      <w:sz w:val="22"/>
    </w:rPr>
  </w:style>
  <w:style w:type="paragraph" w:styleId="BodyText">
    <w:name w:val="Body Text"/>
    <w:basedOn w:val="Normal"/>
    <w:link w:val="BodyTextChar"/>
    <w:uiPriority w:val="1"/>
    <w:qFormat/>
    <w:rPr>
      <w:rFonts w:ascii="Arial" w:hAnsi="Arial" w:cs="Arial"/>
      <w:b/>
      <w:bCs/>
      <w:sz w:val="36"/>
    </w:rPr>
  </w:style>
  <w:style w:type="paragraph" w:customStyle="1" w:styleId="AnnexNoTitle">
    <w:name w:val="Annex_NoTitle"/>
    <w:basedOn w:val="Normal"/>
    <w:next w:val="Normalaftertitle"/>
    <w:pPr>
      <w:keepNext/>
      <w:keepLines/>
      <w:spacing w:before="720" w:after="120"/>
      <w:jc w:val="center"/>
    </w:pPr>
    <w:rPr>
      <w:b/>
      <w:sz w:val="24"/>
    </w:r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Title"/>
    <w:basedOn w:val="AnnexNoTitle"/>
    <w:next w:val="Normalaftertitle"/>
  </w:style>
  <w:style w:type="character" w:customStyle="1" w:styleId="Artdef">
    <w:name w:val="Art_de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link w:val="CallChar"/>
    <w:uiPriority w:val="99"/>
    <w:pPr>
      <w:keepNext/>
      <w:keepLines/>
      <w:spacing w:before="240"/>
      <w:ind w:left="794"/>
      <w:jc w:val="left"/>
    </w:pPr>
    <w:rPr>
      <w:i/>
    </w:rPr>
  </w:style>
  <w:style w:type="character" w:customStyle="1" w:styleId="CallChar">
    <w:name w:val="Call Char"/>
    <w:link w:val="Call"/>
    <w:rsid w:val="00E03ABC"/>
    <w:rPr>
      <w:i/>
      <w:sz w:val="22"/>
      <w:lang w:val="fr-FR" w:eastAsia="en-US" w:bidi="ar-SA"/>
    </w:rPr>
  </w:style>
  <w:style w:type="paragraph" w:customStyle="1" w:styleId="ChapNo">
    <w:name w:val="Chap_No"/>
    <w:basedOn w:val="Normal"/>
    <w:next w:val="Chap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pPr>
      <w:ind w:left="284"/>
      <w:jc w:val="left"/>
    </w:pPr>
  </w:style>
  <w:style w:type="paragraph" w:styleId="Index3">
    <w:name w:val="index 3"/>
    <w:basedOn w:val="Normal"/>
    <w:next w:val="Normal"/>
    <w:semiHidden/>
    <w:pPr>
      <w:ind w:left="567"/>
      <w:jc w:val="left"/>
    </w:p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Rectitle"/>
    <w:link w:val="RecNoChar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 w:line="240" w:lineRule="auto"/>
      <w:jc w:val="center"/>
    </w:pPr>
    <w:rPr>
      <w:b/>
      <w:sz w:val="28"/>
    </w:rPr>
  </w:style>
  <w:style w:type="character" w:customStyle="1" w:styleId="RecNoChar">
    <w:name w:val="Rec_No Char"/>
    <w:link w:val="RecNo"/>
    <w:rsid w:val="003D7A8C"/>
    <w:rPr>
      <w:b/>
      <w:sz w:val="28"/>
      <w:lang w:val="fr-FR" w:eastAsia="en-US" w:bidi="ar-SA"/>
    </w:rPr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rsid w:val="00DD5D50"/>
    <w:pPr>
      <w:tabs>
        <w:tab w:val="clear" w:pos="794"/>
        <w:tab w:val="clear" w:pos="1191"/>
        <w:tab w:val="clear" w:pos="1588"/>
        <w:tab w:val="clear" w:pos="1985"/>
      </w:tabs>
      <w:jc w:val="center"/>
      <w:outlineLvl w:val="0"/>
    </w:pPr>
    <w:rPr>
      <w:b w:val="0"/>
      <w:caps/>
    </w:rPr>
  </w:style>
  <w:style w:type="paragraph" w:customStyle="1" w:styleId="Restitle">
    <w:name w:val="Res_title"/>
    <w:basedOn w:val="Rectitle"/>
    <w:next w:val="Resref"/>
    <w:link w:val="RestitleChar"/>
    <w:uiPriority w:val="99"/>
  </w:style>
  <w:style w:type="paragraph" w:customStyle="1" w:styleId="Resref">
    <w:name w:val="Res_ref"/>
    <w:basedOn w:val="Recref"/>
    <w:next w:val="Resdate"/>
    <w:uiPriority w:val="99"/>
    <w:qFormat/>
  </w:style>
  <w:style w:type="character" w:customStyle="1" w:styleId="RestitleChar">
    <w:name w:val="Res_title Char"/>
    <w:link w:val="Restitle"/>
    <w:rsid w:val="003374BB"/>
    <w:rPr>
      <w:b/>
      <w:sz w:val="28"/>
      <w:lang w:val="fr-FR" w:eastAsia="en-US" w:bidi="ar-SA"/>
    </w:rPr>
  </w:style>
  <w:style w:type="character" w:customStyle="1" w:styleId="ResNoChar">
    <w:name w:val="Res_No Char"/>
    <w:link w:val="ResNo"/>
    <w:rsid w:val="00DD5D50"/>
    <w:rPr>
      <w:rFonts w:ascii="Times New Roman" w:hAnsi="Times New Roman"/>
      <w:caps/>
      <w:sz w:val="28"/>
      <w:lang w:val="fr-FR" w:eastAsia="en-US"/>
    </w:rPr>
  </w:style>
  <w:style w:type="paragraph" w:customStyle="1" w:styleId="SectionNo">
    <w:name w:val="Section_No"/>
    <w:basedOn w:val="Normal"/>
    <w:next w:val="Sectiontitl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Index5">
    <w:name w:val="index 5"/>
    <w:basedOn w:val="Normal"/>
    <w:next w:val="Normal"/>
    <w:semiHidden/>
    <w:pPr>
      <w:spacing w:before="120" w:line="240" w:lineRule="auto"/>
      <w:ind w:left="1132"/>
      <w:jc w:val="left"/>
    </w:pPr>
    <w:rPr>
      <w:sz w:val="24"/>
      <w:lang w:val="en-GB"/>
    </w:rPr>
  </w:style>
  <w:style w:type="paragraph" w:styleId="Index4">
    <w:name w:val="index 4"/>
    <w:basedOn w:val="Normal"/>
    <w:next w:val="Normal"/>
    <w:semiHidden/>
    <w:pPr>
      <w:spacing w:before="120" w:line="240" w:lineRule="auto"/>
      <w:ind w:left="849"/>
      <w:jc w:val="left"/>
    </w:pPr>
    <w:rPr>
      <w:sz w:val="24"/>
      <w:lang w:val="en-GB"/>
    </w:rPr>
  </w:style>
  <w:style w:type="paragraph" w:styleId="BodyText2">
    <w:name w:val="Body Text 2"/>
    <w:basedOn w:val="Normal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character" w:customStyle="1" w:styleId="href">
    <w:name w:val="href"/>
    <w:basedOn w:val="DefaultParagraphFont"/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 w:line="240" w:lineRule="auto"/>
    </w:pPr>
    <w:rPr>
      <w:sz w:val="24"/>
      <w:lang w:val="en-GB"/>
    </w:rPr>
  </w:style>
  <w:style w:type="paragraph" w:customStyle="1" w:styleId="blanc">
    <w:name w:val="blanc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 w:line="240" w:lineRule="auto"/>
      <w:jc w:val="left"/>
    </w:pPr>
    <w:rPr>
      <w:sz w:val="2"/>
      <w:lang w:val="en-US"/>
    </w:rPr>
  </w:style>
  <w:style w:type="paragraph" w:customStyle="1" w:styleId="NormalIndent">
    <w:name w:val="Normal_Indent"/>
    <w:basedOn w:val="Normal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TableTitle">
    <w:name w:val="Table_Title"/>
    <w:basedOn w:val="Normal"/>
    <w:next w:val="Tabletext"/>
    <w:rsid w:val="00A01A91"/>
    <w:pPr>
      <w:keepNext/>
      <w:keepLines/>
      <w:spacing w:before="480" w:after="120" w:line="240" w:lineRule="auto"/>
      <w:jc w:val="center"/>
    </w:pPr>
    <w:rPr>
      <w:b/>
      <w:sz w:val="24"/>
      <w:lang w:val="en-GB"/>
    </w:rPr>
  </w:style>
  <w:style w:type="paragraph" w:customStyle="1" w:styleId="Normalaftertitle0">
    <w:name w:val="Normal after title"/>
    <w:basedOn w:val="Normal"/>
    <w:next w:val="Normal"/>
    <w:link w:val="NormalaftertitleChar"/>
    <w:rsid w:val="004A58A4"/>
    <w:pPr>
      <w:spacing w:before="280" w:line="240" w:lineRule="auto"/>
    </w:pPr>
    <w:rPr>
      <w:lang w:val="en-GB"/>
    </w:rPr>
  </w:style>
  <w:style w:type="character" w:customStyle="1" w:styleId="docdisplay">
    <w:name w:val="doc_display"/>
    <w:basedOn w:val="DefaultParagraphFont"/>
    <w:rsid w:val="00A83D3D"/>
  </w:style>
  <w:style w:type="paragraph" w:customStyle="1" w:styleId="AnnexNo">
    <w:name w:val="Annex_No"/>
    <w:basedOn w:val="Normal"/>
    <w:next w:val="Normal"/>
    <w:rsid w:val="00DB2AF8"/>
    <w:pPr>
      <w:keepNext/>
      <w:keepLines/>
      <w:spacing w:before="480" w:after="80" w:line="240" w:lineRule="auto"/>
      <w:jc w:val="center"/>
    </w:pPr>
    <w:rPr>
      <w:caps/>
      <w:sz w:val="28"/>
      <w:lang w:val="en-GB"/>
    </w:rPr>
  </w:style>
  <w:style w:type="character" w:customStyle="1" w:styleId="CharChar">
    <w:name w:val="Char Char"/>
    <w:semiHidden/>
    <w:locked/>
    <w:rsid w:val="009D26AE"/>
    <w:rPr>
      <w:sz w:val="24"/>
      <w:lang w:val="en-GB" w:eastAsia="en-US" w:bidi="ar-SA"/>
    </w:rPr>
  </w:style>
  <w:style w:type="character" w:customStyle="1" w:styleId="NormalaftertitleChar">
    <w:name w:val="Normal after title Char"/>
    <w:link w:val="Normalaftertitle0"/>
    <w:locked/>
    <w:rsid w:val="004A58A4"/>
    <w:rPr>
      <w:rFonts w:ascii="Times New Roman" w:hAnsi="Times New Roman"/>
      <w:sz w:val="22"/>
      <w:lang w:val="en-GB" w:eastAsia="en-US"/>
    </w:rPr>
  </w:style>
  <w:style w:type="paragraph" w:styleId="BodyTextIndent">
    <w:name w:val="Body Text Indent"/>
    <w:basedOn w:val="Normal"/>
    <w:rsid w:val="00EE1126"/>
    <w:pPr>
      <w:spacing w:after="120"/>
      <w:ind w:left="283"/>
    </w:pPr>
  </w:style>
  <w:style w:type="paragraph" w:styleId="List2">
    <w:name w:val="List 2"/>
    <w:basedOn w:val="Normal"/>
    <w:rsid w:val="00EE1126"/>
    <w:pPr>
      <w:spacing w:before="120" w:line="240" w:lineRule="auto"/>
      <w:ind w:left="566" w:hanging="283"/>
    </w:pPr>
    <w:rPr>
      <w:sz w:val="24"/>
    </w:rPr>
  </w:style>
  <w:style w:type="paragraph" w:styleId="BodyTextIndent2">
    <w:name w:val="Body Text Indent 2"/>
    <w:basedOn w:val="Normal"/>
    <w:rsid w:val="008B4CF6"/>
    <w:pPr>
      <w:spacing w:after="120" w:line="480" w:lineRule="auto"/>
      <w:ind w:left="283"/>
    </w:pPr>
  </w:style>
  <w:style w:type="paragraph" w:customStyle="1" w:styleId="Formal">
    <w:name w:val="Formal"/>
    <w:basedOn w:val="ASN1"/>
    <w:rsid w:val="008B4CF6"/>
    <w:pPr>
      <w:overflowPunct w:val="0"/>
      <w:autoSpaceDE w:val="0"/>
      <w:autoSpaceDN w:val="0"/>
      <w:adjustRightInd w:val="0"/>
      <w:textAlignment w:val="baseline"/>
    </w:pPr>
    <w:rPr>
      <w:b w:val="0"/>
      <w:lang w:val="en-US"/>
    </w:rPr>
  </w:style>
  <w:style w:type="paragraph" w:customStyle="1" w:styleId="FigureNo">
    <w:name w:val="Figure_No"/>
    <w:basedOn w:val="Normal"/>
    <w:next w:val="Figuretitle"/>
    <w:uiPriority w:val="99"/>
    <w:rsid w:val="000E4393"/>
    <w:pPr>
      <w:keepNext/>
      <w:keepLines/>
      <w:spacing w:before="480" w:after="120" w:line="240" w:lineRule="auto"/>
      <w:jc w:val="center"/>
    </w:pPr>
    <w:rPr>
      <w:caps/>
      <w:sz w:val="24"/>
      <w:lang w:val="en-GB"/>
    </w:rPr>
  </w:style>
  <w:style w:type="paragraph" w:customStyle="1" w:styleId="Figuretitle">
    <w:name w:val="Figure_title"/>
    <w:basedOn w:val="Normal"/>
    <w:next w:val="Normal"/>
    <w:rsid w:val="000E4393"/>
    <w:pPr>
      <w:keepLines/>
      <w:spacing w:before="0" w:after="480" w:line="240" w:lineRule="auto"/>
      <w:jc w:val="center"/>
    </w:pPr>
    <w:rPr>
      <w:rFonts w:ascii="Times New Roman Bold" w:hAnsi="Times New Roman Bold"/>
      <w:b/>
      <w:sz w:val="24"/>
      <w:lang w:val="en-GB"/>
    </w:rPr>
  </w:style>
  <w:style w:type="paragraph" w:customStyle="1" w:styleId="AppendixNo">
    <w:name w:val="Appendix_No"/>
    <w:basedOn w:val="Normal"/>
    <w:next w:val="Normal"/>
    <w:uiPriority w:val="99"/>
    <w:rsid w:val="000E4393"/>
    <w:pPr>
      <w:keepNext/>
      <w:keepLines/>
      <w:spacing w:before="480" w:after="80" w:line="240" w:lineRule="auto"/>
      <w:jc w:val="center"/>
    </w:pPr>
    <w:rPr>
      <w:caps/>
      <w:sz w:val="28"/>
      <w:lang w:val="en-GB"/>
    </w:rPr>
  </w:style>
  <w:style w:type="paragraph" w:customStyle="1" w:styleId="Appendixtitle">
    <w:name w:val="Appendix_title"/>
    <w:basedOn w:val="Normal"/>
    <w:next w:val="Normal"/>
    <w:uiPriority w:val="99"/>
    <w:rsid w:val="000E4393"/>
    <w:pPr>
      <w:keepNext/>
      <w:keepLines/>
      <w:spacing w:before="240" w:after="280" w:line="240" w:lineRule="auto"/>
      <w:jc w:val="center"/>
    </w:pPr>
    <w:rPr>
      <w:rFonts w:ascii="Times New Roman Bold" w:hAnsi="Times New Roman Bold"/>
      <w:b/>
      <w:sz w:val="28"/>
      <w:lang w:val="en-GB"/>
    </w:rPr>
  </w:style>
  <w:style w:type="character" w:customStyle="1" w:styleId="FooterChar">
    <w:name w:val="Footer Char"/>
    <w:basedOn w:val="DefaultParagraphFont"/>
    <w:link w:val="Footer"/>
    <w:rsid w:val="00AA1264"/>
    <w:rPr>
      <w:rFonts w:ascii="Times New Roman" w:hAnsi="Times New Roman"/>
      <w:sz w:val="22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AA1264"/>
    <w:rPr>
      <w:rFonts w:ascii="Times New Roman" w:hAnsi="Times New Roman"/>
      <w:sz w:val="18"/>
      <w:lang w:val="fr-FR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A2A26"/>
    <w:rPr>
      <w:rFonts w:ascii="Arial" w:hAnsi="Arial" w:cs="Arial"/>
      <w:b/>
      <w:bCs/>
      <w:sz w:val="36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56336"/>
    <w:pPr>
      <w:spacing w:line="240" w:lineRule="auto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256336"/>
    <w:rPr>
      <w:rFonts w:ascii="Times New Roman" w:hAnsi="Times New Roman"/>
      <w:lang w:val="fr-FR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256336"/>
    <w:rPr>
      <w:rFonts w:ascii="Times New Roman" w:hAnsi="Times New Roman"/>
      <w:b/>
      <w:bCs/>
      <w:lang w:val="fr-FR" w:eastAsia="en-US"/>
    </w:rPr>
  </w:style>
  <w:style w:type="character" w:customStyle="1" w:styleId="TabletextChar">
    <w:name w:val="Table_text Char"/>
    <w:link w:val="Tabletext"/>
    <w:qFormat/>
    <w:locked/>
    <w:rsid w:val="00DD5D50"/>
    <w:rPr>
      <w:rFonts w:ascii="Times New Roman" w:hAnsi="Times New Roman"/>
      <w:lang w:val="fr-FR" w:eastAsia="en-US"/>
    </w:rPr>
  </w:style>
  <w:style w:type="paragraph" w:customStyle="1" w:styleId="Normalaftertitle00">
    <w:name w:val="Normal after title00"/>
    <w:basedOn w:val="Normal"/>
    <w:next w:val="Normal"/>
    <w:rsid w:val="00DD5D5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 w:line="240" w:lineRule="auto"/>
      <w:jc w:val="left"/>
    </w:pPr>
    <w:rPr>
      <w:rFonts w:eastAsia="MS Mincho"/>
      <w:sz w:val="24"/>
      <w:lang w:val="en-GB"/>
    </w:rPr>
  </w:style>
  <w:style w:type="paragraph" w:customStyle="1" w:styleId="Reasons">
    <w:name w:val="Reasons"/>
    <w:basedOn w:val="Normal"/>
    <w:uiPriority w:val="99"/>
    <w:qFormat/>
    <w:rsid w:val="00077A2D"/>
    <w:pPr>
      <w:tabs>
        <w:tab w:val="clear" w:pos="794"/>
        <w:tab w:val="clear" w:pos="1191"/>
        <w:tab w:val="left" w:pos="1134"/>
      </w:tabs>
      <w:spacing w:before="120" w:line="240" w:lineRule="auto"/>
      <w:jc w:val="left"/>
    </w:pPr>
    <w:rPr>
      <w:sz w:val="24"/>
      <w:lang w:val="en-GB"/>
    </w:rPr>
  </w:style>
  <w:style w:type="paragraph" w:customStyle="1" w:styleId="Normalaftertitle01">
    <w:name w:val="Normal after title0"/>
    <w:basedOn w:val="Normal"/>
    <w:next w:val="Normal"/>
    <w:rsid w:val="00391AD6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 w:line="240" w:lineRule="auto"/>
      <w:jc w:val="left"/>
    </w:pPr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mmouni\AppData\Roaming\Microsoft\Templates\Livre_jau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Livre_jaune.dot</Template>
  <TotalTime>95</TotalTime>
  <Pages>4</Pages>
  <Words>909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Resolución 89 – Promoción de la utilización de las tecnologías de la información y la comunicación para reducir la brecha de inclusión financiera</vt:lpstr>
    </vt:vector>
  </TitlesOfParts>
  <Company>ITU</Company>
  <LinksUpToDate>false</LinksUpToDate>
  <CharactersWithSpaces>5963</CharactersWithSpaces>
  <SharedDoc>false</SharedDoc>
  <HLinks>
    <vt:vector size="6" baseType="variant">
      <vt:variant>
        <vt:i4>5832781</vt:i4>
      </vt:variant>
      <vt:variant>
        <vt:i4>2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88 – Itinerancia Móvil Internacional</dc:title>
  <dc:subject>ASAMBLEA MUNDIAL DE NORMALIZACIÓN DE LAS TELECOMUNICACIONES</dc:subject>
  <dc:creator>ITU-T</dc:creator>
  <cp:keywords/>
  <dc:description/>
  <cp:lastModifiedBy>Saez Grau, Ricardo</cp:lastModifiedBy>
  <cp:revision>86</cp:revision>
  <cp:lastPrinted>2024-11-27T13:56:00Z</cp:lastPrinted>
  <dcterms:created xsi:type="dcterms:W3CDTF">2024-11-26T13:57:00Z</dcterms:created>
  <dcterms:modified xsi:type="dcterms:W3CDTF">2024-11-27T13:57:00Z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