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1A100EB7" w:rsidR="00EA2A26" w:rsidRPr="00C82348" w:rsidRDefault="00EA2A26" w:rsidP="00291778">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291778">
              <w:rPr>
                <w:spacing w:val="-6"/>
                <w:sz w:val="44"/>
                <w:szCs w:val="44"/>
                <w:lang w:val="fr-CH"/>
              </w:rPr>
              <w:t>8</w:t>
            </w:r>
            <w:r w:rsidR="00546C08">
              <w:rPr>
                <w:spacing w:val="-6"/>
                <w:sz w:val="44"/>
                <w:szCs w:val="44"/>
                <w:lang w:val="fr-CH"/>
              </w:rPr>
              <w:t>8</w:t>
            </w:r>
            <w:r w:rsidR="00845E8E" w:rsidRPr="00430B6A">
              <w:rPr>
                <w:spacing w:val="-6"/>
                <w:sz w:val="44"/>
                <w:szCs w:val="44"/>
                <w:lang w:val="fr-CH"/>
              </w:rPr>
              <w:t xml:space="preserve"> – </w:t>
            </w:r>
            <w:r w:rsidR="00546C08" w:rsidRPr="00546C08">
              <w:rPr>
                <w:spacing w:val="-6"/>
                <w:sz w:val="44"/>
                <w:szCs w:val="44"/>
              </w:rPr>
              <w:t>Itinérance mobile internationale</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74C795D2"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291778">
        <w:rPr>
          <w:rStyle w:val="href"/>
        </w:rPr>
        <w:t>8</w:t>
      </w:r>
      <w:r w:rsidR="00546C08">
        <w:rPr>
          <w:rStyle w:val="href"/>
        </w:rPr>
        <w:t>8</w:t>
      </w:r>
      <w:r w:rsidR="00324E15">
        <w:rPr>
          <w:rStyle w:val="href"/>
        </w:rPr>
        <w:t xml:space="preserve"> </w:t>
      </w:r>
      <w:r w:rsidRPr="0058622B">
        <w:t>(</w:t>
      </w:r>
      <w:r w:rsidRPr="0058622B">
        <w:rPr>
          <w:caps w:val="0"/>
        </w:rPr>
        <w:t>Rév. New Delhi</w:t>
      </w:r>
      <w:r w:rsidRPr="0058622B">
        <w:t>, 2024)</w:t>
      </w:r>
      <w:bookmarkEnd w:id="3"/>
      <w:bookmarkEnd w:id="4"/>
    </w:p>
    <w:p w14:paraId="2156B876" w14:textId="77777777" w:rsidR="00546C08" w:rsidRPr="0058622B" w:rsidRDefault="00546C08" w:rsidP="00B9646E">
      <w:pPr>
        <w:pStyle w:val="Restitle"/>
      </w:pPr>
      <w:bookmarkStart w:id="5" w:name="_Toc111647879"/>
      <w:bookmarkStart w:id="6" w:name="_Toc111648518"/>
      <w:r w:rsidRPr="0058622B">
        <w:t>Itinérance mobile internationale</w:t>
      </w:r>
      <w:bookmarkEnd w:id="5"/>
      <w:bookmarkEnd w:id="6"/>
    </w:p>
    <w:p w14:paraId="16EF5BEA" w14:textId="77777777" w:rsidR="00546C08" w:rsidRPr="0058622B" w:rsidRDefault="00546C08" w:rsidP="00B9646E">
      <w:pPr>
        <w:pStyle w:val="Resref"/>
      </w:pPr>
      <w:r w:rsidRPr="0058622B">
        <w:t xml:space="preserve">(Hammamet, </w:t>
      </w:r>
      <w:proofErr w:type="gramStart"/>
      <w:r w:rsidRPr="0058622B">
        <w:t>2016;</w:t>
      </w:r>
      <w:proofErr w:type="gramEnd"/>
      <w:r w:rsidRPr="0058622B">
        <w:t xml:space="preserve"> </w:t>
      </w:r>
      <w:r w:rsidRPr="0058622B">
        <w:rPr>
          <w:bCs/>
        </w:rPr>
        <w:t>New Delhi, 2024</w:t>
      </w:r>
      <w:r w:rsidRPr="0058622B">
        <w:t>)</w:t>
      </w:r>
    </w:p>
    <w:p w14:paraId="77A5D9B3" w14:textId="77777777" w:rsidR="00546C08" w:rsidRPr="0058622B" w:rsidRDefault="00546C08" w:rsidP="00B9646E">
      <w:pPr>
        <w:pStyle w:val="Normalaftertitle0"/>
      </w:pPr>
      <w:r w:rsidRPr="0058622B">
        <w:t>L'Assemblée mondiale de normalisation des télécommunications (</w:t>
      </w:r>
      <w:r w:rsidRPr="0058622B">
        <w:rPr>
          <w:bCs/>
        </w:rPr>
        <w:t>New Delhi, 2024</w:t>
      </w:r>
      <w:r w:rsidRPr="0058622B">
        <w:t>),</w:t>
      </w:r>
    </w:p>
    <w:p w14:paraId="309DA2FC" w14:textId="77777777" w:rsidR="00546C08" w:rsidRPr="0058622B" w:rsidRDefault="00546C08" w:rsidP="00B9646E">
      <w:pPr>
        <w:pStyle w:val="Call"/>
      </w:pPr>
      <w:proofErr w:type="gramStart"/>
      <w:r w:rsidRPr="0058622B">
        <w:t>considérant</w:t>
      </w:r>
      <w:proofErr w:type="gramEnd"/>
    </w:p>
    <w:p w14:paraId="2A827A3C" w14:textId="77777777" w:rsidR="00546C08" w:rsidRPr="0058622B" w:rsidRDefault="00546C08" w:rsidP="00B9646E">
      <w:r w:rsidRPr="0058622B">
        <w:rPr>
          <w:i/>
          <w:iCs/>
        </w:rPr>
        <w:t>a)</w:t>
      </w:r>
      <w:r w:rsidRPr="0058622B">
        <w:tab/>
        <w:t xml:space="preserve">les résultats de l'Atelier de haut niveau de l'UIT sur l'itinérance mobile internationale (IMR), tenu à Genève les 23 et 24 septembre </w:t>
      </w:r>
      <w:proofErr w:type="gramStart"/>
      <w:r w:rsidRPr="0058622B">
        <w:t>2013;</w:t>
      </w:r>
      <w:proofErr w:type="gramEnd"/>
    </w:p>
    <w:p w14:paraId="6A981DB8" w14:textId="77777777" w:rsidR="00546C08" w:rsidRPr="0058622B" w:rsidRDefault="00546C08" w:rsidP="00B9646E">
      <w:r w:rsidRPr="0058622B">
        <w:rPr>
          <w:i/>
          <w:iCs/>
        </w:rPr>
        <w:t>b)</w:t>
      </w:r>
      <w:r w:rsidRPr="0058622B">
        <w:tab/>
        <w:t xml:space="preserve">les résultats du Dialogue stratégique de l'UIT sur l'itinérance mobile internationale, organisé à Genève le 18 septembre </w:t>
      </w:r>
      <w:proofErr w:type="gramStart"/>
      <w:r w:rsidRPr="0058622B">
        <w:t>2015;</w:t>
      </w:r>
      <w:proofErr w:type="gramEnd"/>
    </w:p>
    <w:p w14:paraId="68B91873" w14:textId="77777777" w:rsidR="00546C08" w:rsidRPr="0058622B" w:rsidRDefault="00546C08" w:rsidP="00B9646E">
      <w:r w:rsidRPr="0058622B">
        <w:rPr>
          <w:i/>
          <w:iCs/>
        </w:rPr>
        <w:t>c)</w:t>
      </w:r>
      <w:r w:rsidRPr="0058622B">
        <w:tab/>
        <w:t>que les tâches accomplies par le Secteur de la normalisation des télécommunications de l'UIT (UIT</w:t>
      </w:r>
      <w:r w:rsidRPr="0058622B">
        <w:noBreakHyphen/>
        <w:t xml:space="preserve">T) concernent les Recommandations, l'évaluation de la conformité et les questions ayant des incidences politiques ou </w:t>
      </w:r>
      <w:proofErr w:type="gramStart"/>
      <w:r w:rsidRPr="0058622B">
        <w:t>réglementaires;</w:t>
      </w:r>
      <w:proofErr w:type="gramEnd"/>
    </w:p>
    <w:p w14:paraId="1FEBD03E" w14:textId="77777777" w:rsidR="00546C08" w:rsidRPr="0058622B" w:rsidRDefault="00546C08" w:rsidP="00B9646E">
      <w:r w:rsidRPr="0058622B">
        <w:rPr>
          <w:i/>
          <w:iCs/>
        </w:rPr>
        <w:t>d)</w:t>
      </w:r>
      <w:r w:rsidRPr="0058622B">
        <w:tab/>
        <w:t xml:space="preserve">que l'économie dépend de plus en plus de technologies de communications mobiles fiables, rentables, compétitives et financièrement abordables à l'échelle </w:t>
      </w:r>
      <w:proofErr w:type="gramStart"/>
      <w:r w:rsidRPr="0058622B">
        <w:t>mondiale;</w:t>
      </w:r>
      <w:proofErr w:type="gramEnd"/>
    </w:p>
    <w:p w14:paraId="34A0938B" w14:textId="77777777" w:rsidR="00546C08" w:rsidRPr="0058622B" w:rsidRDefault="00546C08" w:rsidP="00B9646E">
      <w:r w:rsidRPr="0058622B">
        <w:rPr>
          <w:i/>
          <w:iCs/>
        </w:rPr>
        <w:t>e)</w:t>
      </w:r>
      <w:r w:rsidRPr="0058622B">
        <w:tab/>
        <w:t>que les tarifs de gros de l'itinérance mobile internationale sont dissociés des coûts sous</w:t>
      </w:r>
      <w:r w:rsidRPr="0058622B">
        <w:noBreakHyphen/>
        <w:t xml:space="preserve">jacents, ce qui peut avoir une incidence sur les tarifs de détail, et conduire en particulier à des tarifs aléatoires et </w:t>
      </w:r>
      <w:proofErr w:type="gramStart"/>
      <w:r w:rsidRPr="0058622B">
        <w:t>arbitraires;</w:t>
      </w:r>
      <w:proofErr w:type="gramEnd"/>
    </w:p>
    <w:p w14:paraId="0F491E1B" w14:textId="77777777" w:rsidR="00546C08" w:rsidRPr="0058622B" w:rsidRDefault="00546C08" w:rsidP="00B9646E">
      <w:r w:rsidRPr="0058622B">
        <w:rPr>
          <w:i/>
          <w:iCs/>
        </w:rPr>
        <w:t>f)</w:t>
      </w:r>
      <w:r w:rsidRPr="0058622B">
        <w:tab/>
        <w:t xml:space="preserve">qu'un marché international des télécommunications concurrentiel ne peut exister si des différences importantes subsistent entre les prix nationaux et les prix de l'itinérance mobile </w:t>
      </w:r>
      <w:proofErr w:type="gramStart"/>
      <w:r w:rsidRPr="0058622B">
        <w:t>internationale;</w:t>
      </w:r>
      <w:proofErr w:type="gramEnd"/>
    </w:p>
    <w:p w14:paraId="0314A6C9" w14:textId="77777777" w:rsidR="00546C08" w:rsidRPr="0058622B" w:rsidRDefault="00546C08" w:rsidP="00B9646E">
      <w:r w:rsidRPr="0058622B">
        <w:rPr>
          <w:i/>
          <w:iCs/>
        </w:rPr>
        <w:t>g)</w:t>
      </w:r>
      <w:r w:rsidRPr="0058622B">
        <w:tab/>
        <w:t xml:space="preserve">que les coûts sont différents selon les pays et les </w:t>
      </w:r>
      <w:proofErr w:type="gramStart"/>
      <w:r w:rsidRPr="0058622B">
        <w:t>régions;</w:t>
      </w:r>
      <w:proofErr w:type="gramEnd"/>
    </w:p>
    <w:p w14:paraId="4A4F309B" w14:textId="77777777" w:rsidR="00546C08" w:rsidRPr="0058622B" w:rsidRDefault="00546C08" w:rsidP="00B9646E">
      <w:r w:rsidRPr="0058622B">
        <w:rPr>
          <w:i/>
          <w:iCs/>
        </w:rPr>
        <w:t>h)</w:t>
      </w:r>
      <w:r w:rsidRPr="0058622B">
        <w:tab/>
        <w:t>que l'adoption et l'utilisation des Télécommunications mobiles internationales (IMT) se sont considérablement intensifiées,</w:t>
      </w:r>
    </w:p>
    <w:p w14:paraId="5B087E01" w14:textId="77777777" w:rsidR="00546C08" w:rsidRPr="0058622B" w:rsidRDefault="00546C08" w:rsidP="00B9646E">
      <w:pPr>
        <w:pStyle w:val="Call"/>
      </w:pPr>
      <w:proofErr w:type="gramStart"/>
      <w:r w:rsidRPr="0058622B">
        <w:t>considérant</w:t>
      </w:r>
      <w:proofErr w:type="gramEnd"/>
      <w:r w:rsidRPr="0058622B">
        <w:t xml:space="preserve"> en outre</w:t>
      </w:r>
    </w:p>
    <w:p w14:paraId="6FD6D915" w14:textId="77777777" w:rsidR="00546C08" w:rsidRPr="0058622B" w:rsidRDefault="00546C08" w:rsidP="00B9646E">
      <w:r w:rsidRPr="0058622B">
        <w:rPr>
          <w:i/>
          <w:iCs/>
        </w:rPr>
        <w:t>a)</w:t>
      </w:r>
      <w:r w:rsidRPr="0058622B">
        <w:tab/>
        <w:t xml:space="preserve">la forte croissance des systèmes IMT ainsi que d'autres technologies et le rôle que jouent les accords d'itinérance relatifs à l'Internet des objets (IoT) et aux communications de machine à machine (M2M) en contribuant à faciliter cette </w:t>
      </w:r>
      <w:proofErr w:type="gramStart"/>
      <w:r w:rsidRPr="0058622B">
        <w:t>évolution;</w:t>
      </w:r>
      <w:proofErr w:type="gramEnd"/>
    </w:p>
    <w:p w14:paraId="2052E9FA" w14:textId="77777777" w:rsidR="00546C08" w:rsidRPr="0058622B" w:rsidRDefault="00546C08" w:rsidP="00B9646E">
      <w:r w:rsidRPr="0058622B">
        <w:rPr>
          <w:i/>
          <w:iCs/>
        </w:rPr>
        <w:t>b)</w:t>
      </w:r>
      <w:r w:rsidRPr="0058622B">
        <w:tab/>
        <w:t xml:space="preserve">le rapport technique de l'UIT-T sur les aspects liés à l'itinérance de l'IoT et des communications M2M, qui met en évidence les différences fondamentales entre les services de télécommunication traditionnels et les services IoT/M2M, notamment leurs éléments connectés et leurs connexions, les services centraux, le revenu moyen par utilisateur et les modèles </w:t>
      </w:r>
      <w:proofErr w:type="gramStart"/>
      <w:r w:rsidRPr="0058622B">
        <w:t>économiques;</w:t>
      </w:r>
      <w:proofErr w:type="gramEnd"/>
    </w:p>
    <w:p w14:paraId="27E6CC4D" w14:textId="77777777" w:rsidR="00546C08" w:rsidRPr="0058622B" w:rsidRDefault="00546C08" w:rsidP="00B9646E">
      <w:r w:rsidRPr="0058622B">
        <w:rPr>
          <w:i/>
          <w:iCs/>
        </w:rPr>
        <w:t>c)</w:t>
      </w:r>
      <w:r w:rsidRPr="0058622B">
        <w:tab/>
        <w:t>que l'atelier de haut niveau de l'UIT sur l'itinérance mobile internationale a noté qu'"en ce qui concerne l'itinérance M2M, il est important de distinguer l'itinérance M2M de l'itinérance traditionnelle pour la téléphonie et les données pour les consommateurs, car les enjeux et les incidences sont très différents et on ne retrouve pas les problèmes associés aux prix de l'itinérance pour les consommateurs",</w:t>
      </w:r>
    </w:p>
    <w:p w14:paraId="5C386D74" w14:textId="77777777" w:rsidR="00546C08" w:rsidRPr="0058622B" w:rsidRDefault="00546C08" w:rsidP="00B9646E">
      <w:r w:rsidRPr="0058622B">
        <w:br w:type="page"/>
      </w:r>
    </w:p>
    <w:p w14:paraId="7BCBDFEA" w14:textId="77777777" w:rsidR="00546C08" w:rsidRPr="0058622B" w:rsidRDefault="00546C08" w:rsidP="00B9646E">
      <w:pPr>
        <w:pStyle w:val="Call"/>
      </w:pPr>
      <w:proofErr w:type="gramStart"/>
      <w:r w:rsidRPr="0058622B">
        <w:lastRenderedPageBreak/>
        <w:t>notant</w:t>
      </w:r>
      <w:proofErr w:type="gramEnd"/>
    </w:p>
    <w:p w14:paraId="575A1FF9" w14:textId="77777777" w:rsidR="00546C08" w:rsidRPr="0058622B" w:rsidRDefault="00546C08" w:rsidP="00B9646E">
      <w:r w:rsidRPr="0058622B">
        <w:rPr>
          <w:i/>
          <w:iCs/>
        </w:rPr>
        <w:t>a)</w:t>
      </w:r>
      <w:r w:rsidRPr="0058622B">
        <w:tab/>
        <w:t xml:space="preserve">que la Recommandation UIT-T D.98 est un accord qui a été conclu en 2012 entre les États Membres et les Membres de </w:t>
      </w:r>
      <w:proofErr w:type="gramStart"/>
      <w:r w:rsidRPr="0058622B">
        <w:t>Secteur;</w:t>
      </w:r>
      <w:proofErr w:type="gramEnd"/>
    </w:p>
    <w:p w14:paraId="378978FC" w14:textId="77777777" w:rsidR="00546C08" w:rsidRPr="0058622B" w:rsidRDefault="00546C08" w:rsidP="00B9646E">
      <w:r w:rsidRPr="0058622B">
        <w:rPr>
          <w:i/>
          <w:iCs/>
        </w:rPr>
        <w:t>b)</w:t>
      </w:r>
      <w:r w:rsidRPr="0058622B">
        <w:tab/>
        <w:t>que la Recommandation UIT-T D.97 contient des méthodes possibles pour réduire les tarifs excessifs de l'itinérance, compte tenu de la nécessité d'encourager la concurrence sur le marché de l'itinérance, d'éduquer les consommateurs et d'envisager des mesures réglementaires appropriées, par exemple le recours à un plafonnement des tarifs de l'itinérance,</w:t>
      </w:r>
    </w:p>
    <w:p w14:paraId="2FF33A1C" w14:textId="77777777" w:rsidR="00546C08" w:rsidRPr="0058622B" w:rsidRDefault="00546C08" w:rsidP="00B9646E">
      <w:pPr>
        <w:pStyle w:val="Call"/>
      </w:pPr>
      <w:proofErr w:type="gramStart"/>
      <w:r w:rsidRPr="0058622B">
        <w:t>notant</w:t>
      </w:r>
      <w:proofErr w:type="gramEnd"/>
      <w:r w:rsidRPr="0058622B">
        <w:t xml:space="preserve"> en outre</w:t>
      </w:r>
    </w:p>
    <w:p w14:paraId="2109007E" w14:textId="77777777" w:rsidR="00546C08" w:rsidRPr="0058622B" w:rsidRDefault="00546C08" w:rsidP="00B9646E">
      <w:r w:rsidRPr="0058622B">
        <w:rPr>
          <w:i/>
          <w:iCs/>
        </w:rPr>
        <w:t>a)</w:t>
      </w:r>
      <w:r w:rsidRPr="0058622B">
        <w:tab/>
        <w:t>les travaux en cours de la Commission d'études 3 de l'UIT-T sur les aspects liés à l'itinérance de l'IoT et des communications M2</w:t>
      </w:r>
      <w:proofErr w:type="gramStart"/>
      <w:r w:rsidRPr="0058622B">
        <w:t>M;</w:t>
      </w:r>
      <w:proofErr w:type="gramEnd"/>
    </w:p>
    <w:p w14:paraId="71649DB7" w14:textId="77777777" w:rsidR="00546C08" w:rsidRPr="0058622B" w:rsidRDefault="00546C08" w:rsidP="00B9646E">
      <w:r w:rsidRPr="0058622B">
        <w:rPr>
          <w:i/>
          <w:iCs/>
        </w:rPr>
        <w:t>b)</w:t>
      </w:r>
      <w:r w:rsidRPr="0058622B">
        <w:tab/>
        <w:t>la série d'accords commerciaux et d'autres mécanismes qui ont favorisé le déploiement efficace des services IoT/M2M au niveau mondial,</w:t>
      </w:r>
    </w:p>
    <w:p w14:paraId="3C035B4F" w14:textId="77777777" w:rsidR="00546C08" w:rsidRPr="0058622B" w:rsidRDefault="00546C08" w:rsidP="00B9646E">
      <w:pPr>
        <w:pStyle w:val="Call"/>
      </w:pPr>
      <w:proofErr w:type="gramStart"/>
      <w:r w:rsidRPr="0058622B">
        <w:t>décide</w:t>
      </w:r>
      <w:proofErr w:type="gramEnd"/>
    </w:p>
    <w:p w14:paraId="67D2B9D7" w14:textId="77777777" w:rsidR="00546C08" w:rsidRPr="0058622B" w:rsidRDefault="00546C08" w:rsidP="00B9646E">
      <w:r w:rsidRPr="0058622B">
        <w:t>1</w:t>
      </w:r>
      <w:r w:rsidRPr="0058622B">
        <w:tab/>
        <w:t xml:space="preserve">que la Commission d'études 3 de l'UIT-T doit poursuivre ses travaux sur les incidences économiques des tarifs de l'itinérance mobile internationale, notamment au sujet de principes et de méthodes permettant de faciliter la conclusion d'accords équitables et raisonnables pour l'itinérance mobile </w:t>
      </w:r>
      <w:proofErr w:type="gramStart"/>
      <w:r w:rsidRPr="0058622B">
        <w:t>internationale;</w:t>
      </w:r>
      <w:proofErr w:type="gramEnd"/>
    </w:p>
    <w:p w14:paraId="1A306CA3" w14:textId="77777777" w:rsidR="00546C08" w:rsidRPr="0058622B" w:rsidRDefault="00546C08" w:rsidP="00B9646E">
      <w:r w:rsidRPr="0058622B">
        <w:t>2</w:t>
      </w:r>
      <w:r w:rsidRPr="0058622B">
        <w:tab/>
        <w:t>que la Commission d'études 3 de l'UIT-T poursuivra ses travaux sur les aspects liés à l'itinérance des services IoT/M2M,</w:t>
      </w:r>
    </w:p>
    <w:p w14:paraId="4EC46289" w14:textId="77777777" w:rsidR="00546C08" w:rsidRPr="0058622B" w:rsidRDefault="00546C08" w:rsidP="00B9646E">
      <w:pPr>
        <w:pStyle w:val="Call"/>
      </w:pPr>
      <w:proofErr w:type="gramStart"/>
      <w:r w:rsidRPr="0058622B">
        <w:t>charge</w:t>
      </w:r>
      <w:proofErr w:type="gramEnd"/>
      <w:r w:rsidRPr="0058622B">
        <w:t xml:space="preserve"> le Directeur du Bureau de la normalisation des télécommunications</w:t>
      </w:r>
    </w:p>
    <w:p w14:paraId="5F04F9E2" w14:textId="77777777" w:rsidR="00546C08" w:rsidRPr="0058622B" w:rsidRDefault="00546C08" w:rsidP="00B9646E">
      <w:r w:rsidRPr="0058622B">
        <w:t>1</w:t>
      </w:r>
      <w:r w:rsidRPr="0058622B">
        <w:tab/>
        <w:t xml:space="preserve">de prendre des initiatives, en collaboration avec le Directeur du Bureau de développement des télécommunications, pour mieux faire connaître les avantages d'une baisse des tarifs de l'itinérance mobile internationale pour les </w:t>
      </w:r>
      <w:proofErr w:type="gramStart"/>
      <w:r w:rsidRPr="0058622B">
        <w:t>consommateurs;</w:t>
      </w:r>
      <w:proofErr w:type="gramEnd"/>
    </w:p>
    <w:p w14:paraId="5CF34451" w14:textId="77777777" w:rsidR="00546C08" w:rsidRPr="0058622B" w:rsidRDefault="00546C08" w:rsidP="00B9646E">
      <w:r w:rsidRPr="0058622B">
        <w:t>2</w:t>
      </w:r>
      <w:r w:rsidRPr="0058622B">
        <w:tab/>
        <w:t>de proposer des approches axées sur la coopération, afin de favoriser la mise en œuvre des Recommandations UIT-T D.98 et D.97 et de réduire les tarifs de l'itinérance mobile internationale appliqués entre les États Membres, en encourageant la mise en œuvre de programmes de renforcement des capacités, l'organisation d'ateliers et l'élaboration de lignes directrices concernant les accords de coopération internationale,</w:t>
      </w:r>
    </w:p>
    <w:p w14:paraId="7B90C2DF" w14:textId="77777777" w:rsidR="00546C08" w:rsidRPr="0058622B" w:rsidRDefault="00546C08" w:rsidP="00B9646E">
      <w:pPr>
        <w:pStyle w:val="Call"/>
      </w:pPr>
      <w:proofErr w:type="gramStart"/>
      <w:r w:rsidRPr="0058622B">
        <w:t>invite</w:t>
      </w:r>
      <w:proofErr w:type="gramEnd"/>
      <w:r w:rsidRPr="0058622B">
        <w:t xml:space="preserve"> les États Membres</w:t>
      </w:r>
    </w:p>
    <w:p w14:paraId="7B90D0FB" w14:textId="77777777" w:rsidR="00546C08" w:rsidRPr="0058622B" w:rsidRDefault="00546C08" w:rsidP="00B9646E">
      <w:r w:rsidRPr="0058622B">
        <w:t>1</w:t>
      </w:r>
      <w:r w:rsidRPr="0058622B">
        <w:tab/>
        <w:t>à prendre des mesures afin de mettre en œuvre les Recommandations UIT</w:t>
      </w:r>
      <w:r w:rsidRPr="0058622B">
        <w:noBreakHyphen/>
        <w:t>T D.98 et UIT-T D.97;</w:t>
      </w:r>
    </w:p>
    <w:p w14:paraId="7DAE23A4" w14:textId="77777777" w:rsidR="00546C08" w:rsidRPr="0058622B" w:rsidRDefault="00546C08" w:rsidP="00B9646E">
      <w:r w:rsidRPr="0058622B">
        <w:t>2</w:t>
      </w:r>
      <w:r w:rsidRPr="0058622B">
        <w:tab/>
        <w:t>à contribuer aux efforts déployés pour abaisser les tarifs de l'itinérance mobile internationale, en prenant des mesures le cas échéant.</w:t>
      </w:r>
    </w:p>
    <w:p w14:paraId="1C9A5187" w14:textId="77777777" w:rsidR="00546C08" w:rsidRPr="0058622B" w:rsidRDefault="00546C08" w:rsidP="00B9646E"/>
    <w:p w14:paraId="52A4144B" w14:textId="77777777" w:rsidR="00B65DD0" w:rsidRDefault="00B65DD0" w:rsidP="003E6F43"/>
    <w:p w14:paraId="289A1D91" w14:textId="77777777" w:rsidR="00291778" w:rsidRDefault="00291778" w:rsidP="003E6F43"/>
    <w:p w14:paraId="4D52BC2E" w14:textId="77777777" w:rsidR="00AC4D18" w:rsidRDefault="00AC4D18" w:rsidP="003E6F43"/>
    <w:p w14:paraId="3B022572" w14:textId="77777777" w:rsidR="00AC4D18" w:rsidRDefault="00AC4D18" w:rsidP="003E6F43"/>
    <w:p w14:paraId="700589F6" w14:textId="77777777" w:rsidR="00324E15" w:rsidRPr="0058622B" w:rsidRDefault="00324E15" w:rsidP="00B9646E"/>
    <w:sectPr w:rsidR="00324E15" w:rsidRPr="0058622B"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06F7B098"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4E7421">
      <w:rPr>
        <w:noProof/>
        <w:lang w:val="en-US"/>
      </w:rPr>
      <w:t>88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13548A64"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4E7421">
      <w:rPr>
        <w:noProof/>
        <w:lang w:val="en-US"/>
      </w:rPr>
      <w:t>88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6FF46020"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4E7421">
      <w:rPr>
        <w:noProof/>
        <w:lang w:val="en-US"/>
      </w:rPr>
      <w:t>88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2D70"/>
    <w:rsid w:val="00023463"/>
    <w:rsid w:val="000256C9"/>
    <w:rsid w:val="00031F30"/>
    <w:rsid w:val="0003503D"/>
    <w:rsid w:val="0004106C"/>
    <w:rsid w:val="00047FF6"/>
    <w:rsid w:val="00055F89"/>
    <w:rsid w:val="000641BC"/>
    <w:rsid w:val="00064EAA"/>
    <w:rsid w:val="0006625B"/>
    <w:rsid w:val="000B071B"/>
    <w:rsid w:val="000B0775"/>
    <w:rsid w:val="000B47CD"/>
    <w:rsid w:val="000B5A36"/>
    <w:rsid w:val="000C22AE"/>
    <w:rsid w:val="000C4E32"/>
    <w:rsid w:val="000D378F"/>
    <w:rsid w:val="000D3CE4"/>
    <w:rsid w:val="000D5219"/>
    <w:rsid w:val="000D6DAE"/>
    <w:rsid w:val="000E34D5"/>
    <w:rsid w:val="000E3B02"/>
    <w:rsid w:val="000E4393"/>
    <w:rsid w:val="00104692"/>
    <w:rsid w:val="00104797"/>
    <w:rsid w:val="00117D80"/>
    <w:rsid w:val="00127C17"/>
    <w:rsid w:val="001309FB"/>
    <w:rsid w:val="0014647D"/>
    <w:rsid w:val="001762A1"/>
    <w:rsid w:val="00183DDE"/>
    <w:rsid w:val="001B4A76"/>
    <w:rsid w:val="001B6B56"/>
    <w:rsid w:val="001C08DD"/>
    <w:rsid w:val="001C5240"/>
    <w:rsid w:val="001C604C"/>
    <w:rsid w:val="001D41FC"/>
    <w:rsid w:val="001F3813"/>
    <w:rsid w:val="002178BA"/>
    <w:rsid w:val="002204D5"/>
    <w:rsid w:val="002210D5"/>
    <w:rsid w:val="00225E1A"/>
    <w:rsid w:val="00227040"/>
    <w:rsid w:val="00237B40"/>
    <w:rsid w:val="002462EF"/>
    <w:rsid w:val="00246C17"/>
    <w:rsid w:val="002742C3"/>
    <w:rsid w:val="00276298"/>
    <w:rsid w:val="00291778"/>
    <w:rsid w:val="002A37D9"/>
    <w:rsid w:val="002A400F"/>
    <w:rsid w:val="002B433E"/>
    <w:rsid w:val="002C182C"/>
    <w:rsid w:val="002D5607"/>
    <w:rsid w:val="002E1B7B"/>
    <w:rsid w:val="002E6A20"/>
    <w:rsid w:val="00324E15"/>
    <w:rsid w:val="00331B2F"/>
    <w:rsid w:val="003374BB"/>
    <w:rsid w:val="0035222D"/>
    <w:rsid w:val="00377E10"/>
    <w:rsid w:val="0038237B"/>
    <w:rsid w:val="003B45B3"/>
    <w:rsid w:val="003C3FD9"/>
    <w:rsid w:val="003D116F"/>
    <w:rsid w:val="003D7A8C"/>
    <w:rsid w:val="003E021C"/>
    <w:rsid w:val="003E6DBC"/>
    <w:rsid w:val="003F293E"/>
    <w:rsid w:val="003F6DE7"/>
    <w:rsid w:val="00422D18"/>
    <w:rsid w:val="004231FB"/>
    <w:rsid w:val="00423BC5"/>
    <w:rsid w:val="00430B6A"/>
    <w:rsid w:val="00432393"/>
    <w:rsid w:val="004511DB"/>
    <w:rsid w:val="004568D2"/>
    <w:rsid w:val="004612A7"/>
    <w:rsid w:val="00462F6A"/>
    <w:rsid w:val="00467305"/>
    <w:rsid w:val="0048772A"/>
    <w:rsid w:val="00497FCD"/>
    <w:rsid w:val="004A0B91"/>
    <w:rsid w:val="004A58A4"/>
    <w:rsid w:val="004B7CB1"/>
    <w:rsid w:val="004C2E26"/>
    <w:rsid w:val="004D5A7B"/>
    <w:rsid w:val="004E26A2"/>
    <w:rsid w:val="004E7421"/>
    <w:rsid w:val="004F2E56"/>
    <w:rsid w:val="004F4AC4"/>
    <w:rsid w:val="004F51FE"/>
    <w:rsid w:val="00501F47"/>
    <w:rsid w:val="00503F78"/>
    <w:rsid w:val="00504D1F"/>
    <w:rsid w:val="005226E5"/>
    <w:rsid w:val="00524FB2"/>
    <w:rsid w:val="0053765D"/>
    <w:rsid w:val="005441CE"/>
    <w:rsid w:val="00546C08"/>
    <w:rsid w:val="00551B43"/>
    <w:rsid w:val="00552798"/>
    <w:rsid w:val="005569CA"/>
    <w:rsid w:val="00562EF2"/>
    <w:rsid w:val="00574CFF"/>
    <w:rsid w:val="00583196"/>
    <w:rsid w:val="005903F1"/>
    <w:rsid w:val="005C7CB9"/>
    <w:rsid w:val="005D1D45"/>
    <w:rsid w:val="005E6E82"/>
    <w:rsid w:val="005F3C1C"/>
    <w:rsid w:val="005F6057"/>
    <w:rsid w:val="00601999"/>
    <w:rsid w:val="00611CD0"/>
    <w:rsid w:val="00631549"/>
    <w:rsid w:val="00633364"/>
    <w:rsid w:val="006425B4"/>
    <w:rsid w:val="00647C46"/>
    <w:rsid w:val="006519C2"/>
    <w:rsid w:val="00653C1B"/>
    <w:rsid w:val="006628AD"/>
    <w:rsid w:val="00665F6E"/>
    <w:rsid w:val="006678D7"/>
    <w:rsid w:val="00670721"/>
    <w:rsid w:val="006824D9"/>
    <w:rsid w:val="00684F2B"/>
    <w:rsid w:val="00693D4F"/>
    <w:rsid w:val="00696B5D"/>
    <w:rsid w:val="00697D23"/>
    <w:rsid w:val="006A329D"/>
    <w:rsid w:val="006A517C"/>
    <w:rsid w:val="006A5A4F"/>
    <w:rsid w:val="006B0459"/>
    <w:rsid w:val="006B5987"/>
    <w:rsid w:val="006C2EBC"/>
    <w:rsid w:val="006C5D1A"/>
    <w:rsid w:val="006E13C5"/>
    <w:rsid w:val="006F759B"/>
    <w:rsid w:val="007006F1"/>
    <w:rsid w:val="00706D36"/>
    <w:rsid w:val="00707551"/>
    <w:rsid w:val="007116DC"/>
    <w:rsid w:val="0071403C"/>
    <w:rsid w:val="00717E4B"/>
    <w:rsid w:val="00720F3C"/>
    <w:rsid w:val="00726747"/>
    <w:rsid w:val="0074102F"/>
    <w:rsid w:val="00742DEC"/>
    <w:rsid w:val="0074451B"/>
    <w:rsid w:val="007550BF"/>
    <w:rsid w:val="00763881"/>
    <w:rsid w:val="00780423"/>
    <w:rsid w:val="00781E25"/>
    <w:rsid w:val="00783EB8"/>
    <w:rsid w:val="00787A64"/>
    <w:rsid w:val="007958DD"/>
    <w:rsid w:val="007C4FCD"/>
    <w:rsid w:val="007E0240"/>
    <w:rsid w:val="007F32A3"/>
    <w:rsid w:val="00802173"/>
    <w:rsid w:val="00803424"/>
    <w:rsid w:val="00806BE4"/>
    <w:rsid w:val="008075CD"/>
    <w:rsid w:val="0081122F"/>
    <w:rsid w:val="008246EE"/>
    <w:rsid w:val="0082691B"/>
    <w:rsid w:val="00837339"/>
    <w:rsid w:val="008376BE"/>
    <w:rsid w:val="00845E8E"/>
    <w:rsid w:val="00851E30"/>
    <w:rsid w:val="00862038"/>
    <w:rsid w:val="00882712"/>
    <w:rsid w:val="0088751E"/>
    <w:rsid w:val="00887C3C"/>
    <w:rsid w:val="008968B6"/>
    <w:rsid w:val="008A368C"/>
    <w:rsid w:val="008B4CF6"/>
    <w:rsid w:val="008C7FC3"/>
    <w:rsid w:val="008D6D8D"/>
    <w:rsid w:val="00901958"/>
    <w:rsid w:val="009055E3"/>
    <w:rsid w:val="00905B41"/>
    <w:rsid w:val="00906F35"/>
    <w:rsid w:val="009070EE"/>
    <w:rsid w:val="0091142E"/>
    <w:rsid w:val="00916468"/>
    <w:rsid w:val="0092650E"/>
    <w:rsid w:val="00931C08"/>
    <w:rsid w:val="00931EE1"/>
    <w:rsid w:val="009330E7"/>
    <w:rsid w:val="0093449D"/>
    <w:rsid w:val="00934946"/>
    <w:rsid w:val="0093649E"/>
    <w:rsid w:val="009369BF"/>
    <w:rsid w:val="009423EF"/>
    <w:rsid w:val="0095090C"/>
    <w:rsid w:val="00974C0C"/>
    <w:rsid w:val="009755D7"/>
    <w:rsid w:val="0098403A"/>
    <w:rsid w:val="009B6927"/>
    <w:rsid w:val="009C2357"/>
    <w:rsid w:val="009D10A5"/>
    <w:rsid w:val="009D26AE"/>
    <w:rsid w:val="009D42F7"/>
    <w:rsid w:val="009E0ACE"/>
    <w:rsid w:val="009E1DCF"/>
    <w:rsid w:val="009E7406"/>
    <w:rsid w:val="009F7009"/>
    <w:rsid w:val="009F707D"/>
    <w:rsid w:val="00A01A91"/>
    <w:rsid w:val="00A021D7"/>
    <w:rsid w:val="00A24E9A"/>
    <w:rsid w:val="00A26A3F"/>
    <w:rsid w:val="00A26B1A"/>
    <w:rsid w:val="00A3085D"/>
    <w:rsid w:val="00A358FE"/>
    <w:rsid w:val="00A4766C"/>
    <w:rsid w:val="00A47846"/>
    <w:rsid w:val="00A65D98"/>
    <w:rsid w:val="00A80860"/>
    <w:rsid w:val="00A83D3D"/>
    <w:rsid w:val="00AA1264"/>
    <w:rsid w:val="00AA2D89"/>
    <w:rsid w:val="00AC30DD"/>
    <w:rsid w:val="00AC4AF1"/>
    <w:rsid w:val="00AC4D18"/>
    <w:rsid w:val="00AE4C26"/>
    <w:rsid w:val="00AF2E0E"/>
    <w:rsid w:val="00AF40A6"/>
    <w:rsid w:val="00B150A9"/>
    <w:rsid w:val="00B16F42"/>
    <w:rsid w:val="00B23929"/>
    <w:rsid w:val="00B241C9"/>
    <w:rsid w:val="00B24AD1"/>
    <w:rsid w:val="00B3059C"/>
    <w:rsid w:val="00B305E3"/>
    <w:rsid w:val="00B30872"/>
    <w:rsid w:val="00B33CAA"/>
    <w:rsid w:val="00B50CB4"/>
    <w:rsid w:val="00B50D4E"/>
    <w:rsid w:val="00B50F17"/>
    <w:rsid w:val="00B56BC0"/>
    <w:rsid w:val="00B60557"/>
    <w:rsid w:val="00B63440"/>
    <w:rsid w:val="00B65DD0"/>
    <w:rsid w:val="00B67290"/>
    <w:rsid w:val="00B70FFA"/>
    <w:rsid w:val="00B73379"/>
    <w:rsid w:val="00B73B62"/>
    <w:rsid w:val="00B83287"/>
    <w:rsid w:val="00B92804"/>
    <w:rsid w:val="00B97A2F"/>
    <w:rsid w:val="00BB34EA"/>
    <w:rsid w:val="00BD70B8"/>
    <w:rsid w:val="00BE58E6"/>
    <w:rsid w:val="00BF610E"/>
    <w:rsid w:val="00C073F8"/>
    <w:rsid w:val="00C12E70"/>
    <w:rsid w:val="00C14559"/>
    <w:rsid w:val="00C26DF8"/>
    <w:rsid w:val="00C32F69"/>
    <w:rsid w:val="00C42071"/>
    <w:rsid w:val="00C42785"/>
    <w:rsid w:val="00C578AB"/>
    <w:rsid w:val="00C64078"/>
    <w:rsid w:val="00C706FC"/>
    <w:rsid w:val="00C72AF4"/>
    <w:rsid w:val="00C81F9C"/>
    <w:rsid w:val="00C82348"/>
    <w:rsid w:val="00CD10C2"/>
    <w:rsid w:val="00CD3865"/>
    <w:rsid w:val="00CE767E"/>
    <w:rsid w:val="00CF024D"/>
    <w:rsid w:val="00D20887"/>
    <w:rsid w:val="00D26ECC"/>
    <w:rsid w:val="00D326D0"/>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48B4"/>
    <w:rsid w:val="00E03ABC"/>
    <w:rsid w:val="00E154E2"/>
    <w:rsid w:val="00E20918"/>
    <w:rsid w:val="00E2104E"/>
    <w:rsid w:val="00E300EC"/>
    <w:rsid w:val="00E32872"/>
    <w:rsid w:val="00E468A6"/>
    <w:rsid w:val="00E51820"/>
    <w:rsid w:val="00E52157"/>
    <w:rsid w:val="00E56BAB"/>
    <w:rsid w:val="00E67297"/>
    <w:rsid w:val="00E758D6"/>
    <w:rsid w:val="00E82452"/>
    <w:rsid w:val="00E83C1C"/>
    <w:rsid w:val="00E9541A"/>
    <w:rsid w:val="00E96B11"/>
    <w:rsid w:val="00E96C27"/>
    <w:rsid w:val="00EA12A2"/>
    <w:rsid w:val="00EA1F49"/>
    <w:rsid w:val="00EA2A26"/>
    <w:rsid w:val="00EB3556"/>
    <w:rsid w:val="00EC08BF"/>
    <w:rsid w:val="00ED1C15"/>
    <w:rsid w:val="00EE0145"/>
    <w:rsid w:val="00EE1126"/>
    <w:rsid w:val="00EE2FE2"/>
    <w:rsid w:val="00EE4B7A"/>
    <w:rsid w:val="00EF0F62"/>
    <w:rsid w:val="00F0099E"/>
    <w:rsid w:val="00F12607"/>
    <w:rsid w:val="00F15F98"/>
    <w:rsid w:val="00F34748"/>
    <w:rsid w:val="00F4281C"/>
    <w:rsid w:val="00F56C66"/>
    <w:rsid w:val="00F56EB0"/>
    <w:rsid w:val="00F576B9"/>
    <w:rsid w:val="00F636D3"/>
    <w:rsid w:val="00F65750"/>
    <w:rsid w:val="00F65EA2"/>
    <w:rsid w:val="00F67E96"/>
    <w:rsid w:val="00F819DE"/>
    <w:rsid w:val="00F87FAB"/>
    <w:rsid w:val="00FA70B7"/>
    <w:rsid w:val="00FC23C3"/>
    <w:rsid w:val="00FC7F15"/>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220</TotalTime>
  <Pages>4</Pages>
  <Words>906</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Résolution 84 – Études relatives à la protection des utilisateurs de services de télécommunication/technologies de l'information et de la communication</vt:lpstr>
    </vt:vector>
  </TitlesOfParts>
  <Company>ITU</Company>
  <LinksUpToDate>false</LinksUpToDate>
  <CharactersWithSpaces>6299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88 – Itinérance mobile internationale</dc:title>
  <dc:subject>ASSEMBLÉE MONDIALE DE NORMALISATION DES TÉLÉCOMMUNICATIONS</dc:subject>
  <dc:creator>ITU-T</dc:creator>
  <cp:keywords/>
  <dc:description/>
  <cp:lastModifiedBy>Saez Grau, Ricardo</cp:lastModifiedBy>
  <cp:revision>81</cp:revision>
  <cp:lastPrinted>2024-11-27T08:10:00Z</cp:lastPrinted>
  <dcterms:created xsi:type="dcterms:W3CDTF">2024-09-24T12:18:00Z</dcterms:created>
  <dcterms:modified xsi:type="dcterms:W3CDTF">2024-11-27T08:10:00Z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