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D5430D"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D5430D"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66579567" w:rsidR="00EA2A26" w:rsidRPr="001108C2" w:rsidRDefault="00EA2A26" w:rsidP="008D6223">
            <w:pPr>
              <w:pStyle w:val="BodyText"/>
              <w:spacing w:before="440"/>
              <w:jc w:val="left"/>
              <w:rPr>
                <w:spacing w:val="-6"/>
                <w:sz w:val="44"/>
                <w:szCs w:val="44"/>
                <w:lang w:val="en-GB"/>
              </w:rPr>
            </w:pPr>
            <w:bookmarkStart w:id="1" w:name="_Hlk183524451"/>
            <w:r>
              <w:rPr>
                <w:spacing w:val="-6"/>
                <w:sz w:val="44"/>
                <w:szCs w:val="44"/>
                <w:lang w:val="en-GB"/>
              </w:rPr>
              <w:t xml:space="preserve">Resolution </w:t>
            </w:r>
            <w:r w:rsidR="00C84984">
              <w:rPr>
                <w:spacing w:val="-6"/>
                <w:sz w:val="44"/>
                <w:szCs w:val="44"/>
                <w:lang w:val="en-GB"/>
              </w:rPr>
              <w:t>8</w:t>
            </w:r>
            <w:r w:rsidR="008E18AA">
              <w:rPr>
                <w:spacing w:val="-6"/>
                <w:sz w:val="44"/>
                <w:szCs w:val="44"/>
                <w:lang w:val="en-GB"/>
              </w:rPr>
              <w:t>8</w:t>
            </w:r>
            <w:r w:rsidR="00845E8E">
              <w:rPr>
                <w:spacing w:val="-6"/>
                <w:sz w:val="44"/>
                <w:szCs w:val="44"/>
                <w:lang w:val="en-GB"/>
              </w:rPr>
              <w:t xml:space="preserve"> – </w:t>
            </w:r>
            <w:bookmarkStart w:id="2" w:name="_Toc104459784"/>
            <w:bookmarkStart w:id="3" w:name="_Toc104476592"/>
            <w:bookmarkStart w:id="4" w:name="_Toc111638485"/>
            <w:bookmarkEnd w:id="1"/>
            <w:r w:rsidR="008E18AA" w:rsidRPr="008E18AA">
              <w:rPr>
                <w:spacing w:val="-6"/>
                <w:sz w:val="44"/>
                <w:szCs w:val="44"/>
                <w:lang w:val="en-GB"/>
              </w:rPr>
              <w:t>International mobile roaming</w:t>
            </w:r>
            <w:bookmarkEnd w:id="2"/>
            <w:bookmarkEnd w:id="3"/>
            <w:bookmarkEnd w:id="4"/>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5" w:name="irecnoe"/>
      <w:bookmarkEnd w:id="5"/>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2C19C354" w:rsidR="008D6223" w:rsidRDefault="008D6223" w:rsidP="007C2680">
      <w:pPr>
        <w:pStyle w:val="ResNo"/>
        <w:outlineLvl w:val="0"/>
        <w:rPr>
          <w:lang w:val="en-GB"/>
        </w:rPr>
      </w:pPr>
      <w:bookmarkStart w:id="6" w:name="_Toc104459697"/>
      <w:bookmarkStart w:id="7" w:name="_Toc104476505"/>
      <w:bookmarkStart w:id="8" w:name="_Toc111636752"/>
      <w:bookmarkStart w:id="9" w:name="_Toc111638398"/>
      <w:r w:rsidRPr="008D6223">
        <w:rPr>
          <w:lang w:val="en-GB"/>
        </w:rPr>
        <w:lastRenderedPageBreak/>
        <w:t>RESOLUTION </w:t>
      </w:r>
      <w:r w:rsidR="00C84984">
        <w:rPr>
          <w:rStyle w:val="href"/>
          <w:lang w:val="en-GB"/>
        </w:rPr>
        <w:t>8</w:t>
      </w:r>
      <w:r w:rsidR="008E18AA">
        <w:rPr>
          <w:rStyle w:val="href"/>
          <w:lang w:val="en-GB"/>
        </w:rPr>
        <w:t>8</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6"/>
      <w:bookmarkEnd w:id="7"/>
      <w:bookmarkEnd w:id="8"/>
      <w:bookmarkEnd w:id="9"/>
    </w:p>
    <w:p w14:paraId="2369C988" w14:textId="77777777" w:rsidR="008E18AA" w:rsidRPr="008E18AA" w:rsidRDefault="008E18AA" w:rsidP="008E18AA">
      <w:pPr>
        <w:pStyle w:val="Restitle"/>
        <w:outlineLvl w:val="0"/>
        <w:rPr>
          <w:lang w:val="en-GB"/>
        </w:rPr>
      </w:pPr>
      <w:r w:rsidRPr="008E18AA">
        <w:rPr>
          <w:lang w:val="en-GB"/>
        </w:rPr>
        <w:t>International mobile roaming</w:t>
      </w:r>
    </w:p>
    <w:p w14:paraId="2C6527E5" w14:textId="77777777" w:rsidR="008E18AA" w:rsidRPr="008E18AA" w:rsidRDefault="008E18AA" w:rsidP="008E18AA">
      <w:pPr>
        <w:pStyle w:val="Recref"/>
        <w:rPr>
          <w:rFonts w:eastAsia="Calibri"/>
          <w:lang w:val="en-GB" w:eastAsia="en-GB"/>
        </w:rPr>
      </w:pPr>
      <w:r w:rsidRPr="008E18AA">
        <w:rPr>
          <w:lang w:val="en-GB"/>
        </w:rPr>
        <w:t>(</w:t>
      </w:r>
      <w:proofErr w:type="spellStart"/>
      <w:r w:rsidRPr="008E18AA">
        <w:rPr>
          <w:lang w:val="en-GB"/>
        </w:rPr>
        <w:t>Hammamet</w:t>
      </w:r>
      <w:proofErr w:type="spellEnd"/>
      <w:r w:rsidRPr="008E18AA">
        <w:rPr>
          <w:lang w:val="en-GB"/>
        </w:rPr>
        <w:t xml:space="preserve">, 2016; </w:t>
      </w:r>
      <w:r w:rsidRPr="008E18AA">
        <w:rPr>
          <w:iCs/>
          <w:lang w:val="en-GB"/>
        </w:rPr>
        <w:t>New Delhi, 2024</w:t>
      </w:r>
      <w:r w:rsidRPr="008E18AA">
        <w:rPr>
          <w:lang w:val="en-GB"/>
        </w:rPr>
        <w:t>)</w:t>
      </w:r>
    </w:p>
    <w:p w14:paraId="3FB84C97" w14:textId="77777777" w:rsidR="008E18AA" w:rsidRPr="00174C13" w:rsidRDefault="008E18AA" w:rsidP="008E18AA">
      <w:pPr>
        <w:pStyle w:val="Normalaftertitle0"/>
      </w:pPr>
      <w:r w:rsidRPr="00174C13">
        <w:t>The World Telecommunication Standardization Assembly (New Delhi, 2024),</w:t>
      </w:r>
    </w:p>
    <w:p w14:paraId="1C5F12E0" w14:textId="77777777" w:rsidR="008E18AA" w:rsidRPr="008E18AA" w:rsidRDefault="008E18AA" w:rsidP="008E18AA">
      <w:pPr>
        <w:pStyle w:val="Call"/>
        <w:rPr>
          <w:lang w:val="en-GB"/>
        </w:rPr>
      </w:pPr>
      <w:r w:rsidRPr="008E18AA">
        <w:rPr>
          <w:lang w:val="en-GB"/>
        </w:rPr>
        <w:t>considering</w:t>
      </w:r>
    </w:p>
    <w:p w14:paraId="0663E2EF" w14:textId="77777777" w:rsidR="008E18AA" w:rsidRPr="008E18AA" w:rsidRDefault="008E18AA" w:rsidP="008E18AA">
      <w:pPr>
        <w:rPr>
          <w:lang w:val="en-GB"/>
        </w:rPr>
      </w:pPr>
      <w:r w:rsidRPr="008E18AA">
        <w:rPr>
          <w:i/>
          <w:iCs/>
          <w:lang w:val="en-GB"/>
        </w:rPr>
        <w:t>a)</w:t>
      </w:r>
      <w:r w:rsidRPr="008E18AA">
        <w:rPr>
          <w:lang w:val="en-GB"/>
        </w:rPr>
        <w:tab/>
      </w:r>
      <w:bookmarkStart w:id="10" w:name="_Hlk180321447"/>
      <w:r w:rsidRPr="008E18AA">
        <w:rPr>
          <w:lang w:val="en-GB"/>
        </w:rPr>
        <w:t>the results of the ITU High-Level Workshop on international mobile roaming (IMR), held in Geneva on 23</w:t>
      </w:r>
      <w:r w:rsidRPr="008E18AA">
        <w:rPr>
          <w:lang w:val="en-GB"/>
        </w:rPr>
        <w:noBreakHyphen/>
        <w:t>24 September </w:t>
      </w:r>
      <w:proofErr w:type="gramStart"/>
      <w:r w:rsidRPr="008E18AA">
        <w:rPr>
          <w:lang w:val="en-GB"/>
        </w:rPr>
        <w:t>2013;</w:t>
      </w:r>
      <w:bookmarkEnd w:id="10"/>
      <w:proofErr w:type="gramEnd"/>
    </w:p>
    <w:p w14:paraId="4105B035" w14:textId="77777777" w:rsidR="008E18AA" w:rsidRPr="008E18AA" w:rsidRDefault="008E18AA" w:rsidP="008E18AA">
      <w:pPr>
        <w:rPr>
          <w:lang w:val="en-GB"/>
        </w:rPr>
      </w:pPr>
      <w:r w:rsidRPr="008E18AA">
        <w:rPr>
          <w:i/>
          <w:iCs/>
          <w:lang w:val="en-GB"/>
        </w:rPr>
        <w:t>b)</w:t>
      </w:r>
      <w:r w:rsidRPr="008E18AA">
        <w:rPr>
          <w:lang w:val="en-GB"/>
        </w:rPr>
        <w:tab/>
        <w:t>the results of the ITU Global Dialogue on IMR, held in Geneva on 18 September </w:t>
      </w:r>
      <w:proofErr w:type="gramStart"/>
      <w:r w:rsidRPr="008E18AA">
        <w:rPr>
          <w:lang w:val="en-GB"/>
        </w:rPr>
        <w:t>2015;</w:t>
      </w:r>
      <w:proofErr w:type="gramEnd"/>
    </w:p>
    <w:p w14:paraId="1245C2BD" w14:textId="77777777" w:rsidR="008E18AA" w:rsidRPr="008E18AA" w:rsidRDefault="008E18AA" w:rsidP="008E18AA">
      <w:pPr>
        <w:rPr>
          <w:lang w:val="en-GB"/>
        </w:rPr>
      </w:pPr>
      <w:r w:rsidRPr="008E18AA">
        <w:rPr>
          <w:i/>
          <w:iCs/>
          <w:lang w:val="en-GB"/>
        </w:rPr>
        <w:t>c)</w:t>
      </w:r>
      <w:r w:rsidRPr="008E18AA">
        <w:rPr>
          <w:lang w:val="en-GB"/>
        </w:rPr>
        <w:tab/>
        <w:t>that the tasks undertaken in the ITU Telecommunication Standardization Sector (ITU</w:t>
      </w:r>
      <w:r w:rsidRPr="008E18AA">
        <w:rPr>
          <w:lang w:val="en-GB"/>
        </w:rPr>
        <w:noBreakHyphen/>
        <w:t xml:space="preserve">T) cover Recommendations, conformity assessment and matters having policy or regulatory </w:t>
      </w:r>
      <w:proofErr w:type="gramStart"/>
      <w:r w:rsidRPr="008E18AA">
        <w:rPr>
          <w:lang w:val="en-GB"/>
        </w:rPr>
        <w:t>implications;</w:t>
      </w:r>
      <w:proofErr w:type="gramEnd"/>
    </w:p>
    <w:p w14:paraId="194C8C34" w14:textId="77777777" w:rsidR="008E18AA" w:rsidRPr="008E18AA" w:rsidRDefault="008E18AA" w:rsidP="008E18AA">
      <w:pPr>
        <w:rPr>
          <w:lang w:val="en-GB"/>
        </w:rPr>
      </w:pPr>
      <w:r w:rsidRPr="008E18AA">
        <w:rPr>
          <w:i/>
          <w:iCs/>
          <w:lang w:val="en-GB"/>
        </w:rPr>
        <w:t>d)</w:t>
      </w:r>
      <w:r w:rsidRPr="008E18AA">
        <w:rPr>
          <w:lang w:val="en-GB"/>
        </w:rPr>
        <w:tab/>
        <w:t xml:space="preserve">that the economy is increasingly dependent on reliable, cost-effective, competitive and affordable mobile communication technology on a global </w:t>
      </w:r>
      <w:proofErr w:type="gramStart"/>
      <w:r w:rsidRPr="008E18AA">
        <w:rPr>
          <w:lang w:val="en-GB"/>
        </w:rPr>
        <w:t>scale;</w:t>
      </w:r>
      <w:proofErr w:type="gramEnd"/>
    </w:p>
    <w:p w14:paraId="28AB5B91" w14:textId="77777777" w:rsidR="008E18AA" w:rsidRPr="008E18AA" w:rsidRDefault="008E18AA" w:rsidP="008E18AA">
      <w:pPr>
        <w:rPr>
          <w:lang w:val="en-GB"/>
        </w:rPr>
      </w:pPr>
      <w:r w:rsidRPr="008E18AA">
        <w:rPr>
          <w:i/>
          <w:iCs/>
          <w:lang w:val="en-GB"/>
        </w:rPr>
        <w:t>e)</w:t>
      </w:r>
      <w:r w:rsidRPr="008E18AA">
        <w:rPr>
          <w:lang w:val="en-GB"/>
        </w:rPr>
        <w:tab/>
        <w:t xml:space="preserve">that wholesale IMR tariffs are decoupled from underlying costs, which may have an effect on retail rates, including inconsistent and arbitrary </w:t>
      </w:r>
      <w:proofErr w:type="gramStart"/>
      <w:r w:rsidRPr="008E18AA">
        <w:rPr>
          <w:lang w:val="en-GB"/>
        </w:rPr>
        <w:t>charges;</w:t>
      </w:r>
      <w:proofErr w:type="gramEnd"/>
    </w:p>
    <w:p w14:paraId="50E497C0" w14:textId="77777777" w:rsidR="008E18AA" w:rsidRPr="008E18AA" w:rsidRDefault="008E18AA" w:rsidP="008E18AA">
      <w:pPr>
        <w:rPr>
          <w:lang w:val="en-GB"/>
        </w:rPr>
      </w:pPr>
      <w:r w:rsidRPr="008E18AA">
        <w:rPr>
          <w:i/>
          <w:iCs/>
          <w:lang w:val="en-GB"/>
        </w:rPr>
        <w:t>f)</w:t>
      </w:r>
      <w:r w:rsidRPr="008E18AA">
        <w:rPr>
          <w:lang w:val="en-GB"/>
        </w:rPr>
        <w:tab/>
        <w:t xml:space="preserve">that a competitive international telecommunication market may not exist if significant differences persist between national prices and IMR </w:t>
      </w:r>
      <w:proofErr w:type="gramStart"/>
      <w:r w:rsidRPr="008E18AA">
        <w:rPr>
          <w:lang w:val="en-GB"/>
        </w:rPr>
        <w:t>prices;</w:t>
      </w:r>
      <w:proofErr w:type="gramEnd"/>
    </w:p>
    <w:p w14:paraId="6C9E84ED" w14:textId="77777777" w:rsidR="008E18AA" w:rsidRPr="008E18AA" w:rsidRDefault="008E18AA" w:rsidP="008E18AA">
      <w:pPr>
        <w:rPr>
          <w:lang w:val="en-GB"/>
        </w:rPr>
      </w:pPr>
      <w:r w:rsidRPr="008E18AA">
        <w:rPr>
          <w:i/>
          <w:iCs/>
          <w:lang w:val="en-GB"/>
        </w:rPr>
        <w:t>g)</w:t>
      </w:r>
      <w:r w:rsidRPr="008E18AA">
        <w:rPr>
          <w:lang w:val="en-GB"/>
        </w:rPr>
        <w:tab/>
        <w:t xml:space="preserve">that there are differences in costs between countries and </w:t>
      </w:r>
      <w:proofErr w:type="gramStart"/>
      <w:r w:rsidRPr="008E18AA">
        <w:rPr>
          <w:lang w:val="en-GB"/>
        </w:rPr>
        <w:t>regions;</w:t>
      </w:r>
      <w:proofErr w:type="gramEnd"/>
    </w:p>
    <w:p w14:paraId="185E72AF" w14:textId="77777777" w:rsidR="008E18AA" w:rsidRPr="008E18AA" w:rsidRDefault="008E18AA" w:rsidP="008E18AA">
      <w:pPr>
        <w:rPr>
          <w:lang w:val="en-GB"/>
        </w:rPr>
      </w:pPr>
      <w:r w:rsidRPr="008E18AA">
        <w:rPr>
          <w:i/>
          <w:iCs/>
          <w:lang w:val="en-GB"/>
        </w:rPr>
        <w:t>h)</w:t>
      </w:r>
      <w:r w:rsidRPr="008E18AA">
        <w:rPr>
          <w:lang w:val="en-GB"/>
        </w:rPr>
        <w:tab/>
        <w:t>that the adoption and usage of International Mobile Telecommunications (IMT) has grown manyfold,</w:t>
      </w:r>
    </w:p>
    <w:p w14:paraId="7A625D57" w14:textId="77777777" w:rsidR="008E18AA" w:rsidRPr="008E18AA" w:rsidRDefault="008E18AA" w:rsidP="008E18AA">
      <w:pPr>
        <w:pStyle w:val="Call"/>
        <w:rPr>
          <w:lang w:val="en-GB"/>
        </w:rPr>
      </w:pPr>
      <w:r w:rsidRPr="008E18AA">
        <w:rPr>
          <w:lang w:val="en-GB"/>
        </w:rPr>
        <w:t>considering further</w:t>
      </w:r>
    </w:p>
    <w:p w14:paraId="2AA3D488" w14:textId="77777777" w:rsidR="008E18AA" w:rsidRPr="008E18AA" w:rsidRDefault="008E18AA" w:rsidP="008E18AA">
      <w:pPr>
        <w:rPr>
          <w:lang w:val="en-GB"/>
        </w:rPr>
      </w:pPr>
      <w:r w:rsidRPr="008E18AA">
        <w:rPr>
          <w:i/>
          <w:iCs/>
          <w:lang w:val="en-GB"/>
        </w:rPr>
        <w:t>a)</w:t>
      </w:r>
      <w:r w:rsidRPr="008E18AA">
        <w:rPr>
          <w:lang w:val="en-GB"/>
        </w:rPr>
        <w:tab/>
        <w:t xml:space="preserve">the strong growth of IMT systems and other technologies, and the role of Internet of Things (IoT) and machine-to-machine (M2M) roaming arrangements in helping to facilitate this </w:t>
      </w:r>
      <w:proofErr w:type="gramStart"/>
      <w:r w:rsidRPr="008E18AA">
        <w:rPr>
          <w:lang w:val="en-GB"/>
        </w:rPr>
        <w:t>development;</w:t>
      </w:r>
      <w:proofErr w:type="gramEnd"/>
    </w:p>
    <w:p w14:paraId="6A1D3E0B" w14:textId="77777777" w:rsidR="008E18AA" w:rsidRPr="008E18AA" w:rsidRDefault="008E18AA" w:rsidP="008E18AA">
      <w:pPr>
        <w:rPr>
          <w:lang w:val="en-GB"/>
        </w:rPr>
      </w:pPr>
      <w:r w:rsidRPr="008E18AA">
        <w:rPr>
          <w:i/>
          <w:iCs/>
          <w:lang w:val="en-GB"/>
        </w:rPr>
        <w:t>b)</w:t>
      </w:r>
      <w:r w:rsidRPr="008E18AA">
        <w:rPr>
          <w:lang w:val="en-GB"/>
        </w:rPr>
        <w:tab/>
        <w:t>the ITU</w:t>
      </w:r>
      <w:r w:rsidRPr="008E18AA">
        <w:rPr>
          <w:lang w:val="en-GB"/>
        </w:rPr>
        <w:noBreakHyphen/>
        <w:t xml:space="preserve">T technical report on roaming aspects of IoT and M2M, which emphasized the fundamental differences between traditional telecommunication services and IoT/M2M services, such as their connected elements and connections, core services, average revenue per user, and business </w:t>
      </w:r>
      <w:proofErr w:type="gramStart"/>
      <w:r w:rsidRPr="008E18AA">
        <w:rPr>
          <w:lang w:val="en-GB"/>
        </w:rPr>
        <w:t>models;</w:t>
      </w:r>
      <w:proofErr w:type="gramEnd"/>
    </w:p>
    <w:p w14:paraId="7EE227A0" w14:textId="77777777" w:rsidR="008E18AA" w:rsidRPr="008E18AA" w:rsidRDefault="008E18AA" w:rsidP="008E18AA">
      <w:pPr>
        <w:rPr>
          <w:lang w:val="en-GB"/>
        </w:rPr>
      </w:pPr>
      <w:r w:rsidRPr="008E18AA">
        <w:rPr>
          <w:i/>
          <w:iCs/>
          <w:lang w:val="en-GB"/>
        </w:rPr>
        <w:t>c)</w:t>
      </w:r>
      <w:r w:rsidRPr="008E18AA">
        <w:rPr>
          <w:lang w:val="en-GB"/>
        </w:rPr>
        <w:tab/>
        <w:t>the ITU High-Level Workshop on IMR noted that, "in relation to M2M roaming, it is important to distinguish M2M roaming from traditional consumer voice and data roaming, as the issues and implications arising are quite different and the problems associated with consumer roaming prices did not materialize",</w:t>
      </w:r>
    </w:p>
    <w:p w14:paraId="45171A17" w14:textId="77777777" w:rsidR="008E18AA" w:rsidRPr="008E18AA" w:rsidRDefault="008E18AA" w:rsidP="008E18AA">
      <w:pPr>
        <w:rPr>
          <w:lang w:val="en-GB"/>
        </w:rPr>
      </w:pPr>
      <w:r w:rsidRPr="008E18AA">
        <w:rPr>
          <w:lang w:val="en-GB"/>
        </w:rPr>
        <w:br w:type="page"/>
      </w:r>
    </w:p>
    <w:p w14:paraId="2250ACAA" w14:textId="77777777" w:rsidR="008E18AA" w:rsidRPr="008E18AA" w:rsidRDefault="008E18AA" w:rsidP="008E18AA">
      <w:pPr>
        <w:pStyle w:val="Call"/>
        <w:rPr>
          <w:lang w:val="en-GB"/>
        </w:rPr>
      </w:pPr>
      <w:r w:rsidRPr="008E18AA">
        <w:rPr>
          <w:lang w:val="en-GB"/>
        </w:rPr>
        <w:lastRenderedPageBreak/>
        <w:t>noting</w:t>
      </w:r>
    </w:p>
    <w:p w14:paraId="0BFCB41A" w14:textId="77777777" w:rsidR="008E18AA" w:rsidRPr="008E18AA" w:rsidRDefault="008E18AA" w:rsidP="008E18AA">
      <w:pPr>
        <w:rPr>
          <w:lang w:val="en-GB"/>
        </w:rPr>
      </w:pPr>
      <w:r w:rsidRPr="008E18AA">
        <w:rPr>
          <w:i/>
          <w:iCs/>
          <w:lang w:val="en-GB"/>
        </w:rPr>
        <w:t>a)</w:t>
      </w:r>
      <w:r w:rsidRPr="008E18AA">
        <w:rPr>
          <w:lang w:val="en-GB"/>
        </w:rPr>
        <w:tab/>
        <w:t>that Recommendation ITU</w:t>
      </w:r>
      <w:r w:rsidRPr="008E18AA">
        <w:rPr>
          <w:lang w:val="en-GB"/>
        </w:rPr>
        <w:noBreakHyphen/>
        <w:t xml:space="preserve">T D.98 is an agreement concluded between Member States and Sector Members in </w:t>
      </w:r>
      <w:proofErr w:type="gramStart"/>
      <w:r w:rsidRPr="008E18AA">
        <w:rPr>
          <w:lang w:val="en-GB"/>
        </w:rPr>
        <w:t>2012;</w:t>
      </w:r>
      <w:proofErr w:type="gramEnd"/>
    </w:p>
    <w:p w14:paraId="789601B7" w14:textId="77777777" w:rsidR="008E18AA" w:rsidRPr="008E18AA" w:rsidRDefault="008E18AA" w:rsidP="008E18AA">
      <w:pPr>
        <w:rPr>
          <w:lang w:val="en-GB"/>
        </w:rPr>
      </w:pPr>
      <w:r w:rsidRPr="008E18AA">
        <w:rPr>
          <w:i/>
          <w:iCs/>
          <w:lang w:val="en-GB"/>
        </w:rPr>
        <w:t>b)</w:t>
      </w:r>
      <w:r w:rsidRPr="008E18AA">
        <w:rPr>
          <w:lang w:val="en-GB"/>
        </w:rPr>
        <w:tab/>
        <w:t>that Recommendation ITU</w:t>
      </w:r>
      <w:r w:rsidRPr="008E18AA">
        <w:rPr>
          <w:lang w:val="en-GB"/>
        </w:rPr>
        <w:noBreakHyphen/>
        <w:t>T D.97 contains possible approaches to the reduction of excessive roaming rates, highlighting the need to encourage competition in the roaming market, educate consumers and consider appropriate regulatory actions such as the introduction of caps on roaming rates,</w:t>
      </w:r>
    </w:p>
    <w:p w14:paraId="2DCCB321" w14:textId="77777777" w:rsidR="008E18AA" w:rsidRPr="008E18AA" w:rsidRDefault="008E18AA" w:rsidP="008E18AA">
      <w:pPr>
        <w:pStyle w:val="Call"/>
        <w:rPr>
          <w:lang w:val="en-GB"/>
        </w:rPr>
      </w:pPr>
      <w:r w:rsidRPr="008E18AA">
        <w:rPr>
          <w:lang w:val="en-GB"/>
        </w:rPr>
        <w:t>noting further</w:t>
      </w:r>
    </w:p>
    <w:p w14:paraId="2100D753" w14:textId="77777777" w:rsidR="008E18AA" w:rsidRPr="008E18AA" w:rsidRDefault="008E18AA" w:rsidP="008E18AA">
      <w:pPr>
        <w:rPr>
          <w:lang w:val="en-GB"/>
        </w:rPr>
      </w:pPr>
      <w:r w:rsidRPr="008E18AA">
        <w:rPr>
          <w:i/>
          <w:iCs/>
          <w:lang w:val="en-GB"/>
        </w:rPr>
        <w:t>a)</w:t>
      </w:r>
      <w:r w:rsidRPr="008E18AA">
        <w:rPr>
          <w:lang w:val="en-GB"/>
        </w:rPr>
        <w:tab/>
        <w:t>the ongoing work in ITU</w:t>
      </w:r>
      <w:r w:rsidRPr="008E18AA">
        <w:rPr>
          <w:lang w:val="en-GB"/>
        </w:rPr>
        <w:noBreakHyphen/>
        <w:t xml:space="preserve">T Study Group 3 on the roaming aspects of IoT and </w:t>
      </w:r>
      <w:proofErr w:type="gramStart"/>
      <w:r w:rsidRPr="008E18AA">
        <w:rPr>
          <w:lang w:val="en-GB"/>
        </w:rPr>
        <w:t>M2M;</w:t>
      </w:r>
      <w:proofErr w:type="gramEnd"/>
    </w:p>
    <w:p w14:paraId="385158EE" w14:textId="77777777" w:rsidR="008E18AA" w:rsidRPr="008E18AA" w:rsidRDefault="008E18AA" w:rsidP="008E18AA">
      <w:pPr>
        <w:rPr>
          <w:lang w:val="en-GB"/>
        </w:rPr>
      </w:pPr>
      <w:r w:rsidRPr="008E18AA">
        <w:rPr>
          <w:i/>
          <w:iCs/>
          <w:lang w:val="en-GB"/>
        </w:rPr>
        <w:t>b)</w:t>
      </w:r>
      <w:r w:rsidRPr="008E18AA">
        <w:rPr>
          <w:lang w:val="en-GB"/>
        </w:rPr>
        <w:tab/>
        <w:t>the range of commercial agreements and other mechanisms that have supported the successful global deployment of IoT/M2M services,</w:t>
      </w:r>
    </w:p>
    <w:p w14:paraId="23CD6AC5" w14:textId="77777777" w:rsidR="008E18AA" w:rsidRPr="008E18AA" w:rsidRDefault="008E18AA" w:rsidP="008E18AA">
      <w:pPr>
        <w:pStyle w:val="Call"/>
        <w:rPr>
          <w:lang w:val="en-GB"/>
        </w:rPr>
      </w:pPr>
      <w:r w:rsidRPr="008E18AA">
        <w:rPr>
          <w:lang w:val="en-GB"/>
        </w:rPr>
        <w:t>resolves</w:t>
      </w:r>
    </w:p>
    <w:p w14:paraId="1A85C5E9" w14:textId="77777777" w:rsidR="008E18AA" w:rsidRPr="008E18AA" w:rsidRDefault="008E18AA" w:rsidP="008E18AA">
      <w:pPr>
        <w:rPr>
          <w:lang w:val="en-GB"/>
        </w:rPr>
      </w:pPr>
      <w:r w:rsidRPr="008E18AA">
        <w:rPr>
          <w:lang w:val="en-GB"/>
        </w:rPr>
        <w:t>1</w:t>
      </w:r>
      <w:r w:rsidRPr="008E18AA">
        <w:rPr>
          <w:lang w:val="en-GB"/>
        </w:rPr>
        <w:tab/>
        <w:t>that ITU</w:t>
      </w:r>
      <w:r w:rsidRPr="008E18AA">
        <w:rPr>
          <w:lang w:val="en-GB"/>
        </w:rPr>
        <w:noBreakHyphen/>
        <w:t xml:space="preserve">T Study Group 3 continue to study the economic effects of IMR rates, including principles and methodologies for facilitating fair and reasonable IMR </w:t>
      </w:r>
      <w:proofErr w:type="gramStart"/>
      <w:r w:rsidRPr="008E18AA">
        <w:rPr>
          <w:lang w:val="en-GB"/>
        </w:rPr>
        <w:t>arrangements;</w:t>
      </w:r>
      <w:proofErr w:type="gramEnd"/>
    </w:p>
    <w:p w14:paraId="190633EB" w14:textId="77777777" w:rsidR="008E18AA" w:rsidRPr="008E18AA" w:rsidRDefault="008E18AA" w:rsidP="008E18AA">
      <w:pPr>
        <w:rPr>
          <w:lang w:val="en-GB"/>
        </w:rPr>
      </w:pPr>
      <w:r w:rsidRPr="008E18AA">
        <w:rPr>
          <w:lang w:val="en-GB"/>
        </w:rPr>
        <w:t>2</w:t>
      </w:r>
      <w:r w:rsidRPr="008E18AA">
        <w:rPr>
          <w:lang w:val="en-GB"/>
        </w:rPr>
        <w:tab/>
        <w:t>that ITU</w:t>
      </w:r>
      <w:r w:rsidRPr="008E18AA">
        <w:rPr>
          <w:lang w:val="en-GB"/>
        </w:rPr>
        <w:noBreakHyphen/>
        <w:t>T Study Group 3 continue to study the roaming aspects of IoT/M2M services,</w:t>
      </w:r>
    </w:p>
    <w:p w14:paraId="1E0281A9" w14:textId="77777777" w:rsidR="008E18AA" w:rsidRPr="008E18AA" w:rsidRDefault="008E18AA" w:rsidP="008E18AA">
      <w:pPr>
        <w:pStyle w:val="Call"/>
        <w:rPr>
          <w:lang w:val="en-GB"/>
        </w:rPr>
      </w:pPr>
      <w:r w:rsidRPr="008E18AA">
        <w:rPr>
          <w:lang w:val="en-GB"/>
        </w:rPr>
        <w:t>instructs the Director of the Telecommunication Standardization Bureau</w:t>
      </w:r>
    </w:p>
    <w:p w14:paraId="6134E837" w14:textId="77777777" w:rsidR="008E18AA" w:rsidRPr="008E18AA" w:rsidRDefault="008E18AA" w:rsidP="008E18AA">
      <w:pPr>
        <w:rPr>
          <w:lang w:val="en-GB"/>
        </w:rPr>
      </w:pPr>
      <w:r w:rsidRPr="008E18AA">
        <w:rPr>
          <w:lang w:val="en-GB"/>
        </w:rPr>
        <w:t>1</w:t>
      </w:r>
      <w:r w:rsidRPr="008E18AA">
        <w:rPr>
          <w:lang w:val="en-GB"/>
        </w:rPr>
        <w:tab/>
        <w:t xml:space="preserve">to organize initiatives, in collaboration with the Director of the Telecommunication Development Bureau, to raise awareness of the benefits to the consumer of lowering IMR </w:t>
      </w:r>
      <w:proofErr w:type="gramStart"/>
      <w:r w:rsidRPr="008E18AA">
        <w:rPr>
          <w:lang w:val="en-GB"/>
        </w:rPr>
        <w:t>rates;</w:t>
      </w:r>
      <w:proofErr w:type="gramEnd"/>
    </w:p>
    <w:p w14:paraId="45BD6C2F" w14:textId="77777777" w:rsidR="008E18AA" w:rsidRPr="008E18AA" w:rsidRDefault="008E18AA" w:rsidP="008E18AA">
      <w:pPr>
        <w:rPr>
          <w:lang w:val="en-GB"/>
        </w:rPr>
      </w:pPr>
      <w:r w:rsidRPr="008E18AA">
        <w:rPr>
          <w:lang w:val="en-GB"/>
        </w:rPr>
        <w:t>2</w:t>
      </w:r>
      <w:r w:rsidRPr="008E18AA">
        <w:rPr>
          <w:lang w:val="en-GB"/>
        </w:rPr>
        <w:tab/>
        <w:t>to propose cooperative approaches to foster the implementation of Recommendations ITU</w:t>
      </w:r>
      <w:r w:rsidRPr="008E18AA">
        <w:rPr>
          <w:lang w:val="en-GB"/>
        </w:rPr>
        <w:noBreakHyphen/>
        <w:t>T D.98 and ITU</w:t>
      </w:r>
      <w:r w:rsidRPr="008E18AA">
        <w:rPr>
          <w:lang w:val="en-GB"/>
        </w:rPr>
        <w:noBreakHyphen/>
        <w:t>T D.97, and to lower IMR rates among the Member States, by promoting capacity-building programmes, workshops and guidelines for international cooperation agreements,</w:t>
      </w:r>
    </w:p>
    <w:p w14:paraId="0EEC17A0" w14:textId="77777777" w:rsidR="008E18AA" w:rsidRPr="008E18AA" w:rsidRDefault="008E18AA" w:rsidP="008E18AA">
      <w:pPr>
        <w:pStyle w:val="Call"/>
        <w:rPr>
          <w:lang w:val="en-GB"/>
        </w:rPr>
      </w:pPr>
      <w:r w:rsidRPr="008E18AA">
        <w:rPr>
          <w:lang w:val="en-GB"/>
        </w:rPr>
        <w:t>invites Member States</w:t>
      </w:r>
    </w:p>
    <w:p w14:paraId="125312B8" w14:textId="77777777" w:rsidR="008E18AA" w:rsidRPr="008E18AA" w:rsidRDefault="008E18AA" w:rsidP="008E18AA">
      <w:pPr>
        <w:rPr>
          <w:lang w:val="en-GB"/>
        </w:rPr>
      </w:pPr>
      <w:r w:rsidRPr="008E18AA">
        <w:rPr>
          <w:lang w:val="en-GB"/>
        </w:rPr>
        <w:t>1</w:t>
      </w:r>
      <w:r w:rsidRPr="008E18AA">
        <w:rPr>
          <w:lang w:val="en-GB"/>
        </w:rPr>
        <w:tab/>
        <w:t>to take measures towards the implementation of Recommendations ITU</w:t>
      </w:r>
      <w:r w:rsidRPr="008E18AA">
        <w:rPr>
          <w:lang w:val="en-GB"/>
        </w:rPr>
        <w:noBreakHyphen/>
        <w:t>T D.98 and ITU</w:t>
      </w:r>
      <w:r w:rsidRPr="008E18AA">
        <w:rPr>
          <w:lang w:val="en-GB"/>
        </w:rPr>
        <w:noBreakHyphen/>
        <w:t>T D.</w:t>
      </w:r>
      <w:proofErr w:type="gramStart"/>
      <w:r w:rsidRPr="008E18AA">
        <w:rPr>
          <w:lang w:val="en-GB"/>
        </w:rPr>
        <w:t>97;</w:t>
      </w:r>
      <w:proofErr w:type="gramEnd"/>
    </w:p>
    <w:p w14:paraId="1801DC29" w14:textId="77777777" w:rsidR="008E18AA" w:rsidRPr="008E18AA" w:rsidRDefault="008E18AA" w:rsidP="008E18AA">
      <w:pPr>
        <w:rPr>
          <w:lang w:val="en-GB"/>
        </w:rPr>
      </w:pPr>
      <w:r w:rsidRPr="008E18AA">
        <w:rPr>
          <w:lang w:val="en-GB"/>
        </w:rPr>
        <w:t>2</w:t>
      </w:r>
      <w:r w:rsidRPr="008E18AA">
        <w:rPr>
          <w:lang w:val="en-GB"/>
        </w:rPr>
        <w:tab/>
        <w:t>to collaborate in the efforts to lower IMR rates by taking regulatory measures when applicable.</w:t>
      </w:r>
    </w:p>
    <w:p w14:paraId="31807015" w14:textId="77777777" w:rsidR="003D6362" w:rsidRDefault="003D6362" w:rsidP="006E25D3">
      <w:pPr>
        <w:rPr>
          <w:lang w:val="en-GB"/>
        </w:rPr>
      </w:pPr>
    </w:p>
    <w:p w14:paraId="7277F3A8" w14:textId="77777777" w:rsidR="002B768D" w:rsidRDefault="002B768D" w:rsidP="006E25D3">
      <w:pPr>
        <w:rPr>
          <w:lang w:val="en-GB"/>
        </w:rPr>
      </w:pPr>
    </w:p>
    <w:p w14:paraId="4040F9E8" w14:textId="77777777" w:rsidR="002B768D" w:rsidRDefault="002B768D" w:rsidP="006E25D3">
      <w:pPr>
        <w:rPr>
          <w:lang w:val="en-GB"/>
        </w:rPr>
      </w:pPr>
    </w:p>
    <w:p w14:paraId="7BF4D9B1" w14:textId="77777777" w:rsidR="002B768D" w:rsidRDefault="002B768D" w:rsidP="006E25D3">
      <w:pPr>
        <w:rPr>
          <w:lang w:val="en-GB"/>
        </w:rPr>
      </w:pPr>
    </w:p>
    <w:p w14:paraId="6957373F" w14:textId="77777777" w:rsidR="002B768D" w:rsidRDefault="002B768D" w:rsidP="006E25D3">
      <w:pPr>
        <w:rPr>
          <w:lang w:val="en-GB"/>
        </w:rPr>
      </w:pPr>
    </w:p>
    <w:p w14:paraId="3332210C" w14:textId="77777777" w:rsidR="002B768D" w:rsidRDefault="002B768D" w:rsidP="006E25D3">
      <w:pPr>
        <w:rPr>
          <w:lang w:val="en-GB"/>
        </w:rPr>
      </w:pPr>
    </w:p>
    <w:p w14:paraId="7CE7280E" w14:textId="77777777" w:rsidR="002B768D" w:rsidRDefault="002B768D" w:rsidP="006E25D3">
      <w:pPr>
        <w:rPr>
          <w:lang w:val="en-GB"/>
        </w:rPr>
      </w:pPr>
    </w:p>
    <w:p w14:paraId="0279615A" w14:textId="77777777" w:rsidR="002B768D" w:rsidRDefault="002B768D" w:rsidP="006E25D3">
      <w:pPr>
        <w:rPr>
          <w:lang w:val="en-GB"/>
        </w:rPr>
      </w:pPr>
    </w:p>
    <w:p w14:paraId="1587A1D7" w14:textId="77777777" w:rsidR="002B768D" w:rsidRDefault="002B768D" w:rsidP="006E25D3">
      <w:pPr>
        <w:rPr>
          <w:lang w:val="en-GB"/>
        </w:rPr>
      </w:pPr>
    </w:p>
    <w:p w14:paraId="12D7812B" w14:textId="77777777" w:rsidR="002B768D" w:rsidRDefault="002B768D" w:rsidP="006E25D3">
      <w:pPr>
        <w:rPr>
          <w:lang w:val="en-GB"/>
        </w:rPr>
      </w:pPr>
    </w:p>
    <w:p w14:paraId="059EA160" w14:textId="77777777" w:rsidR="002B768D" w:rsidRDefault="002B768D" w:rsidP="006E25D3">
      <w:pPr>
        <w:rPr>
          <w:lang w:val="en-GB"/>
        </w:rPr>
      </w:pPr>
    </w:p>
    <w:p w14:paraId="73645F22" w14:textId="77777777" w:rsidR="003D6362" w:rsidRDefault="003D6362" w:rsidP="006E25D3">
      <w:pPr>
        <w:rPr>
          <w:lang w:val="en-GB"/>
        </w:rPr>
      </w:pPr>
    </w:p>
    <w:p w14:paraId="1A5C0401" w14:textId="77777777" w:rsidR="003D6362" w:rsidRDefault="003D6362" w:rsidP="006E25D3">
      <w:pPr>
        <w:rPr>
          <w:lang w:val="en-GB"/>
        </w:rPr>
      </w:pPr>
    </w:p>
    <w:p w14:paraId="433AFB58" w14:textId="77777777" w:rsidR="003D6362" w:rsidRDefault="003D6362" w:rsidP="006E25D3">
      <w:pPr>
        <w:rPr>
          <w:lang w:val="en-GB"/>
        </w:rPr>
      </w:pPr>
    </w:p>
    <w:p w14:paraId="5DFF9556" w14:textId="77777777" w:rsidR="003D6362" w:rsidRDefault="003D6362" w:rsidP="006E25D3">
      <w:pPr>
        <w:rPr>
          <w:lang w:val="en-GB"/>
        </w:rPr>
      </w:pPr>
    </w:p>
    <w:p w14:paraId="5906FE28" w14:textId="77777777" w:rsidR="003D6362" w:rsidRPr="00894BC6" w:rsidRDefault="003D6362" w:rsidP="006E25D3">
      <w:pPr>
        <w:rPr>
          <w:lang w:val="en-GB"/>
        </w:rPr>
      </w:pPr>
    </w:p>
    <w:sectPr w:rsidR="003D6362" w:rsidRPr="00894BC6"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1A732494"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BA120C">
      <w:rPr>
        <w:noProof/>
        <w:lang w:val="en-US"/>
      </w:rPr>
      <w:t>88</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20B3150B"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BA120C">
      <w:rPr>
        <w:noProof/>
        <w:lang w:val="en-US"/>
      </w:rPr>
      <w:t>88</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61C372B9"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BA120C">
      <w:rPr>
        <w:noProof/>
        <w:lang w:val="en-US"/>
      </w:rPr>
      <w:t>88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87AFB"/>
    <w:rsid w:val="00093F2C"/>
    <w:rsid w:val="000B071B"/>
    <w:rsid w:val="000B47CD"/>
    <w:rsid w:val="000B5A36"/>
    <w:rsid w:val="000C22AE"/>
    <w:rsid w:val="000D1CBD"/>
    <w:rsid w:val="000D378F"/>
    <w:rsid w:val="000D3CE4"/>
    <w:rsid w:val="000D5219"/>
    <w:rsid w:val="000D6DAE"/>
    <w:rsid w:val="000E4393"/>
    <w:rsid w:val="00110377"/>
    <w:rsid w:val="001108C2"/>
    <w:rsid w:val="00117D80"/>
    <w:rsid w:val="001309FB"/>
    <w:rsid w:val="00154098"/>
    <w:rsid w:val="00155126"/>
    <w:rsid w:val="001726A1"/>
    <w:rsid w:val="00173F88"/>
    <w:rsid w:val="001762A1"/>
    <w:rsid w:val="001A6B2D"/>
    <w:rsid w:val="001B4A76"/>
    <w:rsid w:val="001C5240"/>
    <w:rsid w:val="001C604C"/>
    <w:rsid w:val="001D787F"/>
    <w:rsid w:val="001E034B"/>
    <w:rsid w:val="001F3813"/>
    <w:rsid w:val="0020756B"/>
    <w:rsid w:val="002178BA"/>
    <w:rsid w:val="002204D5"/>
    <w:rsid w:val="002210D5"/>
    <w:rsid w:val="00227040"/>
    <w:rsid w:val="00237B40"/>
    <w:rsid w:val="002462EF"/>
    <w:rsid w:val="00246C17"/>
    <w:rsid w:val="002506CC"/>
    <w:rsid w:val="002742C3"/>
    <w:rsid w:val="002B6530"/>
    <w:rsid w:val="002B768D"/>
    <w:rsid w:val="002C182C"/>
    <w:rsid w:val="002D5607"/>
    <w:rsid w:val="002E1B7B"/>
    <w:rsid w:val="002E6A20"/>
    <w:rsid w:val="0031766C"/>
    <w:rsid w:val="0033029C"/>
    <w:rsid w:val="00331B2F"/>
    <w:rsid w:val="003374BB"/>
    <w:rsid w:val="003468A3"/>
    <w:rsid w:val="00347F93"/>
    <w:rsid w:val="0035222D"/>
    <w:rsid w:val="0038237B"/>
    <w:rsid w:val="003C21D1"/>
    <w:rsid w:val="003C3FD9"/>
    <w:rsid w:val="003D116F"/>
    <w:rsid w:val="003D6362"/>
    <w:rsid w:val="003D7A8C"/>
    <w:rsid w:val="003F1DB8"/>
    <w:rsid w:val="003F293E"/>
    <w:rsid w:val="00402B77"/>
    <w:rsid w:val="00447527"/>
    <w:rsid w:val="004568D2"/>
    <w:rsid w:val="004612A7"/>
    <w:rsid w:val="00462F6A"/>
    <w:rsid w:val="00467305"/>
    <w:rsid w:val="0048772A"/>
    <w:rsid w:val="004A0C82"/>
    <w:rsid w:val="004A58A4"/>
    <w:rsid w:val="004B7CB1"/>
    <w:rsid w:val="004C0A9D"/>
    <w:rsid w:val="004F2E56"/>
    <w:rsid w:val="00501F47"/>
    <w:rsid w:val="00504D1F"/>
    <w:rsid w:val="00510BA8"/>
    <w:rsid w:val="00524FB2"/>
    <w:rsid w:val="0053765D"/>
    <w:rsid w:val="005569CA"/>
    <w:rsid w:val="00562EF2"/>
    <w:rsid w:val="00574CFF"/>
    <w:rsid w:val="00580A1C"/>
    <w:rsid w:val="005A5015"/>
    <w:rsid w:val="005D01E1"/>
    <w:rsid w:val="005D1D45"/>
    <w:rsid w:val="005D5226"/>
    <w:rsid w:val="00601999"/>
    <w:rsid w:val="0061154B"/>
    <w:rsid w:val="00611CD0"/>
    <w:rsid w:val="00631549"/>
    <w:rsid w:val="00632F08"/>
    <w:rsid w:val="006425B4"/>
    <w:rsid w:val="006452F7"/>
    <w:rsid w:val="00653C1B"/>
    <w:rsid w:val="00664B8D"/>
    <w:rsid w:val="00665F6E"/>
    <w:rsid w:val="006678D7"/>
    <w:rsid w:val="00667C83"/>
    <w:rsid w:val="006813D9"/>
    <w:rsid w:val="006824D9"/>
    <w:rsid w:val="00684F2B"/>
    <w:rsid w:val="00693D4F"/>
    <w:rsid w:val="00697D23"/>
    <w:rsid w:val="006B0459"/>
    <w:rsid w:val="006B5987"/>
    <w:rsid w:val="006B6BD9"/>
    <w:rsid w:val="006C2C81"/>
    <w:rsid w:val="006D1ED4"/>
    <w:rsid w:val="006E13C5"/>
    <w:rsid w:val="006E25D3"/>
    <w:rsid w:val="00706D36"/>
    <w:rsid w:val="00707551"/>
    <w:rsid w:val="007116DC"/>
    <w:rsid w:val="00712791"/>
    <w:rsid w:val="0071403C"/>
    <w:rsid w:val="00717E4B"/>
    <w:rsid w:val="00720F3C"/>
    <w:rsid w:val="00726747"/>
    <w:rsid w:val="0074102F"/>
    <w:rsid w:val="00743214"/>
    <w:rsid w:val="007550BF"/>
    <w:rsid w:val="0076138E"/>
    <w:rsid w:val="00780240"/>
    <w:rsid w:val="00780423"/>
    <w:rsid w:val="00781E25"/>
    <w:rsid w:val="00783EB8"/>
    <w:rsid w:val="007958DD"/>
    <w:rsid w:val="007C2680"/>
    <w:rsid w:val="007E0240"/>
    <w:rsid w:val="007F32A3"/>
    <w:rsid w:val="008075CD"/>
    <w:rsid w:val="00821A49"/>
    <w:rsid w:val="008305DC"/>
    <w:rsid w:val="00837339"/>
    <w:rsid w:val="00845E8E"/>
    <w:rsid w:val="00851E30"/>
    <w:rsid w:val="008756CA"/>
    <w:rsid w:val="0088751E"/>
    <w:rsid w:val="00892885"/>
    <w:rsid w:val="00894BC6"/>
    <w:rsid w:val="008968B6"/>
    <w:rsid w:val="008A4E91"/>
    <w:rsid w:val="008B4CF6"/>
    <w:rsid w:val="008C2E41"/>
    <w:rsid w:val="008C7FC3"/>
    <w:rsid w:val="008D6223"/>
    <w:rsid w:val="008D6D8D"/>
    <w:rsid w:val="008D7C48"/>
    <w:rsid w:val="008E18AA"/>
    <w:rsid w:val="008F341F"/>
    <w:rsid w:val="00901958"/>
    <w:rsid w:val="009055E3"/>
    <w:rsid w:val="00905B41"/>
    <w:rsid w:val="00916468"/>
    <w:rsid w:val="009219DE"/>
    <w:rsid w:val="0092650E"/>
    <w:rsid w:val="00931C08"/>
    <w:rsid w:val="00931EE1"/>
    <w:rsid w:val="009330E7"/>
    <w:rsid w:val="00934946"/>
    <w:rsid w:val="009423EF"/>
    <w:rsid w:val="0095090C"/>
    <w:rsid w:val="0096681E"/>
    <w:rsid w:val="00974C0C"/>
    <w:rsid w:val="009755D7"/>
    <w:rsid w:val="00980416"/>
    <w:rsid w:val="009C2357"/>
    <w:rsid w:val="009C7DD4"/>
    <w:rsid w:val="009D10A5"/>
    <w:rsid w:val="009D26AE"/>
    <w:rsid w:val="009E1DCF"/>
    <w:rsid w:val="009F7009"/>
    <w:rsid w:val="00A01A91"/>
    <w:rsid w:val="00A069E9"/>
    <w:rsid w:val="00A06A7C"/>
    <w:rsid w:val="00A24E9A"/>
    <w:rsid w:val="00A26B1A"/>
    <w:rsid w:val="00A3085D"/>
    <w:rsid w:val="00A419BA"/>
    <w:rsid w:val="00A4766C"/>
    <w:rsid w:val="00A65D98"/>
    <w:rsid w:val="00A77112"/>
    <w:rsid w:val="00A83D3D"/>
    <w:rsid w:val="00AA1264"/>
    <w:rsid w:val="00AA2D89"/>
    <w:rsid w:val="00AA3A93"/>
    <w:rsid w:val="00AC4AF1"/>
    <w:rsid w:val="00AD0EBA"/>
    <w:rsid w:val="00AE4C26"/>
    <w:rsid w:val="00AF7A71"/>
    <w:rsid w:val="00B150A9"/>
    <w:rsid w:val="00B20B99"/>
    <w:rsid w:val="00B23929"/>
    <w:rsid w:val="00B241C9"/>
    <w:rsid w:val="00B3059C"/>
    <w:rsid w:val="00B33CAA"/>
    <w:rsid w:val="00B50CB4"/>
    <w:rsid w:val="00B50D4E"/>
    <w:rsid w:val="00B50F17"/>
    <w:rsid w:val="00B56BC0"/>
    <w:rsid w:val="00B64111"/>
    <w:rsid w:val="00B64A41"/>
    <w:rsid w:val="00B67290"/>
    <w:rsid w:val="00B73379"/>
    <w:rsid w:val="00B73B62"/>
    <w:rsid w:val="00B91FDC"/>
    <w:rsid w:val="00B92804"/>
    <w:rsid w:val="00BA120C"/>
    <w:rsid w:val="00BB34EA"/>
    <w:rsid w:val="00BE58E6"/>
    <w:rsid w:val="00BF610E"/>
    <w:rsid w:val="00C12E70"/>
    <w:rsid w:val="00C32F69"/>
    <w:rsid w:val="00C42785"/>
    <w:rsid w:val="00C64078"/>
    <w:rsid w:val="00C706FC"/>
    <w:rsid w:val="00C72AF4"/>
    <w:rsid w:val="00C77514"/>
    <w:rsid w:val="00C84984"/>
    <w:rsid w:val="00C90C0E"/>
    <w:rsid w:val="00C9125E"/>
    <w:rsid w:val="00CB7F83"/>
    <w:rsid w:val="00CD10C2"/>
    <w:rsid w:val="00CD3865"/>
    <w:rsid w:val="00CE767E"/>
    <w:rsid w:val="00CF024D"/>
    <w:rsid w:val="00D20887"/>
    <w:rsid w:val="00D26ECC"/>
    <w:rsid w:val="00D4292A"/>
    <w:rsid w:val="00D43775"/>
    <w:rsid w:val="00D457B6"/>
    <w:rsid w:val="00D50046"/>
    <w:rsid w:val="00D5430D"/>
    <w:rsid w:val="00D54881"/>
    <w:rsid w:val="00D66950"/>
    <w:rsid w:val="00D76D88"/>
    <w:rsid w:val="00D8497D"/>
    <w:rsid w:val="00D94D9E"/>
    <w:rsid w:val="00DA7D60"/>
    <w:rsid w:val="00DB15EA"/>
    <w:rsid w:val="00DB2AF8"/>
    <w:rsid w:val="00DB4C1B"/>
    <w:rsid w:val="00DB5592"/>
    <w:rsid w:val="00DB58AC"/>
    <w:rsid w:val="00DC0E45"/>
    <w:rsid w:val="00DC0FE1"/>
    <w:rsid w:val="00DE25F7"/>
    <w:rsid w:val="00DE36C2"/>
    <w:rsid w:val="00DE48B4"/>
    <w:rsid w:val="00E03ABC"/>
    <w:rsid w:val="00E154E2"/>
    <w:rsid w:val="00E20918"/>
    <w:rsid w:val="00E300EC"/>
    <w:rsid w:val="00E51820"/>
    <w:rsid w:val="00E56BAB"/>
    <w:rsid w:val="00E63996"/>
    <w:rsid w:val="00E67297"/>
    <w:rsid w:val="00E758D6"/>
    <w:rsid w:val="00E82452"/>
    <w:rsid w:val="00E83C1C"/>
    <w:rsid w:val="00E929AB"/>
    <w:rsid w:val="00E96B11"/>
    <w:rsid w:val="00E96C27"/>
    <w:rsid w:val="00EA12A2"/>
    <w:rsid w:val="00EA2A26"/>
    <w:rsid w:val="00EB3556"/>
    <w:rsid w:val="00EE1126"/>
    <w:rsid w:val="00EE2FE2"/>
    <w:rsid w:val="00EE4B7A"/>
    <w:rsid w:val="00EE50B5"/>
    <w:rsid w:val="00EF574C"/>
    <w:rsid w:val="00F0099E"/>
    <w:rsid w:val="00F12607"/>
    <w:rsid w:val="00F12B7D"/>
    <w:rsid w:val="00F15F98"/>
    <w:rsid w:val="00F34748"/>
    <w:rsid w:val="00F4281C"/>
    <w:rsid w:val="00F435B9"/>
    <w:rsid w:val="00F576B9"/>
    <w:rsid w:val="00F67E96"/>
    <w:rsid w:val="00F71C39"/>
    <w:rsid w:val="00FA70B7"/>
    <w:rsid w:val="00FA7783"/>
    <w:rsid w:val="00FC3FE7"/>
    <w:rsid w:val="00FD23A9"/>
    <w:rsid w:val="00FD74FC"/>
    <w:rsid w:val="00FE715C"/>
    <w:rsid w:val="00FF0521"/>
    <w:rsid w:val="00FF2798"/>
    <w:rsid w:val="00FF46B1"/>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Annextitle">
    <w:name w:val="Annex_title"/>
    <w:basedOn w:val="Normal"/>
    <w:next w:val="Normal"/>
    <w:uiPriority w:val="99"/>
    <w:rsid w:val="00110377"/>
    <w:pPr>
      <w:keepNext/>
      <w:keepLines/>
      <w:spacing w:before="240" w:after="28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2</TotalTime>
  <Pages>4</Pages>
  <Words>708</Words>
  <Characters>4307</Characters>
  <Application>Microsoft Office Word</Application>
  <DocSecurity>0</DocSecurity>
  <Lines>91</Lines>
  <Paragraphs>65</Paragraphs>
  <ScaleCrop>false</ScaleCrop>
  <HeadingPairs>
    <vt:vector size="2" baseType="variant">
      <vt:variant>
        <vt:lpstr>Title</vt:lpstr>
      </vt:variant>
      <vt:variant>
        <vt:i4>1</vt:i4>
      </vt:variant>
    </vt:vector>
  </HeadingPairs>
  <TitlesOfParts>
    <vt:vector size="1" baseType="lpstr">
      <vt:lpstr>Resolution 84 – Studies concerning the protection of users of telecommunication/information and communication technology services</vt:lpstr>
    </vt:vector>
  </TitlesOfParts>
  <Company>ITU</Company>
  <LinksUpToDate>false</LinksUpToDate>
  <CharactersWithSpaces>4950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88 – International mobile roaming</dc:title>
  <dc:subject>WORLD TELECOMMUNICATION STANDARDIZATION ASSEMBLY - Florianópolis, 5-14 October 2004</dc:subject>
  <dc:creator>ITU-T</dc:creator>
  <cp:keywords>WTSA-24 New Delhi, 15-24 October 2024</cp:keywords>
  <dc:description/>
  <cp:lastModifiedBy>Gachet, Christelle</cp:lastModifiedBy>
  <cp:revision>5</cp:revision>
  <cp:lastPrinted>2024-11-27T06:45:00Z</cp:lastPrinted>
  <dcterms:created xsi:type="dcterms:W3CDTF">2024-11-27T06:43:00Z</dcterms:created>
  <dcterms:modified xsi:type="dcterms:W3CDTF">2024-11-27T06:46:00Z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