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F1778A" w:rsidP="00223031">
            <w:pPr>
              <w:pStyle w:val="Note"/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A922AD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proofErr w:type="spellStart"/>
            <w:r w:rsidRPr="00A922AD">
              <w:rPr>
                <w:rFonts w:ascii="Arial" w:hAnsi="Arial" w:cs="Arial"/>
                <w:sz w:val="32"/>
                <w:lang w:val="es-ES"/>
              </w:rPr>
              <w:t>Hammamet</w:t>
            </w:r>
            <w:proofErr w:type="spellEnd"/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 xml:space="preserve">5 de octubre </w:t>
            </w:r>
            <w:r w:rsidR="00D5161F">
              <w:rPr>
                <w:rFonts w:ascii="Arial" w:hAnsi="Arial" w:cs="Arial"/>
                <w:sz w:val="32"/>
                <w:lang w:val="es-ES"/>
              </w:rPr>
              <w:t>–</w:t>
            </w:r>
            <w:r>
              <w:rPr>
                <w:rFonts w:ascii="Arial" w:hAnsi="Arial" w:cs="Arial"/>
                <w:sz w:val="32"/>
                <w:lang w:val="es-ES"/>
              </w:rPr>
              <w:t xml:space="preserve"> 3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 w:rsidR="006C62D4">
              <w:rPr>
                <w:rFonts w:ascii="Arial" w:hAnsi="Arial" w:cs="Arial"/>
                <w:sz w:val="32"/>
                <w:lang w:val="es-ES"/>
              </w:rPr>
              <w:t>noviembre de 201</w:t>
            </w:r>
            <w:r>
              <w:rPr>
                <w:rFonts w:ascii="Arial" w:hAnsi="Arial" w:cs="Arial"/>
                <w:sz w:val="32"/>
                <w:lang w:val="es-ES"/>
              </w:rPr>
              <w:t>6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3518D5" w:rsidRDefault="004F1EA7" w:rsidP="00A922AD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5C61D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88 – </w:t>
            </w:r>
            <w:proofErr w:type="spellStart"/>
            <w:r w:rsidR="00097474" w:rsidRPr="00097474">
              <w:rPr>
                <w:rFonts w:ascii="Arial" w:hAnsi="Arial" w:cs="Arial"/>
                <w:b/>
                <w:bCs/>
                <w:sz w:val="36"/>
                <w:szCs w:val="36"/>
              </w:rPr>
              <w:t>Itinerancia</w:t>
            </w:r>
            <w:proofErr w:type="spellEnd"/>
            <w:r w:rsidR="00097474" w:rsidRPr="0009747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Móvil Internacional</w:t>
            </w:r>
          </w:p>
        </w:tc>
      </w:tr>
      <w:bookmarkEnd w:id="3"/>
      <w:tr w:rsidR="008028AE" w:rsidRPr="00F4281C" w:rsidTr="00F431E4">
        <w:trPr>
          <w:cantSplit/>
          <w:trHeight w:hRule="exact" w:val="1418"/>
        </w:trPr>
        <w:tc>
          <w:tcPr>
            <w:tcW w:w="1418" w:type="dxa"/>
          </w:tcPr>
          <w:p w:rsidR="008028AE" w:rsidRPr="008968B6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D6CCF" w:rsidRPr="008968B6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  <w:lang w:val="en-US"/>
              </w:rPr>
            </w:pPr>
            <w:bookmarkStart w:id="4" w:name="dnum2e"/>
            <w:bookmarkEnd w:id="4"/>
          </w:p>
        </w:tc>
      </w:tr>
    </w:tbl>
    <w:p w:rsidR="00FD6CCF" w:rsidRDefault="00F1778A" w:rsidP="008028AE">
      <w:pPr>
        <w:tabs>
          <w:tab w:val="right" w:pos="9639"/>
        </w:tabs>
        <w:spacing w:before="240"/>
        <w:jc w:val="right"/>
        <w:rPr>
          <w:noProof/>
          <w:lang w:val="en-US" w:eastAsia="zh-CN"/>
        </w:rPr>
      </w:pPr>
      <w:bookmarkStart w:id="5" w:name="c2tope"/>
      <w:bookmarkEnd w:id="5"/>
      <w:r>
        <w:rPr>
          <w:noProof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20320</wp:posOffset>
            </wp:positionV>
            <wp:extent cx="666750" cy="755650"/>
            <wp:effectExtent l="0" t="0" r="0" b="6350"/>
            <wp:wrapSquare wrapText="bothSides"/>
            <wp:docPr id="422" name="Picture 422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AE" w:rsidRPr="008968B6" w:rsidRDefault="008028AE" w:rsidP="008028AE">
      <w:pPr>
        <w:tabs>
          <w:tab w:val="right" w:pos="9639"/>
        </w:tabs>
        <w:spacing w:before="240"/>
        <w:jc w:val="right"/>
        <w:rPr>
          <w:sz w:val="20"/>
          <w:lang w:val="en-US"/>
        </w:rPr>
      </w:pPr>
    </w:p>
    <w:p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A1158B">
          <w:pgSz w:w="11907" w:h="16840" w:code="9"/>
          <w:pgMar w:top="1089" w:right="1089" w:bottom="284" w:left="1089" w:header="284" w:footer="567" w:gutter="0"/>
          <w:paperSrc w:first="15" w:other="15"/>
          <w:pgNumType w:start="1"/>
          <w:cols w:space="720"/>
        </w:sectPr>
      </w:pPr>
      <w:bookmarkStart w:id="6" w:name="c2tops"/>
      <w:bookmarkEnd w:id="6"/>
    </w:p>
    <w:p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bookmarkStart w:id="7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7"/>
      <w:r w:rsidRPr="00D976F2">
        <w:rPr>
          <w:sz w:val="20"/>
        </w:rPr>
        <w:t>.</w:t>
      </w:r>
    </w:p>
    <w:p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85482" w:rsidRDefault="0088548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8028AE" w:rsidRDefault="00C2286E" w:rsidP="00A922AD">
      <w:pPr>
        <w:jc w:val="center"/>
        <w:rPr>
          <w:sz w:val="20"/>
        </w:rPr>
      </w:pPr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  </w:t>
      </w:r>
      <w:bookmarkStart w:id="8" w:name="iiannes"/>
      <w:bookmarkEnd w:id="8"/>
      <w:r w:rsidR="006C62D4" w:rsidRPr="008028AE">
        <w:rPr>
          <w:sz w:val="20"/>
        </w:rPr>
        <w:t>201</w:t>
      </w:r>
      <w:r w:rsidR="00A922AD" w:rsidRPr="008028AE">
        <w:rPr>
          <w:sz w:val="20"/>
        </w:rPr>
        <w:t>6</w:t>
      </w:r>
    </w:p>
    <w:p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pacing w:before="80"/>
        <w:jc w:val="left"/>
        <w:rPr>
          <w:i/>
          <w:sz w:val="20"/>
        </w:rPr>
      </w:pPr>
    </w:p>
    <w:p w:rsidR="00FB6D55" w:rsidRPr="003518D5" w:rsidRDefault="00FB6D55">
      <w:pPr>
        <w:sectPr w:rsidR="00FB6D55" w:rsidRPr="003518D5" w:rsidSect="008028AE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6F5455" w:rsidRPr="00A922AD" w:rsidRDefault="006F5455" w:rsidP="00812CE2">
      <w:pPr>
        <w:pStyle w:val="ResNo"/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jc w:val="center"/>
        <w:rPr>
          <w:b w:val="0"/>
          <w:caps/>
        </w:rPr>
      </w:pPr>
      <w:bookmarkStart w:id="9" w:name="irecnos"/>
      <w:bookmarkEnd w:id="9"/>
      <w:r w:rsidRPr="00A922AD">
        <w:rPr>
          <w:b w:val="0"/>
          <w:caps/>
        </w:rPr>
        <w:lastRenderedPageBreak/>
        <w:t xml:space="preserve">RESOLUCIÓN </w:t>
      </w:r>
      <w:r w:rsidR="005C61D8">
        <w:rPr>
          <w:b w:val="0"/>
          <w:caps/>
        </w:rPr>
        <w:t xml:space="preserve">88 </w:t>
      </w:r>
      <w:r w:rsidR="00097474" w:rsidRPr="00097474">
        <w:rPr>
          <w:b w:val="0"/>
          <w:bCs/>
        </w:rPr>
        <w:t>(</w:t>
      </w:r>
      <w:proofErr w:type="spellStart"/>
      <w:r w:rsidR="00097474" w:rsidRPr="00097474">
        <w:rPr>
          <w:b w:val="0"/>
          <w:bCs/>
        </w:rPr>
        <w:t>Hammamet</w:t>
      </w:r>
      <w:proofErr w:type="spellEnd"/>
      <w:r w:rsidR="00097474" w:rsidRPr="00097474">
        <w:rPr>
          <w:b w:val="0"/>
          <w:bCs/>
        </w:rPr>
        <w:t>, 2016)</w:t>
      </w:r>
    </w:p>
    <w:p w:rsidR="005C61D8" w:rsidRPr="002126A0" w:rsidRDefault="005C61D8" w:rsidP="005C61D8">
      <w:pPr>
        <w:pStyle w:val="Restitle"/>
      </w:pPr>
      <w:proofErr w:type="spellStart"/>
      <w:r w:rsidRPr="002126A0">
        <w:t>Itinerancia</w:t>
      </w:r>
      <w:proofErr w:type="spellEnd"/>
      <w:r w:rsidRPr="002126A0">
        <w:t xml:space="preserve"> Móvil Internacional</w:t>
      </w:r>
    </w:p>
    <w:p w:rsidR="005C61D8" w:rsidRPr="002126A0" w:rsidRDefault="005C61D8" w:rsidP="005C61D8">
      <w:pPr>
        <w:pStyle w:val="Resref"/>
      </w:pPr>
      <w:r w:rsidRPr="002126A0">
        <w:t>(</w:t>
      </w:r>
      <w:proofErr w:type="spellStart"/>
      <w:r w:rsidRPr="002126A0">
        <w:t>Hammamet</w:t>
      </w:r>
      <w:proofErr w:type="spellEnd"/>
      <w:r w:rsidRPr="002126A0">
        <w:t>, 2016)</w:t>
      </w:r>
    </w:p>
    <w:p w:rsidR="005C61D8" w:rsidRPr="005C61D8" w:rsidRDefault="005C61D8" w:rsidP="005C61D8">
      <w:pPr>
        <w:pStyle w:val="Normalaftertitle0"/>
        <w:rPr>
          <w:lang w:val="es-ES_tradnl"/>
        </w:rPr>
      </w:pPr>
      <w:r w:rsidRPr="005C61D8">
        <w:rPr>
          <w:lang w:val="es-ES_tradnl"/>
        </w:rPr>
        <w:t>La Asamblea Mundial de Normalización de las Telecomunicaciones (</w:t>
      </w:r>
      <w:proofErr w:type="spellStart"/>
      <w:r w:rsidRPr="005C61D8">
        <w:rPr>
          <w:lang w:val="es-ES_tradnl"/>
        </w:rPr>
        <w:t>Hammamet</w:t>
      </w:r>
      <w:proofErr w:type="spellEnd"/>
      <w:r w:rsidRPr="005C61D8">
        <w:rPr>
          <w:lang w:val="es-ES_tradnl"/>
        </w:rPr>
        <w:t>, 2016),</w:t>
      </w:r>
    </w:p>
    <w:p w:rsidR="005C61D8" w:rsidRPr="002126A0" w:rsidRDefault="005C61D8" w:rsidP="005C61D8">
      <w:pPr>
        <w:pStyle w:val="Call"/>
      </w:pPr>
      <w:r w:rsidRPr="002126A0">
        <w:t>considerando</w:t>
      </w:r>
    </w:p>
    <w:p w:rsidR="005C61D8" w:rsidRPr="002126A0" w:rsidRDefault="005C61D8" w:rsidP="005C61D8">
      <w:r w:rsidRPr="002126A0">
        <w:rPr>
          <w:i/>
          <w:iCs/>
        </w:rPr>
        <w:t>a)</w:t>
      </w:r>
      <w:r w:rsidRPr="002126A0">
        <w:tab/>
        <w:t xml:space="preserve">los resultados del Taller de Alto Nivel de la UIT sobre </w:t>
      </w:r>
      <w:proofErr w:type="spellStart"/>
      <w:r w:rsidRPr="002126A0">
        <w:t>itinerancia</w:t>
      </w:r>
      <w:proofErr w:type="spellEnd"/>
      <w:r w:rsidRPr="002126A0">
        <w:t xml:space="preserve"> móvil internacional (IMR) que se celebró en Ginebra el 23 y 24 de septiembre de 2013;</w:t>
      </w:r>
    </w:p>
    <w:p w:rsidR="005C61D8" w:rsidRPr="002126A0" w:rsidRDefault="005C61D8" w:rsidP="005C61D8">
      <w:r w:rsidRPr="002126A0">
        <w:rPr>
          <w:i/>
          <w:iCs/>
        </w:rPr>
        <w:t>b)</w:t>
      </w:r>
      <w:r w:rsidRPr="002126A0">
        <w:tab/>
        <w:t>los resultados del Diálogo Global sobre IMR que se celebró en Ginebra el 18 de septiembre de 2015;</w:t>
      </w:r>
    </w:p>
    <w:p w:rsidR="005C61D8" w:rsidRPr="002126A0" w:rsidRDefault="005C61D8" w:rsidP="005C61D8">
      <w:r w:rsidRPr="002126A0">
        <w:rPr>
          <w:i/>
          <w:iCs/>
        </w:rPr>
        <w:t>c)</w:t>
      </w:r>
      <w:r w:rsidRPr="002126A0">
        <w:tab/>
        <w:t>que las tareas realizadas en el Sector de Normalización de las Telecomunicaciones de la UIT (UIT-T) comprenden las Recomendaciones, evaluación de la conformidad y las cuestiones con repercusiones políticas o reglamentarias;</w:t>
      </w:r>
    </w:p>
    <w:p w:rsidR="005C61D8" w:rsidRPr="002126A0" w:rsidRDefault="005C61D8" w:rsidP="005C61D8">
      <w:r w:rsidRPr="002126A0">
        <w:rPr>
          <w:i/>
          <w:iCs/>
        </w:rPr>
        <w:t>d)</w:t>
      </w:r>
      <w:r w:rsidRPr="002126A0">
        <w:tab/>
        <w:t>que la economía depende cada vez más de tecnologías de comunicaciones móviles que sean fiables, rentables, competitivas y asequibles a escala mundial;</w:t>
      </w:r>
    </w:p>
    <w:p w:rsidR="005C61D8" w:rsidRPr="002126A0" w:rsidRDefault="005C61D8" w:rsidP="005C61D8">
      <w:r w:rsidRPr="002126A0">
        <w:rPr>
          <w:i/>
          <w:iCs/>
        </w:rPr>
        <w:t>e)</w:t>
      </w:r>
      <w:r w:rsidRPr="002126A0">
        <w:tab/>
        <w:t>que las tarifas mayoristas de IMR no guardan relación directa con los costos subyacentes, lo que puede afectar las tarifas minoristas, que pueden llegar a ser incoherentes y arbitrarias;</w:t>
      </w:r>
    </w:p>
    <w:p w:rsidR="005C61D8" w:rsidRPr="002126A0" w:rsidRDefault="005C61D8" w:rsidP="005C61D8">
      <w:r w:rsidRPr="002126A0">
        <w:rPr>
          <w:i/>
          <w:iCs/>
        </w:rPr>
        <w:t>f)</w:t>
      </w:r>
      <w:r w:rsidRPr="002126A0">
        <w:tab/>
        <w:t xml:space="preserve">que no puede existir un mercado internacional competitivo de telecomunicaciones si persisten las diferencias significativas entre los precios nacionales y los precios de la </w:t>
      </w:r>
      <w:proofErr w:type="spellStart"/>
      <w:r w:rsidRPr="002126A0">
        <w:t>itinerancia</w:t>
      </w:r>
      <w:proofErr w:type="spellEnd"/>
      <w:r w:rsidRPr="002126A0">
        <w:t xml:space="preserve"> móvil internacional;</w:t>
      </w:r>
    </w:p>
    <w:p w:rsidR="005C61D8" w:rsidRPr="002126A0" w:rsidRDefault="005C61D8" w:rsidP="005C61D8">
      <w:r w:rsidRPr="002126A0">
        <w:rPr>
          <w:i/>
          <w:iCs/>
        </w:rPr>
        <w:t>g)</w:t>
      </w:r>
      <w:r w:rsidRPr="002126A0">
        <w:tab/>
        <w:t>que existen diferencias de costos entre los países y las regiones,</w:t>
      </w:r>
    </w:p>
    <w:p w:rsidR="005C61D8" w:rsidRPr="002126A0" w:rsidRDefault="005C61D8" w:rsidP="005C61D8">
      <w:pPr>
        <w:pStyle w:val="Call"/>
      </w:pPr>
      <w:r w:rsidRPr="002126A0">
        <w:t>observando</w:t>
      </w:r>
    </w:p>
    <w:p w:rsidR="005C61D8" w:rsidRPr="002126A0" w:rsidRDefault="005C61D8" w:rsidP="005C61D8">
      <w:r w:rsidRPr="002126A0">
        <w:rPr>
          <w:i/>
          <w:iCs/>
        </w:rPr>
        <w:t>a)</w:t>
      </w:r>
      <w:r w:rsidRPr="002126A0">
        <w:tab/>
        <w:t>que la Recomendación D.98 del UIT-T es un acuerdo concertado entre los Estados Miembros y los Miembros de Sector en 2012;</w:t>
      </w:r>
    </w:p>
    <w:p w:rsidR="005C61D8" w:rsidRPr="002126A0" w:rsidRDefault="005C61D8" w:rsidP="005C61D8">
      <w:r w:rsidRPr="002126A0">
        <w:rPr>
          <w:i/>
          <w:iCs/>
        </w:rPr>
        <w:t>b)</w:t>
      </w:r>
      <w:r w:rsidRPr="002126A0">
        <w:tab/>
        <w:t xml:space="preserve">que en la Recomendación D.97 del UIT-T se proponen posibles enfoques para reducir las tarifas de </w:t>
      </w:r>
      <w:proofErr w:type="spellStart"/>
      <w:r w:rsidRPr="002126A0">
        <w:t>itinerancia</w:t>
      </w:r>
      <w:proofErr w:type="spellEnd"/>
      <w:r w:rsidRPr="002126A0">
        <w:t xml:space="preserve"> excesivas, habida cuenta de la necesidad de fomentar la competencia en el mercado de </w:t>
      </w:r>
      <w:proofErr w:type="spellStart"/>
      <w:r w:rsidRPr="002126A0">
        <w:t>itinerancia</w:t>
      </w:r>
      <w:proofErr w:type="spellEnd"/>
      <w:r w:rsidRPr="002126A0">
        <w:t xml:space="preserve">, de informar a los consumidores y de considerar la posibilidad de tomar medidas reglamentarias adecuadas como la introducción de límites a las tarifas de </w:t>
      </w:r>
      <w:proofErr w:type="spellStart"/>
      <w:r w:rsidRPr="002126A0">
        <w:t>itinerancia</w:t>
      </w:r>
      <w:proofErr w:type="spellEnd"/>
      <w:r w:rsidRPr="002126A0">
        <w:t>,</w:t>
      </w:r>
    </w:p>
    <w:p w:rsidR="005C61D8" w:rsidRPr="002126A0" w:rsidRDefault="005C61D8" w:rsidP="005C61D8">
      <w:pPr>
        <w:pStyle w:val="Call"/>
      </w:pPr>
      <w:r w:rsidRPr="002126A0">
        <w:t>resuelve</w:t>
      </w:r>
    </w:p>
    <w:p w:rsidR="005C61D8" w:rsidRPr="002126A0" w:rsidRDefault="005C61D8" w:rsidP="005C61D8">
      <w:r w:rsidRPr="002126A0">
        <w:t xml:space="preserve">que la Comisión de Estudio 3 del UIT-T siga estudiando las repercusiones económicas de las tarifas de </w:t>
      </w:r>
      <w:proofErr w:type="spellStart"/>
      <w:r w:rsidRPr="002126A0">
        <w:t>itinerancia</w:t>
      </w:r>
      <w:proofErr w:type="spellEnd"/>
      <w:r w:rsidRPr="002126A0">
        <w:t xml:space="preserve"> móvil internacional,</w:t>
      </w:r>
    </w:p>
    <w:p w:rsidR="005C61D8" w:rsidRPr="002126A0" w:rsidRDefault="005C61D8" w:rsidP="005C61D8">
      <w:pPr>
        <w:pStyle w:val="Call"/>
      </w:pPr>
      <w:r w:rsidRPr="002126A0">
        <w:t xml:space="preserve">encarga al Director de la Oficina de Normalización de las Telecomunicaciones </w:t>
      </w:r>
    </w:p>
    <w:p w:rsidR="005C61D8" w:rsidRPr="002126A0" w:rsidRDefault="005C61D8" w:rsidP="005C61D8">
      <w:r w:rsidRPr="002126A0">
        <w:t>1</w:t>
      </w:r>
      <w:r w:rsidRPr="002126A0">
        <w:tab/>
        <w:t xml:space="preserve">que, en colaboración con el Director de la Oficina de Desarrollo de las Telecomunicaciones, organice iniciativas para sensibilizar sobre los beneficios para el consumidor de bajar las tarifas de </w:t>
      </w:r>
      <w:proofErr w:type="spellStart"/>
      <w:r w:rsidRPr="002126A0">
        <w:t>itinerancia</w:t>
      </w:r>
      <w:proofErr w:type="spellEnd"/>
      <w:r w:rsidRPr="002126A0">
        <w:t xml:space="preserve"> móvil internacional;</w:t>
      </w:r>
    </w:p>
    <w:p w:rsidR="005C61D8" w:rsidRPr="002126A0" w:rsidRDefault="005C61D8" w:rsidP="005C61D8">
      <w:pPr>
        <w:overflowPunct/>
        <w:autoSpaceDE/>
        <w:autoSpaceDN/>
        <w:adjustRightInd/>
        <w:spacing w:before="0"/>
        <w:textAlignment w:val="auto"/>
      </w:pPr>
      <w:r w:rsidRPr="002126A0">
        <w:br w:type="page"/>
      </w:r>
    </w:p>
    <w:p w:rsidR="005C61D8" w:rsidRPr="002126A0" w:rsidRDefault="005C61D8" w:rsidP="005C61D8">
      <w:r w:rsidRPr="002126A0">
        <w:lastRenderedPageBreak/>
        <w:t>2</w:t>
      </w:r>
      <w:r w:rsidRPr="002126A0">
        <w:tab/>
        <w:t xml:space="preserve">que proponga enfoques cooperativos para fomentar la aplicación de las Recomendaciones D.98 y D.97 del UIT-T, y reducir las tarifas de </w:t>
      </w:r>
      <w:proofErr w:type="spellStart"/>
      <w:r w:rsidRPr="002126A0">
        <w:t>itinerancia</w:t>
      </w:r>
      <w:proofErr w:type="spellEnd"/>
      <w:r w:rsidRPr="002126A0">
        <w:t xml:space="preserve"> móvil internacional entre los Estados Miembros mediante la promoción de programas de capacitación, talleres y directrices relativas a los convenios de cooperación internacional,</w:t>
      </w:r>
    </w:p>
    <w:p w:rsidR="005C61D8" w:rsidRPr="002126A0" w:rsidRDefault="005C61D8" w:rsidP="005C61D8">
      <w:pPr>
        <w:pStyle w:val="Call"/>
      </w:pPr>
      <w:r w:rsidRPr="002126A0">
        <w:t>invita a los Estados Miembros</w:t>
      </w:r>
    </w:p>
    <w:p w:rsidR="005C61D8" w:rsidRPr="002126A0" w:rsidRDefault="005C61D8" w:rsidP="005C61D8">
      <w:r w:rsidRPr="002126A0">
        <w:t>1</w:t>
      </w:r>
      <w:r w:rsidRPr="002126A0">
        <w:tab/>
        <w:t>a tomar medidas para la aplicación de las Recomendaciones UIT-T D.98 y UIT-T D.97;</w:t>
      </w:r>
    </w:p>
    <w:p w:rsidR="005C61D8" w:rsidRPr="005C61D8" w:rsidRDefault="005C61D8" w:rsidP="005C61D8">
      <w:r w:rsidRPr="002126A0">
        <w:t>2</w:t>
      </w:r>
      <w:r w:rsidRPr="002126A0">
        <w:tab/>
        <w:t xml:space="preserve">a colaborar en los esfuerzos para reducir las tarifas de </w:t>
      </w:r>
      <w:proofErr w:type="spellStart"/>
      <w:r w:rsidRPr="002126A0">
        <w:t>itinerancia</w:t>
      </w:r>
      <w:proofErr w:type="spellEnd"/>
      <w:r w:rsidRPr="002126A0">
        <w:t xml:space="preserve"> móvil internacional tomando medidas reglamentarias, si procede.</w:t>
      </w:r>
    </w:p>
    <w:p w:rsidR="006F5455" w:rsidRDefault="006F5455" w:rsidP="00A922AD"/>
    <w:p w:rsidR="00E56448" w:rsidRDefault="00E56448" w:rsidP="00A922AD">
      <w:bookmarkStart w:id="10" w:name="_GoBack"/>
      <w:bookmarkEnd w:id="10"/>
    </w:p>
    <w:p w:rsidR="00E56448" w:rsidRDefault="00E56448" w:rsidP="00A922AD"/>
    <w:p w:rsidR="00E56448" w:rsidRDefault="00E56448" w:rsidP="00A922AD"/>
    <w:p w:rsidR="00E56448" w:rsidRDefault="00E56448" w:rsidP="00A922AD"/>
    <w:p w:rsidR="00E56448" w:rsidRDefault="00E56448" w:rsidP="00A922AD"/>
    <w:p w:rsidR="00E56448" w:rsidRDefault="00E56448" w:rsidP="00A922AD"/>
    <w:p w:rsidR="00E56448" w:rsidRDefault="00E56448" w:rsidP="00A922AD"/>
    <w:p w:rsidR="00E56448" w:rsidRDefault="00E56448" w:rsidP="00A922AD"/>
    <w:p w:rsidR="00E56448" w:rsidRDefault="00E56448" w:rsidP="00A922AD"/>
    <w:p w:rsidR="00E56448" w:rsidRDefault="00E56448" w:rsidP="00A922AD"/>
    <w:p w:rsidR="00E56448" w:rsidRDefault="00E56448" w:rsidP="00A922AD"/>
    <w:p w:rsidR="00E56448" w:rsidRDefault="00E56448" w:rsidP="00A922AD"/>
    <w:p w:rsidR="00E56448" w:rsidRPr="006F5DC8" w:rsidRDefault="00E56448" w:rsidP="00A922AD"/>
    <w:sectPr w:rsidR="00E56448" w:rsidRPr="006F5DC8" w:rsidSect="00A922A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1F" w:rsidRDefault="0052251F">
      <w:r>
        <w:separator/>
      </w:r>
    </w:p>
  </w:endnote>
  <w:endnote w:type="continuationSeparator" w:id="0">
    <w:p w:rsidR="0052251F" w:rsidRDefault="005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Default="00877E7D" w:rsidP="00885482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E56448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</w:t>
    </w:r>
    <w:r w:rsidR="00885482">
      <w:rPr>
        <w:lang w:val="es-ES"/>
      </w:rPr>
      <w:t>6</w:t>
    </w:r>
    <w:r w:rsidRPr="00877E7D">
      <w:rPr>
        <w:lang w:val="es-ES"/>
      </w:rPr>
      <w:t xml:space="preserve"> –</w:t>
    </w:r>
    <w:r>
      <w:rPr>
        <w:lang w:val="es-ES"/>
      </w:rPr>
      <w:t xml:space="preserve"> </w:t>
    </w:r>
    <w:r w:rsidRPr="00877E7D">
      <w:rPr>
        <w:lang w:val="es-ES"/>
      </w:rPr>
      <w:t xml:space="preserve">Resolución </w:t>
    </w:r>
    <w:r w:rsidR="00E56448">
      <w:rPr>
        <w:lang w:val="en-US"/>
      </w:rPr>
      <w:t>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Pr="00877E7D" w:rsidRDefault="00877E7D" w:rsidP="00877E7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1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56448">
      <w:rPr>
        <w:b w:val="0"/>
        <w:noProof/>
        <w:lang w:val="en-US"/>
      </w:rPr>
      <w:t>3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AD" w:rsidRPr="00A922AD" w:rsidRDefault="00A922AD" w:rsidP="00A922AD">
    <w:pPr>
      <w:pStyle w:val="FooterQP"/>
      <w:rPr>
        <w:b w:val="0"/>
        <w:lang w:val="en-US"/>
      </w:rPr>
    </w:pPr>
    <w:r>
      <w:tab/>
    </w:r>
    <w:r>
      <w:tab/>
      <w:t>AMNT</w:t>
    </w:r>
    <w:r w:rsidR="00097474">
      <w:rPr>
        <w:lang w:val="en-US"/>
      </w:rPr>
      <w:t xml:space="preserve">-16 – </w:t>
    </w:r>
    <w:proofErr w:type="spellStart"/>
    <w:r w:rsidR="00097474">
      <w:rPr>
        <w:lang w:val="en-US"/>
      </w:rPr>
      <w:t>Resolución</w:t>
    </w:r>
    <w:proofErr w:type="spellEnd"/>
    <w:r w:rsidR="00097474">
      <w:rPr>
        <w:lang w:val="en-US"/>
      </w:rPr>
      <w:t xml:space="preserve"> 88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56448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1F" w:rsidRDefault="0052251F">
      <w:r>
        <w:t>____________________</w:t>
      </w:r>
    </w:p>
  </w:footnote>
  <w:footnote w:type="continuationSeparator" w:id="0">
    <w:p w:rsidR="0052251F" w:rsidRDefault="0052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55"/>
    <w:rsid w:val="00011D16"/>
    <w:rsid w:val="00021556"/>
    <w:rsid w:val="00044B4D"/>
    <w:rsid w:val="00065BE4"/>
    <w:rsid w:val="00082EA6"/>
    <w:rsid w:val="00096419"/>
    <w:rsid w:val="00097474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9052C"/>
    <w:rsid w:val="00295585"/>
    <w:rsid w:val="00315C1E"/>
    <w:rsid w:val="003518D5"/>
    <w:rsid w:val="00372B66"/>
    <w:rsid w:val="00377687"/>
    <w:rsid w:val="003C2D00"/>
    <w:rsid w:val="003E33A8"/>
    <w:rsid w:val="003F0680"/>
    <w:rsid w:val="00400600"/>
    <w:rsid w:val="004442F6"/>
    <w:rsid w:val="00466E41"/>
    <w:rsid w:val="004F1EA7"/>
    <w:rsid w:val="0052251F"/>
    <w:rsid w:val="005330B1"/>
    <w:rsid w:val="005428C5"/>
    <w:rsid w:val="005435AA"/>
    <w:rsid w:val="0055021E"/>
    <w:rsid w:val="00585ED1"/>
    <w:rsid w:val="005A4F08"/>
    <w:rsid w:val="005C61D8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F5455"/>
    <w:rsid w:val="007057EE"/>
    <w:rsid w:val="00712378"/>
    <w:rsid w:val="00743611"/>
    <w:rsid w:val="0079215F"/>
    <w:rsid w:val="007A0BE3"/>
    <w:rsid w:val="007B0D90"/>
    <w:rsid w:val="007C64E7"/>
    <w:rsid w:val="007C7F35"/>
    <w:rsid w:val="008028AE"/>
    <w:rsid w:val="00812CE2"/>
    <w:rsid w:val="008222EF"/>
    <w:rsid w:val="00831A21"/>
    <w:rsid w:val="00841271"/>
    <w:rsid w:val="00862C3A"/>
    <w:rsid w:val="00877E7D"/>
    <w:rsid w:val="00885482"/>
    <w:rsid w:val="00892A35"/>
    <w:rsid w:val="008B2002"/>
    <w:rsid w:val="008C6F85"/>
    <w:rsid w:val="008D5D1B"/>
    <w:rsid w:val="008D6B1E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922AD"/>
    <w:rsid w:val="00AD62D4"/>
    <w:rsid w:val="00B122C8"/>
    <w:rsid w:val="00B24C2D"/>
    <w:rsid w:val="00B31246"/>
    <w:rsid w:val="00B450BE"/>
    <w:rsid w:val="00B57627"/>
    <w:rsid w:val="00B96F52"/>
    <w:rsid w:val="00BD5BF5"/>
    <w:rsid w:val="00BE0A5C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5161F"/>
    <w:rsid w:val="00D74EFE"/>
    <w:rsid w:val="00D9465C"/>
    <w:rsid w:val="00D962F2"/>
    <w:rsid w:val="00D976F2"/>
    <w:rsid w:val="00DC4B81"/>
    <w:rsid w:val="00DD71D5"/>
    <w:rsid w:val="00DE4D43"/>
    <w:rsid w:val="00E16169"/>
    <w:rsid w:val="00E26A91"/>
    <w:rsid w:val="00E461D8"/>
    <w:rsid w:val="00E56448"/>
    <w:rsid w:val="00E654F0"/>
    <w:rsid w:val="00E72AD0"/>
    <w:rsid w:val="00ED48FA"/>
    <w:rsid w:val="00EE233D"/>
    <w:rsid w:val="00F1778A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rsid w:val="00082EA6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uiPriority w:val="99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1</TotalTime>
  <Pages>4</Pages>
  <Words>652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</vt:lpstr>
    </vt:vector>
  </TitlesOfParts>
  <Company>ITU</Company>
  <LinksUpToDate>false</LinksUpToDate>
  <CharactersWithSpaces>4391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Comisión de Estudio 2 del UIT-T</dc:creator>
  <cp:keywords>E.802,E,802</cp:keywords>
  <dc:description>Saved by MRG106308 at 10:22:31 on 06.12.2007</dc:description>
  <cp:lastModifiedBy>Catalano Moreira, Rossana</cp:lastModifiedBy>
  <cp:revision>5</cp:revision>
  <cp:lastPrinted>2016-12-13T15:23:00Z</cp:lastPrinted>
  <dcterms:created xsi:type="dcterms:W3CDTF">2016-12-14T10:33:00Z</dcterms:created>
  <dcterms:modified xsi:type="dcterms:W3CDTF">2016-12-14T10:35:00Z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