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A352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A352F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413ADD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413AD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13AD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88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13AD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413AD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413AD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13AD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国际移动</w:t>
            </w:r>
            <w:r w:rsidRPr="00413AD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漫游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413ADD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413ADD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8F4E95" w:rsidRPr="009B2E38" w:rsidRDefault="008F4E95" w:rsidP="00413ADD">
      <w:pPr>
        <w:pStyle w:val="ResNo"/>
        <w:spacing w:before="0"/>
        <w:rPr>
          <w:lang w:eastAsia="zh-CN"/>
        </w:rPr>
      </w:pPr>
      <w:r w:rsidRPr="00D55562">
        <w:rPr>
          <w:rStyle w:val="href"/>
        </w:rPr>
        <w:lastRenderedPageBreak/>
        <w:t>第</w:t>
      </w:r>
      <w:r w:rsidRPr="00D55562">
        <w:rPr>
          <w:rStyle w:val="href"/>
        </w:rPr>
        <w:t>88</w:t>
      </w:r>
      <w:r w:rsidRPr="00D55562">
        <w:rPr>
          <w:rStyle w:val="href"/>
          <w:rFonts w:hint="eastAsia"/>
        </w:rPr>
        <w:t>号</w:t>
      </w:r>
      <w:r w:rsidRPr="00D55562">
        <w:rPr>
          <w:rStyle w:val="href"/>
        </w:rPr>
        <w:t>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</w:p>
    <w:p w:rsidR="008F4E95" w:rsidRDefault="008F4E95" w:rsidP="007270BD">
      <w:pPr>
        <w:pStyle w:val="Restitle"/>
        <w:spacing w:before="240"/>
        <w:rPr>
          <w:lang w:eastAsia="zh-CN"/>
        </w:rPr>
      </w:pPr>
      <w:r w:rsidRPr="0021489B">
        <w:rPr>
          <w:rFonts w:hint="eastAsia"/>
          <w:lang w:eastAsia="zh-CN"/>
        </w:rPr>
        <w:t>国际移动漫游</w:t>
      </w:r>
    </w:p>
    <w:p w:rsidR="008F4E95" w:rsidRDefault="008F4E95" w:rsidP="008F4E95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21489B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</w:p>
    <w:p w:rsidR="008F4E95" w:rsidRPr="00D55562" w:rsidRDefault="008F4E95" w:rsidP="00D55562">
      <w:pPr>
        <w:pStyle w:val="Normalaftertitle0"/>
        <w:rPr>
          <w:lang w:eastAsia="zh-CN"/>
        </w:rPr>
      </w:pPr>
      <w:r w:rsidRPr="00D55562">
        <w:rPr>
          <w:rFonts w:ascii="SimSun" w:eastAsia="SimSun" w:hAnsi="SimSun" w:cs="SimSun" w:hint="eastAsia"/>
          <w:lang w:eastAsia="zh-CN"/>
        </w:rPr>
        <w:t>世界电信标准化全会（</w:t>
      </w:r>
      <w:r w:rsidRPr="00D55562">
        <w:rPr>
          <w:lang w:eastAsia="zh-CN"/>
        </w:rPr>
        <w:t>2016</w:t>
      </w:r>
      <w:r w:rsidRPr="00D55562">
        <w:rPr>
          <w:rFonts w:ascii="SimSun" w:eastAsia="SimSun" w:hAnsi="SimSun" w:cs="SimSun" w:hint="eastAsia"/>
          <w:lang w:eastAsia="zh-CN"/>
        </w:rPr>
        <w:t>年，哈马马特），</w:t>
      </w:r>
    </w:p>
    <w:p w:rsidR="008F4E95" w:rsidRDefault="008F4E95" w:rsidP="008F4E95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考虑到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a)</w:t>
      </w:r>
      <w:r>
        <w:rPr>
          <w:lang w:eastAsia="zh-CN"/>
        </w:rPr>
        <w:tab/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23-24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在日内瓦举办的</w:t>
      </w:r>
      <w:r>
        <w:rPr>
          <w:rFonts w:hint="eastAsia"/>
          <w:lang w:eastAsia="zh-CN"/>
        </w:rPr>
        <w:t>国际移动漫游（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高级别讲习班的</w:t>
      </w:r>
      <w:r>
        <w:rPr>
          <w:lang w:eastAsia="zh-CN"/>
        </w:rPr>
        <w:t>成果；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日在日内瓦举办的国际电联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val="en-US" w:eastAsia="zh-CN"/>
        </w:rPr>
        <w:t>全球对话</w:t>
      </w:r>
      <w:r>
        <w:rPr>
          <w:lang w:val="en-US" w:eastAsia="zh-CN"/>
        </w:rPr>
        <w:t>的成果</w:t>
      </w:r>
      <w:r>
        <w:rPr>
          <w:rFonts w:hint="eastAsia"/>
          <w:lang w:val="en-US" w:eastAsia="zh-CN"/>
        </w:rPr>
        <w:t>；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6E784A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 w:rsidRPr="006E784A">
        <w:rPr>
          <w:lang w:eastAsia="zh-CN"/>
        </w:rPr>
        <w:t>ITU-T</w:t>
      </w:r>
      <w:r w:rsidRPr="006E784A">
        <w:rPr>
          <w:rFonts w:hint="eastAsia"/>
          <w:lang w:eastAsia="zh-CN"/>
        </w:rPr>
        <w:t>）从事的工作涉及建议书、</w:t>
      </w:r>
      <w:r>
        <w:rPr>
          <w:rFonts w:hint="eastAsia"/>
          <w:lang w:eastAsia="zh-CN"/>
        </w:rPr>
        <w:t>一</w:t>
      </w:r>
      <w:r>
        <w:rPr>
          <w:lang w:eastAsia="zh-CN"/>
        </w:rPr>
        <w:t>致</w:t>
      </w:r>
      <w:r>
        <w:rPr>
          <w:rFonts w:hint="eastAsia"/>
          <w:lang w:eastAsia="zh-CN"/>
        </w:rPr>
        <w:t>性</w:t>
      </w:r>
      <w:r w:rsidRPr="006E784A">
        <w:rPr>
          <w:rFonts w:hint="eastAsia"/>
          <w:lang w:eastAsia="zh-CN"/>
        </w:rPr>
        <w:t>评</w:t>
      </w:r>
      <w:r>
        <w:rPr>
          <w:rFonts w:hint="eastAsia"/>
          <w:lang w:eastAsia="zh-CN"/>
        </w:rPr>
        <w:t>估以及</w:t>
      </w:r>
      <w:r w:rsidRPr="006E784A">
        <w:rPr>
          <w:rFonts w:hint="eastAsia"/>
          <w:lang w:eastAsia="zh-CN"/>
        </w:rPr>
        <w:t>具有政策或监管影响的问题；</w:t>
      </w:r>
      <w:bookmarkStart w:id="2" w:name="_GoBack"/>
      <w:bookmarkEnd w:id="2"/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在全球范围内</w:t>
      </w:r>
      <w:r>
        <w:rPr>
          <w:lang w:eastAsia="zh-CN"/>
        </w:rPr>
        <w:t>，</w:t>
      </w:r>
      <w:r>
        <w:rPr>
          <w:rFonts w:hint="eastAsia"/>
          <w:lang w:eastAsia="zh-CN"/>
        </w:rPr>
        <w:t>经济</w:t>
      </w:r>
      <w:r w:rsidRPr="008D3B9F">
        <w:rPr>
          <w:rFonts w:hint="eastAsia"/>
          <w:lang w:eastAsia="zh-CN"/>
        </w:rPr>
        <w:t>日益依赖</w:t>
      </w:r>
      <w:r>
        <w:rPr>
          <w:rFonts w:hint="eastAsia"/>
          <w:lang w:eastAsia="zh-CN"/>
        </w:rPr>
        <w:t>于可靠、成本高效、具有竞争性且价格可承受的移动</w:t>
      </w:r>
      <w:r w:rsidRPr="008D3B9F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技术；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当</w:t>
      </w:r>
      <w:r>
        <w:rPr>
          <w:lang w:eastAsia="zh-CN"/>
        </w:rPr>
        <w:t>批发</w:t>
      </w:r>
      <w:r>
        <w:rPr>
          <w:lang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与</w:t>
      </w:r>
      <w:r>
        <w:rPr>
          <w:rFonts w:hint="eastAsia"/>
          <w:lang w:eastAsia="zh-CN"/>
        </w:rPr>
        <w:t>底</w:t>
      </w:r>
      <w:r>
        <w:rPr>
          <w:lang w:eastAsia="zh-CN"/>
        </w:rPr>
        <w:t>层成本脱</w:t>
      </w:r>
      <w:r>
        <w:rPr>
          <w:rFonts w:hint="eastAsia"/>
          <w:lang w:eastAsia="zh-CN"/>
        </w:rPr>
        <w:t>节</w:t>
      </w:r>
      <w:r>
        <w:rPr>
          <w:lang w:eastAsia="zh-CN"/>
        </w:rPr>
        <w:t>时，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会对零售费率产生影响，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出现不一致和</w:t>
      </w:r>
      <w:r>
        <w:rPr>
          <w:rFonts w:hint="eastAsia"/>
          <w:lang w:eastAsia="zh-CN"/>
        </w:rPr>
        <w:t>任意</w:t>
      </w:r>
      <w:r>
        <w:rPr>
          <w:lang w:eastAsia="zh-CN"/>
        </w:rPr>
        <w:t>收费</w:t>
      </w:r>
      <w:r>
        <w:rPr>
          <w:rFonts w:hint="eastAsia"/>
          <w:lang w:eastAsia="zh-CN"/>
        </w:rPr>
        <w:t>情况；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 w:rsidRPr="004A2C78">
        <w:rPr>
          <w:rFonts w:hint="eastAsia"/>
          <w:lang w:eastAsia="zh-CN"/>
        </w:rPr>
        <w:t>国内价格与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eastAsia="zh-CN"/>
        </w:rPr>
        <w:t>价格之间持续</w:t>
      </w:r>
      <w:r w:rsidRPr="004A2C78">
        <w:rPr>
          <w:rFonts w:hint="eastAsia"/>
          <w:lang w:eastAsia="zh-CN"/>
        </w:rPr>
        <w:t>存在巨大差异</w:t>
      </w:r>
      <w:r>
        <w:rPr>
          <w:rFonts w:hint="eastAsia"/>
          <w:lang w:eastAsia="zh-CN"/>
        </w:rPr>
        <w:t>，就</w:t>
      </w:r>
      <w:r w:rsidRPr="004A2C78">
        <w:rPr>
          <w:rFonts w:hint="eastAsia"/>
          <w:lang w:eastAsia="zh-CN"/>
        </w:rPr>
        <w:t>不可能形成竞争性</w:t>
      </w:r>
      <w:r>
        <w:rPr>
          <w:rFonts w:hint="eastAsia"/>
          <w:lang w:eastAsia="zh-CN"/>
        </w:rPr>
        <w:t>的</w:t>
      </w:r>
      <w:r w:rsidRPr="004A2C78">
        <w:rPr>
          <w:rFonts w:hint="eastAsia"/>
          <w:lang w:eastAsia="zh-CN"/>
        </w:rPr>
        <w:t>国际电信市场</w:t>
      </w:r>
      <w:r>
        <w:rPr>
          <w:rFonts w:hint="eastAsia"/>
          <w:lang w:eastAsia="zh-CN"/>
        </w:rPr>
        <w:t>；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>
        <w:rPr>
          <w:lang w:eastAsia="zh-CN"/>
        </w:rPr>
        <w:t>国</w:t>
      </w:r>
      <w:r>
        <w:rPr>
          <w:rFonts w:hint="eastAsia"/>
          <w:lang w:eastAsia="zh-CN"/>
        </w:rPr>
        <w:t>之间与</w:t>
      </w:r>
      <w:r>
        <w:rPr>
          <w:lang w:eastAsia="zh-CN"/>
        </w:rPr>
        <w:t>各区域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的成本</w:t>
      </w:r>
      <w:r>
        <w:rPr>
          <w:rFonts w:hint="eastAsia"/>
          <w:lang w:eastAsia="zh-CN"/>
        </w:rPr>
        <w:t>存</w:t>
      </w:r>
      <w:r>
        <w:rPr>
          <w:lang w:eastAsia="zh-CN"/>
        </w:rPr>
        <w:t>在</w:t>
      </w:r>
      <w:r>
        <w:rPr>
          <w:rFonts w:hint="eastAsia"/>
          <w:lang w:eastAsia="zh-CN"/>
        </w:rPr>
        <w:t>差异</w:t>
      </w:r>
      <w:r>
        <w:rPr>
          <w:lang w:eastAsia="zh-CN"/>
        </w:rPr>
        <w:t>，</w:t>
      </w:r>
    </w:p>
    <w:p w:rsidR="008F4E95" w:rsidRDefault="008F4E95" w:rsidP="008F4E95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注意到</w:t>
      </w:r>
    </w:p>
    <w:p w:rsidR="008F4E95" w:rsidRDefault="008F4E95" w:rsidP="008F4E95">
      <w:pPr>
        <w:rPr>
          <w:lang w:eastAsia="zh-CN"/>
        </w:rPr>
      </w:pPr>
      <w:r w:rsidRPr="00D00F60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 w:rsidRPr="002B569E">
        <w:rPr>
          <w:rFonts w:hint="eastAsia"/>
          <w:lang w:eastAsia="zh-CN"/>
        </w:rPr>
        <w:t>建议书是</w:t>
      </w:r>
      <w:r w:rsidRPr="002B569E">
        <w:rPr>
          <w:rFonts w:hint="eastAsia"/>
          <w:lang w:eastAsia="zh-CN"/>
        </w:rPr>
        <w:t>2012</w:t>
      </w:r>
      <w:r w:rsidRPr="002B569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在</w:t>
      </w:r>
      <w:r w:rsidRPr="002B569E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与部门成员之间达成的一</w:t>
      </w:r>
      <w:r>
        <w:rPr>
          <w:lang w:eastAsia="zh-CN"/>
        </w:rPr>
        <w:t>项</w:t>
      </w:r>
      <w:r>
        <w:rPr>
          <w:rFonts w:hint="eastAsia"/>
          <w:lang w:eastAsia="zh-CN"/>
        </w:rPr>
        <w:t>协议；</w:t>
      </w:r>
    </w:p>
    <w:p w:rsidR="008F4E95" w:rsidRPr="00773585" w:rsidRDefault="008F4E95" w:rsidP="008F4E95">
      <w:pPr>
        <w:rPr>
          <w:lang w:eastAsia="zh-CN"/>
        </w:rPr>
      </w:pPr>
      <w:r w:rsidRPr="00773585">
        <w:rPr>
          <w:i/>
          <w:iCs/>
          <w:lang w:eastAsia="zh-CN"/>
        </w:rPr>
        <w:t>b)</w:t>
      </w:r>
      <w:r w:rsidRPr="00773585">
        <w:rPr>
          <w:lang w:eastAsia="zh-CN"/>
        </w:rPr>
        <w:tab/>
        <w:t>ITU-T D.97</w:t>
      </w:r>
      <w:r w:rsidRPr="00773585">
        <w:rPr>
          <w:rFonts w:hint="eastAsia"/>
          <w:lang w:eastAsia="zh-CN"/>
        </w:rPr>
        <w:t>建议书载有或可用于</w:t>
      </w:r>
      <w:r w:rsidRPr="00773585">
        <w:rPr>
          <w:lang w:eastAsia="zh-CN"/>
        </w:rPr>
        <w:t>降低</w:t>
      </w:r>
      <w:r w:rsidRPr="00773585">
        <w:rPr>
          <w:rFonts w:hint="eastAsia"/>
          <w:lang w:eastAsia="zh-CN"/>
        </w:rPr>
        <w:t>过</w:t>
      </w:r>
      <w:r w:rsidRPr="00773585">
        <w:rPr>
          <w:lang w:eastAsia="zh-CN"/>
        </w:rPr>
        <w:t>高漫游费率的方</w:t>
      </w:r>
      <w:r w:rsidRPr="00773585">
        <w:rPr>
          <w:rFonts w:hint="eastAsia"/>
          <w:lang w:eastAsia="zh-CN"/>
        </w:rPr>
        <w:t>法</w:t>
      </w:r>
      <w:r w:rsidRPr="00773585">
        <w:rPr>
          <w:lang w:eastAsia="zh-CN"/>
        </w:rPr>
        <w:t>，</w:t>
      </w:r>
      <w:r w:rsidRPr="00773585">
        <w:rPr>
          <w:rFonts w:hint="eastAsia"/>
          <w:lang w:eastAsia="zh-CN"/>
        </w:rPr>
        <w:t>同时</w:t>
      </w:r>
      <w:r w:rsidRPr="00773585">
        <w:rPr>
          <w:lang w:eastAsia="zh-CN"/>
        </w:rPr>
        <w:t>突出强调鼓励漫游市场竞争</w:t>
      </w:r>
      <w:r w:rsidRPr="00773585">
        <w:rPr>
          <w:rFonts w:hint="eastAsia"/>
          <w:lang w:eastAsia="zh-CN"/>
        </w:rPr>
        <w:t>、</w:t>
      </w:r>
      <w:r w:rsidRPr="00773585">
        <w:rPr>
          <w:lang w:eastAsia="zh-CN"/>
        </w:rPr>
        <w:t>教育消费者</w:t>
      </w:r>
      <w:r w:rsidRPr="00773585">
        <w:rPr>
          <w:rFonts w:hint="eastAsia"/>
          <w:lang w:eastAsia="zh-CN"/>
        </w:rPr>
        <w:t>和</w:t>
      </w:r>
      <w:r w:rsidRPr="00773585">
        <w:rPr>
          <w:lang w:eastAsia="zh-CN"/>
        </w:rPr>
        <w:t>考虑采取引入漫游费率上限</w:t>
      </w:r>
      <w:r w:rsidRPr="00773585">
        <w:rPr>
          <w:rFonts w:hint="eastAsia"/>
          <w:lang w:eastAsia="zh-CN"/>
        </w:rPr>
        <w:t>等</w:t>
      </w:r>
      <w:r w:rsidRPr="00773585">
        <w:rPr>
          <w:lang w:eastAsia="zh-CN"/>
        </w:rPr>
        <w:t>适当监管</w:t>
      </w:r>
      <w:r w:rsidRPr="00773585">
        <w:rPr>
          <w:rFonts w:hint="eastAsia"/>
          <w:lang w:eastAsia="zh-CN"/>
        </w:rPr>
        <w:t>行动</w:t>
      </w:r>
      <w:r w:rsidRPr="00773585">
        <w:rPr>
          <w:lang w:eastAsia="zh-CN"/>
        </w:rPr>
        <w:t>的必要性</w:t>
      </w:r>
      <w:r w:rsidRPr="00773585">
        <w:rPr>
          <w:rFonts w:hint="eastAsia"/>
          <w:lang w:eastAsia="zh-CN"/>
        </w:rPr>
        <w:t>，</w:t>
      </w:r>
    </w:p>
    <w:p w:rsidR="008F4E95" w:rsidRDefault="008F4E95" w:rsidP="008F4E95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做出决议</w:t>
      </w:r>
    </w:p>
    <w:p w:rsidR="008F4E95" w:rsidRDefault="008F4E95" w:rsidP="008F4E95">
      <w:pPr>
        <w:ind w:firstLineChars="200" w:firstLine="480"/>
        <w:rPr>
          <w:lang w:eastAsia="zh-CN"/>
        </w:rPr>
      </w:pP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组必须继续研究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的经济影响，</w:t>
      </w:r>
    </w:p>
    <w:p w:rsidR="008F4E95" w:rsidRDefault="008F4E95" w:rsidP="008F4E95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</w:t>
      </w:r>
      <w:r>
        <w:rPr>
          <w:lang w:eastAsia="zh-CN"/>
        </w:rPr>
        <w:t>化</w:t>
      </w:r>
      <w:r>
        <w:rPr>
          <w:rFonts w:hint="eastAsia"/>
          <w:lang w:eastAsia="zh-CN"/>
        </w:rPr>
        <w:t>局</w:t>
      </w:r>
      <w:r>
        <w:rPr>
          <w:lang w:eastAsia="zh-CN"/>
        </w:rPr>
        <w:t>主任</w:t>
      </w:r>
    </w:p>
    <w:p w:rsidR="008F4E95" w:rsidRDefault="008F4E95" w:rsidP="008F4E95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与电信发展局（</w:t>
      </w:r>
      <w:r>
        <w:rPr>
          <w:rFonts w:hint="eastAsia"/>
          <w:lang w:eastAsia="zh-CN"/>
        </w:rPr>
        <w:t>BDT</w:t>
      </w:r>
      <w:r>
        <w:rPr>
          <w:lang w:eastAsia="zh-CN"/>
        </w:rPr>
        <w:t>）</w:t>
      </w:r>
      <w:r>
        <w:rPr>
          <w:rFonts w:hint="eastAsia"/>
          <w:lang w:eastAsia="zh-CN"/>
        </w:rPr>
        <w:t>主任协作，推出</w:t>
      </w:r>
      <w:r>
        <w:rPr>
          <w:lang w:eastAsia="zh-CN"/>
        </w:rPr>
        <w:t>相关举措，</w:t>
      </w:r>
      <w:r>
        <w:rPr>
          <w:rFonts w:hint="eastAsia"/>
          <w:lang w:eastAsia="zh-CN"/>
        </w:rPr>
        <w:t>增强人们</w:t>
      </w:r>
      <w:r>
        <w:rPr>
          <w:lang w:eastAsia="zh-CN"/>
        </w:rPr>
        <w:t>对降低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eastAsia="zh-CN"/>
        </w:rPr>
        <w:t>费率给消费者</w:t>
      </w:r>
      <w:r>
        <w:rPr>
          <w:lang w:eastAsia="zh-CN"/>
        </w:rPr>
        <w:t>所带来益处的认识；</w:t>
      </w:r>
    </w:p>
    <w:p w:rsidR="008F4E95" w:rsidRDefault="008F4E95" w:rsidP="008F4E95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提出合作方法，促进</w:t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>
        <w:rPr>
          <w:rFonts w:hint="eastAsia"/>
          <w:lang w:eastAsia="zh-CN"/>
        </w:rPr>
        <w:t>和</w:t>
      </w:r>
      <w:r>
        <w:rPr>
          <w:lang w:eastAsia="zh-CN"/>
        </w:rPr>
        <w:t>D.97</w:t>
      </w:r>
      <w:r w:rsidRPr="002B569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</w:t>
      </w:r>
      <w:r>
        <w:rPr>
          <w:lang w:eastAsia="zh-CN"/>
        </w:rPr>
        <w:t>落实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并通过</w:t>
      </w:r>
      <w:r>
        <w:rPr>
          <w:rFonts w:hint="eastAsia"/>
          <w:lang w:eastAsia="zh-CN"/>
        </w:rPr>
        <w:t>推行</w:t>
      </w:r>
      <w:r>
        <w:rPr>
          <w:lang w:eastAsia="zh-CN"/>
        </w:rPr>
        <w:t>能力建设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、讲习班和为国际合作协议制定导则，降低</w:t>
      </w:r>
      <w:r>
        <w:rPr>
          <w:rFonts w:hint="eastAsia"/>
          <w:lang w:eastAsia="zh-CN"/>
        </w:rPr>
        <w:t>各</w:t>
      </w:r>
      <w:r>
        <w:rPr>
          <w:lang w:eastAsia="zh-CN"/>
        </w:rPr>
        <w:t>成员国之间的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，</w:t>
      </w:r>
    </w:p>
    <w:p w:rsidR="00413ADD" w:rsidRDefault="00413A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8F4E95" w:rsidRDefault="008F4E95" w:rsidP="008F4E95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</w:t>
      </w:r>
      <w:r>
        <w:rPr>
          <w:lang w:eastAsia="zh-CN"/>
        </w:rPr>
        <w:t>各成员国</w:t>
      </w:r>
    </w:p>
    <w:p w:rsidR="008F4E95" w:rsidRDefault="008F4E95" w:rsidP="008F4E95">
      <w:pPr>
        <w:keepNext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ITU-T D.97</w:t>
      </w:r>
      <w:r w:rsidRPr="002B569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采取</w:t>
      </w:r>
      <w:r>
        <w:rPr>
          <w:lang w:eastAsia="zh-CN"/>
        </w:rPr>
        <w:t>措施；</w:t>
      </w:r>
    </w:p>
    <w:p w:rsidR="008F4E95" w:rsidRDefault="008F4E95" w:rsidP="008F4E95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适用</w:t>
      </w:r>
      <w:r>
        <w:rPr>
          <w:lang w:eastAsia="zh-CN"/>
        </w:rPr>
        <w:t>时采取监管措施，通过协作努力降低</w:t>
      </w:r>
      <w:r>
        <w:rPr>
          <w:rFonts w:hint="eastAsia"/>
          <w:lang w:val="en-US" w:eastAsia="zh-CN"/>
        </w:rPr>
        <w:t>IMR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。</w:t>
      </w:r>
    </w:p>
    <w:p w:rsidR="007009ED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13ADD" w:rsidRPr="00870A2B" w:rsidRDefault="00413AD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413ADD" w:rsidRPr="00870A2B" w:rsidSect="00413ADD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2F" w:rsidRDefault="002A352F">
      <w:r>
        <w:separator/>
      </w:r>
    </w:p>
  </w:endnote>
  <w:endnote w:type="continuationSeparator" w:id="0">
    <w:p w:rsidR="002A352F" w:rsidRDefault="002A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285780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85780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285780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285780">
      <w:rPr>
        <w:rFonts w:hint="eastAsia"/>
        <w:lang w:val="en-US" w:eastAsia="zh-CN"/>
      </w:rPr>
      <w:t>第</w:t>
    </w:r>
    <w:r w:rsidR="00285780">
      <w:rPr>
        <w:rFonts w:hint="eastAsia"/>
        <w:lang w:val="en-US" w:eastAsia="zh-CN"/>
      </w:rPr>
      <w:t>88</w:t>
    </w:r>
    <w:r w:rsidR="00285780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413ADD" w:rsidP="00413ADD">
    <w:pPr>
      <w:pStyle w:val="FooterQP"/>
      <w:rPr>
        <w:lang w:val="en-US" w:eastAsia="zh-CN"/>
      </w:rPr>
    </w:pPr>
    <w:r w:rsidRPr="00413ADD">
      <w:rPr>
        <w:b w:val="0"/>
        <w:bCs/>
        <w:lang w:eastAsia="zh-CN"/>
      </w:rPr>
      <w:fldChar w:fldCharType="begin"/>
    </w:r>
    <w:r w:rsidRPr="00413ADD">
      <w:rPr>
        <w:b w:val="0"/>
        <w:bCs/>
        <w:lang w:eastAsia="zh-CN"/>
      </w:rPr>
      <w:instrText xml:space="preserve"> PAGE   \* MERGEFORMAT </w:instrText>
    </w:r>
    <w:r w:rsidRPr="00413ADD">
      <w:rPr>
        <w:b w:val="0"/>
        <w:bCs/>
        <w:lang w:eastAsia="zh-CN"/>
      </w:rPr>
      <w:fldChar w:fldCharType="separate"/>
    </w:r>
    <w:r w:rsidR="00285780">
      <w:rPr>
        <w:b w:val="0"/>
        <w:bCs/>
        <w:noProof/>
        <w:lang w:eastAsia="zh-CN"/>
      </w:rPr>
      <w:t>2</w:t>
    </w:r>
    <w:r w:rsidRPr="00413ADD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285780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285780" w:rsidRPr="00285780">
      <w:rPr>
        <w:rFonts w:hint="eastAsia"/>
        <w:bCs/>
        <w:noProof/>
        <w:lang w:val="en-US" w:eastAsia="zh-CN"/>
      </w:rPr>
      <w:t>第</w:t>
    </w:r>
    <w:r w:rsidR="00285780" w:rsidRPr="00285780">
      <w:rPr>
        <w:rFonts w:hint="eastAsia"/>
        <w:bCs/>
        <w:noProof/>
        <w:lang w:val="en-US" w:eastAsia="zh-CN"/>
      </w:rPr>
      <w:t>88</w:t>
    </w:r>
    <w:r w:rsidR="00285780" w:rsidRPr="00285780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413ADD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85780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285780" w:rsidRPr="00285780">
      <w:rPr>
        <w:rFonts w:hint="eastAsia"/>
        <w:bCs/>
        <w:noProof/>
        <w:lang w:eastAsia="zh-CN"/>
      </w:rPr>
      <w:t>第</w:t>
    </w:r>
    <w:r w:rsidR="00285780" w:rsidRPr="00285780">
      <w:rPr>
        <w:rFonts w:hint="eastAsia"/>
        <w:bCs/>
        <w:noProof/>
        <w:lang w:eastAsia="zh-CN"/>
      </w:rPr>
      <w:t>88</w:t>
    </w:r>
    <w:r w:rsidR="00285780" w:rsidRPr="00285780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lang w:eastAsia="zh-CN"/>
      </w:rPr>
      <w:fldChar w:fldCharType="begin"/>
    </w:r>
    <w:r w:rsidRPr="00AA4B12">
      <w:rPr>
        <w:lang w:eastAsia="zh-CN"/>
      </w:rPr>
      <w:instrText xml:space="preserve"> PAGE   \* MERGEFORMAT </w:instrText>
    </w:r>
    <w:r w:rsidRPr="00AA4B12">
      <w:rPr>
        <w:lang w:eastAsia="zh-CN"/>
      </w:rPr>
      <w:fldChar w:fldCharType="separate"/>
    </w:r>
    <w:r w:rsidR="00413ADD">
      <w:rPr>
        <w:noProof/>
        <w:lang w:eastAsia="zh-CN"/>
      </w:rPr>
      <w:t>3</w:t>
    </w:r>
    <w:r w:rsidRPr="00AA4B12">
      <w:rPr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DD" w:rsidRDefault="00413ADD" w:rsidP="00413ADD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85780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285780" w:rsidRPr="00285780">
      <w:rPr>
        <w:rFonts w:hint="eastAsia"/>
        <w:bCs/>
        <w:noProof/>
        <w:lang w:eastAsia="zh-CN"/>
      </w:rPr>
      <w:t>第</w:t>
    </w:r>
    <w:r w:rsidR="00285780" w:rsidRPr="00285780">
      <w:rPr>
        <w:rFonts w:hint="eastAsia"/>
        <w:bCs/>
        <w:noProof/>
        <w:lang w:eastAsia="zh-CN"/>
      </w:rPr>
      <w:t>88</w:t>
    </w:r>
    <w:r w:rsidR="00285780" w:rsidRPr="00285780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413ADD">
      <w:rPr>
        <w:b w:val="0"/>
        <w:bCs/>
        <w:lang w:eastAsia="zh-CN"/>
      </w:rPr>
      <w:fldChar w:fldCharType="begin"/>
    </w:r>
    <w:r w:rsidRPr="00413ADD">
      <w:rPr>
        <w:b w:val="0"/>
        <w:bCs/>
        <w:lang w:eastAsia="zh-CN"/>
      </w:rPr>
      <w:instrText xml:space="preserve"> PAGE   \* MERGEFORMAT </w:instrText>
    </w:r>
    <w:r w:rsidRPr="00413ADD">
      <w:rPr>
        <w:b w:val="0"/>
        <w:bCs/>
        <w:lang w:eastAsia="zh-CN"/>
      </w:rPr>
      <w:fldChar w:fldCharType="separate"/>
    </w:r>
    <w:r w:rsidR="00285780">
      <w:rPr>
        <w:b w:val="0"/>
        <w:bCs/>
        <w:noProof/>
        <w:lang w:eastAsia="zh-CN"/>
      </w:rPr>
      <w:t>1</w:t>
    </w:r>
    <w:r w:rsidRPr="00413ADD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2F" w:rsidRDefault="002A352F">
      <w:r>
        <w:t>____________________</w:t>
      </w:r>
    </w:p>
  </w:footnote>
  <w:footnote w:type="continuationSeparator" w:id="0">
    <w:p w:rsidR="002A352F" w:rsidRDefault="002A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5228C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D69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25FD"/>
    <w:rsid w:val="00253E75"/>
    <w:rsid w:val="00255630"/>
    <w:rsid w:val="00270364"/>
    <w:rsid w:val="00276EAA"/>
    <w:rsid w:val="00285780"/>
    <w:rsid w:val="00285D2D"/>
    <w:rsid w:val="00291F40"/>
    <w:rsid w:val="002A0C91"/>
    <w:rsid w:val="002A352F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742B0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3ADD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E79CE"/>
    <w:rsid w:val="004F2BE6"/>
    <w:rsid w:val="00514AC1"/>
    <w:rsid w:val="00514C3E"/>
    <w:rsid w:val="00520876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A44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2F20"/>
    <w:rsid w:val="005864EC"/>
    <w:rsid w:val="00587D65"/>
    <w:rsid w:val="005A0ACB"/>
    <w:rsid w:val="005A1496"/>
    <w:rsid w:val="005A3FF0"/>
    <w:rsid w:val="005B09A9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270BD"/>
    <w:rsid w:val="00731012"/>
    <w:rsid w:val="00734D57"/>
    <w:rsid w:val="00736415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0661"/>
    <w:rsid w:val="00851B70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6A1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8F4E95"/>
    <w:rsid w:val="00903C93"/>
    <w:rsid w:val="00904488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2804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4A85"/>
    <w:rsid w:val="00BE52C8"/>
    <w:rsid w:val="00BF099B"/>
    <w:rsid w:val="00BF77D2"/>
    <w:rsid w:val="00BF7F42"/>
    <w:rsid w:val="00C0067E"/>
    <w:rsid w:val="00C07239"/>
    <w:rsid w:val="00C15513"/>
    <w:rsid w:val="00C241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55562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6739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0847"/>
    <w:rsid w:val="00E05AB1"/>
    <w:rsid w:val="00E05F8D"/>
    <w:rsid w:val="00E1173A"/>
    <w:rsid w:val="00E14984"/>
    <w:rsid w:val="00E2217D"/>
    <w:rsid w:val="00E22A25"/>
    <w:rsid w:val="00E251AF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56B8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565D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287116-62DD-4C58-AE03-183E3EB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11</cp:revision>
  <cp:lastPrinted>2016-12-16T09:44:00Z</cp:lastPrinted>
  <dcterms:created xsi:type="dcterms:W3CDTF">2016-12-15T10:01:00Z</dcterms:created>
  <dcterms:modified xsi:type="dcterms:W3CDTF">2016-12-16T09:45:00Z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