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20"/>
        <w:gridCol w:w="2029"/>
        <w:gridCol w:w="3971"/>
      </w:tblGrid>
      <w:tr w:rsidR="008968B6" w:rsidRPr="008968B6" w:rsidTr="005569CA">
        <w:trPr>
          <w:trHeight w:hRule="exact" w:val="1418"/>
        </w:trPr>
        <w:tc>
          <w:tcPr>
            <w:tcW w:w="1428" w:type="dxa"/>
            <w:gridSpan w:val="2"/>
          </w:tcPr>
          <w:p w:rsidR="008968B6" w:rsidRPr="008968B6" w:rsidRDefault="00720F3C" w:rsidP="008968B6">
            <w:pPr>
              <w:spacing w:before="120" w:line="240" w:lineRule="auto"/>
              <w:rPr>
                <w:sz w:val="24"/>
                <w:lang w:val="en-GB"/>
              </w:rPr>
            </w:pPr>
            <w:bookmarkStart w:id="0" w:name="dstart"/>
            <w:bookmarkStart w:id="1" w:name="dbreak"/>
            <w:bookmarkStart w:id="2" w:name="InsertLogo"/>
            <w:bookmarkEnd w:id="0"/>
            <w:bookmarkEnd w:id="1"/>
            <w:bookmarkEnd w:id="2"/>
            <w:r>
              <w:rPr>
                <w:noProof/>
                <w:sz w:val="20"/>
                <w:lang w:val="en-US" w:eastAsia="zh-CN"/>
              </w:rPr>
              <w:drawing>
                <wp:anchor distT="0" distB="0" distL="114300" distR="114300" simplePos="0" relativeHeight="251656704" behindDoc="0" locked="0" layoutInCell="0" allowOverlap="1">
                  <wp:simplePos x="0" y="0"/>
                  <wp:positionH relativeFrom="column">
                    <wp:posOffset>-962025</wp:posOffset>
                  </wp:positionH>
                  <wp:positionV relativeFrom="paragraph">
                    <wp:posOffset>-695960</wp:posOffset>
                  </wp:positionV>
                  <wp:extent cx="1569720" cy="10771505"/>
                  <wp:effectExtent l="0" t="0" r="0" b="0"/>
                  <wp:wrapNone/>
                  <wp:docPr id="164" name="Picture 16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Fond-Rec_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68B6" w:rsidRPr="008968B6" w:rsidRDefault="008968B6" w:rsidP="008968B6">
            <w:pPr>
              <w:spacing w:before="0" w:line="240" w:lineRule="auto"/>
              <w:rPr>
                <w:b/>
                <w:sz w:val="16"/>
                <w:lang w:val="en-US"/>
              </w:rPr>
            </w:pPr>
          </w:p>
        </w:tc>
        <w:tc>
          <w:tcPr>
            <w:tcW w:w="8520" w:type="dxa"/>
            <w:gridSpan w:val="3"/>
          </w:tcPr>
          <w:p w:rsidR="008968B6" w:rsidRPr="008968B6" w:rsidRDefault="008968B6" w:rsidP="008968B6">
            <w:pPr>
              <w:spacing w:before="0" w:line="240" w:lineRule="auto"/>
              <w:rPr>
                <w:rFonts w:ascii="Arial" w:hAnsi="Arial" w:cs="Arial"/>
                <w:sz w:val="24"/>
                <w:lang w:val="en-US"/>
              </w:rPr>
            </w:pPr>
          </w:p>
          <w:p w:rsidR="008968B6" w:rsidRPr="008968B6" w:rsidRDefault="008968B6" w:rsidP="008968B6">
            <w:pPr>
              <w:spacing w:before="284" w:line="240" w:lineRule="auto"/>
              <w:rPr>
                <w:rFonts w:ascii="Arial" w:hAnsi="Arial" w:cs="Arial"/>
                <w:b/>
                <w:bCs/>
                <w:sz w:val="18"/>
                <w:lang w:val="en-US"/>
              </w:rPr>
            </w:pPr>
            <w:r w:rsidRPr="008968B6">
              <w:rPr>
                <w:rFonts w:ascii="Arial" w:hAnsi="Arial" w:cs="Arial"/>
                <w:b/>
                <w:bCs/>
                <w:color w:val="808080"/>
                <w:spacing w:val="100"/>
                <w:sz w:val="24"/>
                <w:lang w:val="en-GB"/>
              </w:rPr>
              <w:t>International Telecommunication Union</w:t>
            </w:r>
          </w:p>
        </w:tc>
      </w:tr>
      <w:tr w:rsidR="008968B6" w:rsidRPr="008968B6" w:rsidTr="005569CA">
        <w:trPr>
          <w:trHeight w:hRule="exact" w:val="992"/>
        </w:trPr>
        <w:tc>
          <w:tcPr>
            <w:tcW w:w="1428" w:type="dxa"/>
            <w:gridSpan w:val="2"/>
          </w:tcPr>
          <w:p w:rsidR="008968B6" w:rsidRPr="008968B6" w:rsidRDefault="008968B6" w:rsidP="008968B6">
            <w:pPr>
              <w:spacing w:before="0" w:line="240" w:lineRule="auto"/>
              <w:rPr>
                <w:sz w:val="24"/>
                <w:lang w:val="en-US"/>
              </w:rPr>
            </w:pPr>
          </w:p>
        </w:tc>
        <w:tc>
          <w:tcPr>
            <w:tcW w:w="8520" w:type="dxa"/>
            <w:gridSpan w:val="3"/>
          </w:tcPr>
          <w:p w:rsidR="008968B6" w:rsidRPr="008968B6" w:rsidRDefault="008968B6" w:rsidP="008968B6">
            <w:pPr>
              <w:spacing w:before="120" w:line="240" w:lineRule="auto"/>
              <w:rPr>
                <w:sz w:val="24"/>
                <w:lang w:val="en-US"/>
              </w:rPr>
            </w:pPr>
          </w:p>
        </w:tc>
      </w:tr>
      <w:tr w:rsidR="008968B6" w:rsidRPr="008968B6" w:rsidTr="005569CA">
        <w:tblPrEx>
          <w:tblCellMar>
            <w:left w:w="85" w:type="dxa"/>
            <w:right w:w="85" w:type="dxa"/>
          </w:tblCellMar>
        </w:tblPrEx>
        <w:trPr>
          <w:gridBefore w:val="2"/>
          <w:wBefore w:w="1428" w:type="dxa"/>
        </w:trPr>
        <w:tc>
          <w:tcPr>
            <w:tcW w:w="2520" w:type="dxa"/>
          </w:tcPr>
          <w:p w:rsidR="008968B6" w:rsidRPr="008968B6" w:rsidRDefault="008968B6" w:rsidP="008968B6">
            <w:pPr>
              <w:spacing w:before="120" w:line="240" w:lineRule="auto"/>
              <w:rPr>
                <w:b/>
                <w:sz w:val="18"/>
                <w:lang w:val="en-US"/>
              </w:rPr>
            </w:pPr>
            <w:bookmarkStart w:id="3" w:name="dnume" w:colFirst="1" w:colLast="1"/>
            <w:r w:rsidRPr="008968B6">
              <w:rPr>
                <w:rFonts w:ascii="Arial" w:hAnsi="Arial"/>
                <w:b/>
                <w:spacing w:val="40"/>
                <w:sz w:val="72"/>
                <w:lang w:val="en-US"/>
              </w:rPr>
              <w:t>ITU-T</w:t>
            </w:r>
          </w:p>
        </w:tc>
        <w:tc>
          <w:tcPr>
            <w:tcW w:w="6000" w:type="dxa"/>
            <w:gridSpan w:val="2"/>
          </w:tcPr>
          <w:p w:rsidR="008968B6" w:rsidRPr="008968B6" w:rsidRDefault="008968B6" w:rsidP="008968B6">
            <w:pPr>
              <w:spacing w:before="240" w:line="240" w:lineRule="auto"/>
              <w:jc w:val="right"/>
              <w:rPr>
                <w:b/>
                <w:sz w:val="18"/>
                <w:lang w:val="en-US"/>
              </w:rPr>
            </w:pPr>
          </w:p>
        </w:tc>
      </w:tr>
      <w:tr w:rsidR="008968B6" w:rsidRPr="00A848B4" w:rsidTr="005569CA">
        <w:tblPrEx>
          <w:tblCellMar>
            <w:left w:w="85" w:type="dxa"/>
            <w:right w:w="85" w:type="dxa"/>
          </w:tblCellMar>
        </w:tblPrEx>
        <w:trPr>
          <w:gridBefore w:val="2"/>
          <w:wBefore w:w="1428" w:type="dxa"/>
          <w:trHeight w:val="974"/>
        </w:trPr>
        <w:tc>
          <w:tcPr>
            <w:tcW w:w="4549" w:type="dxa"/>
            <w:gridSpan w:val="2"/>
          </w:tcPr>
          <w:p w:rsidR="008968B6" w:rsidRPr="008968B6" w:rsidRDefault="008968B6" w:rsidP="008968B6">
            <w:pPr>
              <w:spacing w:before="120" w:line="240" w:lineRule="auto"/>
              <w:jc w:val="left"/>
              <w:rPr>
                <w:b/>
                <w:sz w:val="20"/>
                <w:lang w:val="en-US"/>
              </w:rPr>
            </w:pPr>
            <w:bookmarkStart w:id="4" w:name="ddatee" w:colFirst="1" w:colLast="1"/>
            <w:bookmarkEnd w:id="3"/>
            <w:r w:rsidRPr="008968B6">
              <w:rPr>
                <w:rFonts w:ascii="Arial" w:hAnsi="Arial"/>
                <w:sz w:val="20"/>
                <w:lang w:val="en-US"/>
              </w:rPr>
              <w:t>TELECOMMUNICATION</w:t>
            </w:r>
            <w:r w:rsidRPr="008968B6">
              <w:rPr>
                <w:rFonts w:ascii="Arial" w:hAnsi="Arial" w:cs="Arial"/>
                <w:sz w:val="20"/>
                <w:lang w:val="en-US"/>
              </w:rPr>
              <w:br/>
            </w:r>
            <w:r w:rsidRPr="008968B6">
              <w:rPr>
                <w:rFonts w:ascii="Arial" w:hAnsi="Arial"/>
                <w:sz w:val="20"/>
                <w:lang w:val="en-US"/>
              </w:rPr>
              <w:t>STANDARDIZATION  SECTOR</w:t>
            </w:r>
            <w:r w:rsidRPr="008968B6">
              <w:rPr>
                <w:rFonts w:ascii="Arial" w:hAnsi="Arial"/>
                <w:sz w:val="20"/>
                <w:lang w:val="en-US"/>
              </w:rPr>
              <w:br/>
              <w:t>OF  ITU</w:t>
            </w:r>
          </w:p>
        </w:tc>
        <w:tc>
          <w:tcPr>
            <w:tcW w:w="3971" w:type="dxa"/>
          </w:tcPr>
          <w:p w:rsidR="008968B6" w:rsidRPr="008968B6" w:rsidRDefault="008968B6" w:rsidP="008968B6">
            <w:pPr>
              <w:spacing w:before="0" w:line="240" w:lineRule="auto"/>
              <w:jc w:val="right"/>
              <w:rPr>
                <w:b/>
                <w:sz w:val="18"/>
                <w:lang w:val="en-US"/>
              </w:rPr>
            </w:pPr>
          </w:p>
        </w:tc>
      </w:tr>
      <w:tr w:rsidR="008968B6" w:rsidRPr="00A848B4" w:rsidTr="005569CA">
        <w:trPr>
          <w:cantSplit/>
          <w:trHeight w:hRule="exact" w:val="3402"/>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5" w:name="dsece" w:colFirst="1" w:colLast="1"/>
            <w:bookmarkEnd w:id="4"/>
          </w:p>
        </w:tc>
        <w:tc>
          <w:tcPr>
            <w:tcW w:w="8530" w:type="dxa"/>
            <w:gridSpan w:val="4"/>
            <w:tcBorders>
              <w:bottom w:val="single" w:sz="12" w:space="0" w:color="auto"/>
            </w:tcBorders>
            <w:vAlign w:val="bottom"/>
          </w:tcPr>
          <w:p w:rsidR="008968B6" w:rsidRPr="008968B6" w:rsidRDefault="008968B6" w:rsidP="00F4281C">
            <w:pPr>
              <w:tabs>
                <w:tab w:val="right" w:pos="9639"/>
              </w:tabs>
              <w:spacing w:before="120" w:line="240" w:lineRule="auto"/>
              <w:jc w:val="left"/>
              <w:rPr>
                <w:rFonts w:ascii="Arial" w:hAnsi="Arial"/>
                <w:sz w:val="32"/>
                <w:lang w:val="en-US"/>
              </w:rPr>
            </w:pPr>
            <w:r w:rsidRPr="008968B6">
              <w:rPr>
                <w:rFonts w:ascii="Arial" w:hAnsi="Arial"/>
                <w:sz w:val="32"/>
                <w:lang w:val="en-US"/>
              </w:rPr>
              <w:t xml:space="preserve">WORLD TELECOMMUNICATION STANDARDIZATION ASSEMBLY </w:t>
            </w:r>
            <w:r w:rsidRPr="008968B6">
              <w:rPr>
                <w:rFonts w:ascii="Arial" w:hAnsi="Arial"/>
                <w:sz w:val="32"/>
                <w:lang w:val="en-US"/>
              </w:rPr>
              <w:br/>
            </w:r>
            <w:proofErr w:type="spellStart"/>
            <w:r w:rsidR="00F4281C">
              <w:rPr>
                <w:rFonts w:ascii="Arial" w:hAnsi="Arial"/>
                <w:sz w:val="32"/>
                <w:lang w:val="en-GB"/>
              </w:rPr>
              <w:t>Hammamet</w:t>
            </w:r>
            <w:proofErr w:type="spellEnd"/>
            <w:r w:rsidR="000E4393" w:rsidRPr="00F81B8E">
              <w:rPr>
                <w:rFonts w:ascii="Arial" w:hAnsi="Arial"/>
                <w:sz w:val="32"/>
                <w:lang w:val="en-GB"/>
              </w:rPr>
              <w:t>, 2</w:t>
            </w:r>
            <w:r w:rsidR="00F4281C">
              <w:rPr>
                <w:rFonts w:ascii="Arial" w:hAnsi="Arial"/>
                <w:sz w:val="32"/>
                <w:lang w:val="en-GB"/>
              </w:rPr>
              <w:t xml:space="preserve">5 October </w:t>
            </w:r>
            <w:r w:rsidR="000B01F8" w:rsidRPr="009D0F40">
              <w:rPr>
                <w:rFonts w:ascii="Arial" w:hAnsi="Arial"/>
                <w:sz w:val="36"/>
                <w:lang w:val="en-US"/>
              </w:rPr>
              <w:t>–</w:t>
            </w:r>
            <w:r w:rsidR="00F4281C">
              <w:rPr>
                <w:rFonts w:ascii="Arial" w:hAnsi="Arial"/>
                <w:sz w:val="32"/>
                <w:lang w:val="en-GB"/>
              </w:rPr>
              <w:t xml:space="preserve"> 3</w:t>
            </w:r>
            <w:r w:rsidR="000E4393" w:rsidRPr="00F81B8E">
              <w:rPr>
                <w:rFonts w:ascii="Arial" w:hAnsi="Arial"/>
                <w:sz w:val="32"/>
                <w:lang w:val="en-GB"/>
              </w:rPr>
              <w:t xml:space="preserve"> November 201</w:t>
            </w:r>
            <w:r w:rsidR="00F4281C">
              <w:rPr>
                <w:rFonts w:ascii="Arial" w:hAnsi="Arial"/>
                <w:sz w:val="32"/>
                <w:lang w:val="en-GB"/>
              </w:rPr>
              <w:t>6</w:t>
            </w:r>
          </w:p>
          <w:p w:rsidR="008968B6" w:rsidRPr="008968B6" w:rsidRDefault="008968B6" w:rsidP="008968B6">
            <w:pPr>
              <w:tabs>
                <w:tab w:val="right" w:pos="9639"/>
              </w:tabs>
              <w:spacing w:before="120" w:line="240" w:lineRule="auto"/>
              <w:jc w:val="left"/>
              <w:rPr>
                <w:rFonts w:ascii="Arial" w:hAnsi="Arial"/>
                <w:sz w:val="32"/>
                <w:lang w:val="en-US"/>
              </w:rPr>
            </w:pPr>
          </w:p>
        </w:tc>
      </w:tr>
      <w:tr w:rsidR="008968B6" w:rsidRPr="000B01F8" w:rsidTr="005569CA">
        <w:trPr>
          <w:cantSplit/>
          <w:trHeight w:hRule="exact" w:val="4536"/>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6" w:name="c1tite" w:colFirst="1" w:colLast="1"/>
            <w:bookmarkEnd w:id="5"/>
          </w:p>
        </w:tc>
        <w:tc>
          <w:tcPr>
            <w:tcW w:w="8530" w:type="dxa"/>
            <w:gridSpan w:val="4"/>
          </w:tcPr>
          <w:p w:rsidR="008968B6" w:rsidRPr="008968B6" w:rsidRDefault="008968B6" w:rsidP="00A848B4">
            <w:pPr>
              <w:tabs>
                <w:tab w:val="right" w:pos="9639"/>
              </w:tabs>
              <w:spacing w:before="120" w:line="240" w:lineRule="auto"/>
              <w:jc w:val="left"/>
              <w:rPr>
                <w:rFonts w:ascii="Arial" w:hAnsi="Arial"/>
                <w:b/>
                <w:bCs/>
                <w:sz w:val="36"/>
                <w:lang w:val="en-US"/>
              </w:rPr>
            </w:pPr>
            <w:r w:rsidRPr="008968B6">
              <w:rPr>
                <w:rFonts w:ascii="Arial" w:hAnsi="Arial"/>
                <w:b/>
                <w:bCs/>
                <w:sz w:val="36"/>
                <w:lang w:val="en-US"/>
              </w:rPr>
              <w:t xml:space="preserve">Resolution </w:t>
            </w:r>
            <w:r w:rsidR="00A848B4">
              <w:rPr>
                <w:rFonts w:ascii="Arial" w:hAnsi="Arial"/>
                <w:b/>
                <w:bCs/>
                <w:sz w:val="36"/>
                <w:lang w:val="en-US"/>
              </w:rPr>
              <w:t xml:space="preserve">88 </w:t>
            </w:r>
            <w:r w:rsidR="00CB4C56" w:rsidRPr="00CB4C56">
              <w:rPr>
                <w:rFonts w:ascii="Arial" w:hAnsi="Arial"/>
                <w:b/>
                <w:bCs/>
                <w:sz w:val="36"/>
                <w:lang w:val="en-US"/>
              </w:rPr>
              <w:t>–</w:t>
            </w:r>
            <w:r w:rsidR="00A848B4">
              <w:rPr>
                <w:rFonts w:ascii="Arial" w:hAnsi="Arial"/>
                <w:b/>
                <w:bCs/>
                <w:sz w:val="36"/>
                <w:lang w:val="en-US"/>
              </w:rPr>
              <w:t xml:space="preserve"> </w:t>
            </w:r>
            <w:r w:rsidR="00A848B4" w:rsidRPr="00A848B4">
              <w:rPr>
                <w:rFonts w:ascii="Arial" w:hAnsi="Arial"/>
                <w:b/>
                <w:bCs/>
                <w:sz w:val="36"/>
                <w:lang w:val="en-GB"/>
              </w:rPr>
              <w:t>International mobile roaming</w:t>
            </w:r>
          </w:p>
        </w:tc>
      </w:tr>
      <w:bookmarkEnd w:id="6"/>
      <w:tr w:rsidR="008968B6" w:rsidRPr="000B01F8" w:rsidTr="005569CA">
        <w:trPr>
          <w:cantSplit/>
          <w:trHeight w:hRule="exact" w:val="1418"/>
        </w:trPr>
        <w:tc>
          <w:tcPr>
            <w:tcW w:w="1418" w:type="dxa"/>
          </w:tcPr>
          <w:p w:rsidR="008968B6" w:rsidRPr="008968B6" w:rsidRDefault="008968B6" w:rsidP="008968B6">
            <w:pPr>
              <w:tabs>
                <w:tab w:val="right" w:pos="9639"/>
              </w:tabs>
              <w:spacing w:before="120" w:line="240" w:lineRule="auto"/>
              <w:rPr>
                <w:rFonts w:ascii="Arial" w:hAnsi="Arial"/>
                <w:sz w:val="18"/>
                <w:lang w:val="en-US"/>
              </w:rPr>
            </w:pPr>
          </w:p>
        </w:tc>
        <w:tc>
          <w:tcPr>
            <w:tcW w:w="8530" w:type="dxa"/>
            <w:gridSpan w:val="4"/>
            <w:vAlign w:val="bottom"/>
          </w:tcPr>
          <w:p w:rsidR="008968B6" w:rsidRPr="008968B6" w:rsidRDefault="008968B6" w:rsidP="008968B6">
            <w:pPr>
              <w:tabs>
                <w:tab w:val="right" w:pos="9639"/>
              </w:tabs>
              <w:spacing w:before="120" w:line="240" w:lineRule="auto"/>
              <w:jc w:val="left"/>
              <w:rPr>
                <w:rFonts w:ascii="Arial" w:hAnsi="Arial"/>
                <w:sz w:val="18"/>
                <w:lang w:val="en-US"/>
              </w:rPr>
            </w:pPr>
            <w:bookmarkStart w:id="7" w:name="dnum2e"/>
            <w:bookmarkEnd w:id="7"/>
          </w:p>
        </w:tc>
      </w:tr>
    </w:tbl>
    <w:p w:rsidR="008968B6" w:rsidRPr="008968B6" w:rsidRDefault="00720F3C" w:rsidP="008968B6">
      <w:pPr>
        <w:tabs>
          <w:tab w:val="right" w:pos="9639"/>
        </w:tabs>
        <w:spacing w:before="240" w:line="240" w:lineRule="auto"/>
        <w:jc w:val="right"/>
        <w:rPr>
          <w:sz w:val="20"/>
          <w:lang w:val="en-US"/>
        </w:rPr>
      </w:pPr>
      <w:bookmarkStart w:id="8" w:name="c2tope"/>
      <w:bookmarkEnd w:id="8"/>
      <w:r>
        <w:rPr>
          <w:noProof/>
          <w:lang w:val="en-US" w:eastAsia="zh-CN"/>
        </w:rPr>
        <w:drawing>
          <wp:inline distT="0" distB="0" distL="0" distR="0">
            <wp:extent cx="666750" cy="752475"/>
            <wp:effectExtent l="0" t="0" r="0" b="9525"/>
            <wp:docPr id="5"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752475"/>
                    </a:xfrm>
                    <a:prstGeom prst="rect">
                      <a:avLst/>
                    </a:prstGeom>
                    <a:noFill/>
                    <a:ln>
                      <a:noFill/>
                    </a:ln>
                  </pic:spPr>
                </pic:pic>
              </a:graphicData>
            </a:graphic>
          </wp:inline>
        </w:drawing>
      </w:r>
    </w:p>
    <w:p w:rsidR="008968B6" w:rsidRPr="008968B6" w:rsidRDefault="008968B6" w:rsidP="008968B6">
      <w:pPr>
        <w:spacing w:before="80" w:line="240" w:lineRule="auto"/>
        <w:jc w:val="left"/>
        <w:rPr>
          <w:i/>
          <w:sz w:val="20"/>
          <w:lang w:val="en-US"/>
        </w:rPr>
      </w:pPr>
    </w:p>
    <w:p w:rsidR="008968B6" w:rsidRPr="008968B6" w:rsidRDefault="008968B6" w:rsidP="008968B6">
      <w:pPr>
        <w:spacing w:before="120" w:line="240" w:lineRule="auto"/>
        <w:jc w:val="left"/>
        <w:rPr>
          <w:sz w:val="24"/>
          <w:lang w:val="en-US"/>
        </w:rPr>
        <w:sectPr w:rsidR="008968B6" w:rsidRPr="008968B6" w:rsidSect="008968B6">
          <w:headerReference w:type="even" r:id="rId9"/>
          <w:headerReference w:type="default" r:id="rId10"/>
          <w:type w:val="oddPage"/>
          <w:pgSz w:w="11907" w:h="16840" w:code="9"/>
          <w:pgMar w:top="1089" w:right="1089" w:bottom="284" w:left="1089" w:header="567" w:footer="284" w:gutter="0"/>
          <w:pgNumType w:start="1"/>
          <w:cols w:space="720"/>
        </w:sectPr>
      </w:pPr>
    </w:p>
    <w:p w:rsidR="008968B6" w:rsidRPr="008968B6" w:rsidRDefault="008968B6" w:rsidP="008968B6">
      <w:pPr>
        <w:spacing w:before="480" w:line="240" w:lineRule="auto"/>
        <w:jc w:val="center"/>
        <w:rPr>
          <w:lang w:val="en-US"/>
        </w:rPr>
      </w:pPr>
      <w:bookmarkStart w:id="9" w:name="irecnoe"/>
      <w:bookmarkEnd w:id="9"/>
      <w:r w:rsidRPr="008968B6">
        <w:rPr>
          <w:lang w:val="en-US"/>
        </w:rPr>
        <w:lastRenderedPageBreak/>
        <w:t>FOREWORD</w:t>
      </w:r>
    </w:p>
    <w:p w:rsidR="0088751E" w:rsidRPr="0088751E" w:rsidRDefault="0088751E" w:rsidP="0088751E">
      <w:pPr>
        <w:spacing w:line="240" w:lineRule="exact"/>
        <w:rPr>
          <w:sz w:val="20"/>
          <w:lang w:val="en-US"/>
        </w:rPr>
      </w:pPr>
      <w:r w:rsidRPr="0088751E">
        <w:rPr>
          <w:sz w:val="20"/>
          <w:lang w:val="en-US"/>
        </w:rPr>
        <w:t>The International Telecommunication Union (ITU) is the United Nations specialized agency in the field of tele</w:t>
      </w:r>
      <w:r w:rsidRPr="0088751E">
        <w:rPr>
          <w:sz w:val="20"/>
          <w:lang w:val="en-US"/>
        </w:rPr>
        <w:softHyphen/>
        <w:t>com</w:t>
      </w:r>
      <w:r w:rsidRPr="0088751E">
        <w:rPr>
          <w:sz w:val="20"/>
          <w:lang w:val="en-US"/>
        </w:rPr>
        <w:softHyphen/>
        <w:t>mu</w:t>
      </w:r>
      <w:r w:rsidRPr="0088751E">
        <w:rPr>
          <w:sz w:val="20"/>
          <w:lang w:val="en-US"/>
        </w:rPr>
        <w:softHyphen/>
        <w:t>ni</w:t>
      </w:r>
      <w:r w:rsidRPr="0088751E">
        <w:rPr>
          <w:sz w:val="20"/>
          <w:lang w:val="en-US"/>
        </w:rPr>
        <w:softHyphen/>
        <w:t>ca</w:t>
      </w:r>
      <w:r w:rsidRPr="0088751E">
        <w:rPr>
          <w:sz w:val="20"/>
          <w:lang w:val="en-US"/>
        </w:rPr>
        <w:softHyphen/>
        <w:t>tions, information and communication technologies (ICTs). The ITU Telecommunication Standardization Sector (ITU-T) is a permanent organ of ITU. ITU-T is responsible for studying technical, operating and tariff questions and issuing Recommendations on them with a view to standardizing telecommunications on a worldwide basis.</w:t>
      </w:r>
    </w:p>
    <w:p w:rsidR="0088751E" w:rsidRPr="0088751E" w:rsidRDefault="0088751E" w:rsidP="0088751E">
      <w:pPr>
        <w:spacing w:line="240" w:lineRule="exact"/>
        <w:rPr>
          <w:sz w:val="20"/>
          <w:lang w:val="en-US"/>
        </w:rPr>
      </w:pPr>
      <w:r w:rsidRPr="0088751E">
        <w:rPr>
          <w:sz w:val="20"/>
          <w:lang w:val="en-US"/>
        </w:rPr>
        <w:t xml:space="preserve">The </w:t>
      </w:r>
      <w:bookmarkStart w:id="10" w:name="iitexte"/>
      <w:r w:rsidRPr="0088751E">
        <w:rPr>
          <w:sz w:val="20"/>
          <w:lang w:val="en-US"/>
        </w:rPr>
        <w:t>World Telecommunication Standardization Assembly (WTSA), which meets every four years, establishes the topics for study by the ITU</w:t>
      </w:r>
      <w:r w:rsidRPr="0088751E">
        <w:rPr>
          <w:sz w:val="20"/>
          <w:lang w:val="en-US"/>
        </w:rPr>
        <w:noBreakHyphen/>
        <w:t>T study groups which, in turn, produce Recommendations on these topics.</w:t>
      </w:r>
    </w:p>
    <w:p w:rsidR="0088751E" w:rsidRPr="0088751E" w:rsidRDefault="0088751E" w:rsidP="0088751E">
      <w:pPr>
        <w:spacing w:line="240" w:lineRule="exact"/>
        <w:rPr>
          <w:sz w:val="20"/>
          <w:lang w:val="en-US"/>
        </w:rPr>
      </w:pPr>
      <w:r w:rsidRPr="0088751E">
        <w:rPr>
          <w:sz w:val="20"/>
          <w:lang w:val="en-US"/>
        </w:rPr>
        <w:t>The approval of ITU-T Recommendations is covered by the procedure laid down in WTSA Resolution 1</w:t>
      </w:r>
      <w:bookmarkEnd w:id="10"/>
      <w:r w:rsidRPr="0088751E">
        <w:rPr>
          <w:sz w:val="20"/>
          <w:lang w:val="en-US"/>
        </w:rPr>
        <w:t>.</w:t>
      </w:r>
    </w:p>
    <w:p w:rsidR="000E4393" w:rsidRPr="00F81B8E" w:rsidRDefault="0088751E" w:rsidP="0088751E">
      <w:pPr>
        <w:spacing w:line="240" w:lineRule="exact"/>
        <w:rPr>
          <w:sz w:val="20"/>
          <w:lang w:val="en-GB"/>
        </w:rPr>
      </w:pPr>
      <w:r w:rsidRPr="0088751E">
        <w:rPr>
          <w:sz w:val="20"/>
          <w:lang w:val="en-US"/>
        </w:rPr>
        <w:t>In some areas of information technology which fall within ITU-T's purview, the necessary standards are prepared on a collaborative basis with ISO and IEC.</w:t>
      </w: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A4766C">
      <w:pPr>
        <w:spacing w:line="240" w:lineRule="exact"/>
        <w:jc w:val="center"/>
        <w:rPr>
          <w:sz w:val="20"/>
          <w:lang w:val="en-GB"/>
        </w:rPr>
      </w:pPr>
      <w:r w:rsidRPr="00F81B8E">
        <w:rPr>
          <w:sz w:val="20"/>
          <w:lang w:val="en-GB"/>
        </w:rPr>
        <w:sym w:font="Symbol" w:char="F0E3"/>
      </w:r>
      <w:r w:rsidRPr="00F81B8E">
        <w:rPr>
          <w:sz w:val="20"/>
          <w:lang w:val="en-GB"/>
        </w:rPr>
        <w:t xml:space="preserve"> ITU</w:t>
      </w:r>
      <w:bookmarkStart w:id="11" w:name="iiannee"/>
      <w:bookmarkEnd w:id="11"/>
      <w:r w:rsidR="0088751E">
        <w:rPr>
          <w:sz w:val="20"/>
          <w:lang w:val="en-GB"/>
        </w:rPr>
        <w:t> </w:t>
      </w:r>
      <w:r w:rsidRPr="00F81B8E">
        <w:rPr>
          <w:sz w:val="20"/>
          <w:lang w:val="en-GB"/>
        </w:rPr>
        <w:t>201</w:t>
      </w:r>
      <w:r w:rsidR="00A4766C">
        <w:rPr>
          <w:sz w:val="20"/>
          <w:lang w:val="en-GB"/>
        </w:rPr>
        <w:t>6</w:t>
      </w:r>
    </w:p>
    <w:p w:rsidR="008968B6" w:rsidRPr="008968B6" w:rsidRDefault="000E4393" w:rsidP="000E4393">
      <w:pPr>
        <w:spacing w:before="120" w:line="240" w:lineRule="auto"/>
        <w:rPr>
          <w:lang w:val="en-US"/>
        </w:rPr>
      </w:pPr>
      <w:r w:rsidRPr="00F81B8E">
        <w:rPr>
          <w:sz w:val="20"/>
          <w:lang w:val="en-GB"/>
        </w:rPr>
        <w:t>All rights reserved. No part of this publication may be reproduced, by any means whatsoever, without the prior written permission of ITU.</w:t>
      </w:r>
    </w:p>
    <w:p w:rsidR="00B73379" w:rsidRPr="000E4393" w:rsidRDefault="00B73379" w:rsidP="003374BB">
      <w:pPr>
        <w:pStyle w:val="ResNo"/>
        <w:rPr>
          <w:lang w:val="en-US"/>
        </w:rPr>
        <w:sectPr w:rsidR="00B73379" w:rsidRPr="000E4393" w:rsidSect="00DE48B4">
          <w:footerReference w:type="even" r:id="rId11"/>
          <w:footerReference w:type="default" r:id="rId12"/>
          <w:footnotePr>
            <w:numRestart w:val="eachSect"/>
          </w:footnotePr>
          <w:type w:val="evenPage"/>
          <w:pgSz w:w="11907" w:h="16834" w:code="9"/>
          <w:pgMar w:top="1134" w:right="1134" w:bottom="1134" w:left="1134" w:header="567" w:footer="567" w:gutter="0"/>
          <w:paperSrc w:first="15" w:other="15"/>
          <w:pgNumType w:start="1"/>
          <w:cols w:space="720"/>
        </w:sectPr>
      </w:pPr>
    </w:p>
    <w:p w:rsidR="00A848B4" w:rsidRPr="00A848B4" w:rsidRDefault="003374BB" w:rsidP="00A848B4">
      <w:pPr>
        <w:pStyle w:val="ResNo"/>
        <w:rPr>
          <w:lang w:val="en-US"/>
        </w:rPr>
      </w:pPr>
      <w:r w:rsidRPr="000E4393">
        <w:rPr>
          <w:lang w:val="en-US"/>
        </w:rPr>
        <w:lastRenderedPageBreak/>
        <w:t xml:space="preserve">resolution </w:t>
      </w:r>
      <w:r w:rsidR="00A848B4">
        <w:rPr>
          <w:rStyle w:val="href"/>
          <w:lang w:val="en-US"/>
        </w:rPr>
        <w:t>88</w:t>
      </w:r>
      <w:r w:rsidR="00D26ECC">
        <w:rPr>
          <w:rStyle w:val="href"/>
          <w:lang w:val="en-US"/>
        </w:rPr>
        <w:t xml:space="preserve"> </w:t>
      </w:r>
      <w:r w:rsidR="00A848B4" w:rsidRPr="001902C7">
        <w:t>(</w:t>
      </w:r>
      <w:r w:rsidR="00A848B4" w:rsidRPr="001902C7">
        <w:rPr>
          <w:caps w:val="0"/>
        </w:rPr>
        <w:t>Hammamet</w:t>
      </w:r>
      <w:r w:rsidR="00A848B4" w:rsidRPr="001902C7">
        <w:t>, 2016)</w:t>
      </w:r>
    </w:p>
    <w:p w:rsidR="00A848B4" w:rsidRDefault="00A848B4" w:rsidP="00A848B4">
      <w:pPr>
        <w:pStyle w:val="Restitle"/>
        <w:rPr>
          <w:lang w:val="en-GB"/>
        </w:rPr>
      </w:pPr>
      <w:r w:rsidRPr="00A848B4">
        <w:rPr>
          <w:lang w:val="en-GB"/>
        </w:rPr>
        <w:t>International mobile roaming</w:t>
      </w:r>
    </w:p>
    <w:p w:rsidR="00C72474" w:rsidRPr="00C72474" w:rsidRDefault="00C72474" w:rsidP="00C72474">
      <w:pPr>
        <w:pStyle w:val="Resref"/>
        <w:rPr>
          <w:lang w:val="en-GB"/>
        </w:rPr>
      </w:pPr>
      <w:r w:rsidRPr="00C72474">
        <w:rPr>
          <w:lang w:val="en-US"/>
        </w:rPr>
        <w:t>(</w:t>
      </w:r>
      <w:proofErr w:type="spellStart"/>
      <w:r w:rsidRPr="00C72474">
        <w:rPr>
          <w:lang w:val="en-US"/>
        </w:rPr>
        <w:t>Hammamet</w:t>
      </w:r>
      <w:proofErr w:type="spellEnd"/>
      <w:r w:rsidRPr="00C72474">
        <w:rPr>
          <w:lang w:val="en-US"/>
        </w:rPr>
        <w:t>, 2016)</w:t>
      </w:r>
    </w:p>
    <w:p w:rsidR="00C72474" w:rsidRPr="001902C7" w:rsidRDefault="00C72474" w:rsidP="00C72474">
      <w:pPr>
        <w:pStyle w:val="Normalaftertitle0"/>
      </w:pPr>
      <w:r w:rsidRPr="001902C7">
        <w:t>The World Telecommunication Standardization Assembly (</w:t>
      </w:r>
      <w:proofErr w:type="spellStart"/>
      <w:r w:rsidRPr="001902C7">
        <w:t>Hammamet</w:t>
      </w:r>
      <w:proofErr w:type="spellEnd"/>
      <w:r w:rsidRPr="001902C7">
        <w:t>, 2016),</w:t>
      </w:r>
    </w:p>
    <w:p w:rsidR="00C72474" w:rsidRPr="00C72474" w:rsidRDefault="00C72474" w:rsidP="00C72474">
      <w:pPr>
        <w:pStyle w:val="Call"/>
        <w:rPr>
          <w:lang w:val="en-US"/>
        </w:rPr>
      </w:pPr>
      <w:r w:rsidRPr="00C72474">
        <w:rPr>
          <w:lang w:val="en-US"/>
        </w:rPr>
        <w:t>considering</w:t>
      </w:r>
    </w:p>
    <w:p w:rsidR="00C72474" w:rsidRPr="00C72474" w:rsidRDefault="00C72474" w:rsidP="00C72474">
      <w:pPr>
        <w:rPr>
          <w:lang w:val="en-US"/>
        </w:rPr>
      </w:pPr>
      <w:r w:rsidRPr="00C72474">
        <w:rPr>
          <w:i/>
          <w:iCs/>
          <w:lang w:val="en-US"/>
        </w:rPr>
        <w:t>a)</w:t>
      </w:r>
      <w:r w:rsidRPr="00C72474">
        <w:rPr>
          <w:lang w:val="en-US"/>
        </w:rPr>
        <w:tab/>
        <w:t>the results of the ITU High-Level Workshop on international mobile roaming (IMR), held in Geneva on 23</w:t>
      </w:r>
      <w:r w:rsidRPr="00C72474">
        <w:rPr>
          <w:lang w:val="en-US"/>
        </w:rPr>
        <w:noBreakHyphen/>
        <w:t>24 September 2013;</w:t>
      </w:r>
    </w:p>
    <w:p w:rsidR="00C72474" w:rsidRPr="00C72474" w:rsidRDefault="00C72474" w:rsidP="00C72474">
      <w:pPr>
        <w:rPr>
          <w:lang w:val="en-US"/>
        </w:rPr>
      </w:pPr>
      <w:r w:rsidRPr="00C72474">
        <w:rPr>
          <w:i/>
          <w:iCs/>
          <w:lang w:val="en-US"/>
        </w:rPr>
        <w:t>b)</w:t>
      </w:r>
      <w:r w:rsidRPr="00C72474">
        <w:rPr>
          <w:lang w:val="en-US"/>
        </w:rPr>
        <w:tab/>
        <w:t>the results of the ITU Global Dialogue on IMR, held in Geneva on 18 September 2015;</w:t>
      </w:r>
    </w:p>
    <w:p w:rsidR="00C72474" w:rsidRPr="00C72474" w:rsidRDefault="00C72474" w:rsidP="00C72474">
      <w:pPr>
        <w:rPr>
          <w:lang w:val="en-US"/>
        </w:rPr>
      </w:pPr>
      <w:r w:rsidRPr="00C72474">
        <w:rPr>
          <w:i/>
          <w:iCs/>
          <w:lang w:val="en-US"/>
        </w:rPr>
        <w:t>c)</w:t>
      </w:r>
      <w:r w:rsidRPr="00C72474">
        <w:rPr>
          <w:lang w:val="en-US"/>
        </w:rPr>
        <w:tab/>
        <w:t>that the tasks undertaken in the ITU Telecommunication Standardization Sector (ITU</w:t>
      </w:r>
      <w:r w:rsidRPr="00C72474">
        <w:rPr>
          <w:lang w:val="en-US"/>
        </w:rPr>
        <w:noBreakHyphen/>
        <w:t>T) cover Recommendations, conformity assessment and matters having policy or regulatory implications;</w:t>
      </w:r>
    </w:p>
    <w:p w:rsidR="00C72474" w:rsidRPr="00C72474" w:rsidRDefault="00C72474" w:rsidP="00C72474">
      <w:pPr>
        <w:rPr>
          <w:lang w:val="en-US"/>
        </w:rPr>
      </w:pPr>
      <w:r w:rsidRPr="00C72474">
        <w:rPr>
          <w:i/>
          <w:iCs/>
          <w:lang w:val="en-US"/>
        </w:rPr>
        <w:t>d)</w:t>
      </w:r>
      <w:r w:rsidRPr="00C72474">
        <w:rPr>
          <w:lang w:val="en-US"/>
        </w:rPr>
        <w:tab/>
        <w:t>that the economy is increasingly dependent on reliable, cost-effective, competitive and affordable mobile communications technology on a global scale;</w:t>
      </w:r>
    </w:p>
    <w:p w:rsidR="00C72474" w:rsidRPr="00C72474" w:rsidRDefault="00C72474" w:rsidP="00C72474">
      <w:pPr>
        <w:rPr>
          <w:lang w:val="en-US"/>
        </w:rPr>
      </w:pPr>
      <w:r w:rsidRPr="00C72474">
        <w:rPr>
          <w:i/>
          <w:iCs/>
          <w:lang w:val="en-US"/>
        </w:rPr>
        <w:t>e)</w:t>
      </w:r>
      <w:r w:rsidRPr="00C72474">
        <w:rPr>
          <w:lang w:val="en-US"/>
        </w:rPr>
        <w:tab/>
        <w:t>that wholesale IMR tariffs are decoupled from underlying costs, which may have an effect on retail rates, including inconsistent and arbitrary charges;</w:t>
      </w:r>
    </w:p>
    <w:p w:rsidR="00C72474" w:rsidRPr="00C72474" w:rsidRDefault="00C72474" w:rsidP="00C72474">
      <w:pPr>
        <w:rPr>
          <w:lang w:val="en-US"/>
        </w:rPr>
      </w:pPr>
      <w:r w:rsidRPr="00C72474">
        <w:rPr>
          <w:i/>
          <w:iCs/>
          <w:lang w:val="en-US"/>
        </w:rPr>
        <w:t>f)</w:t>
      </w:r>
      <w:r w:rsidRPr="00C72474">
        <w:rPr>
          <w:lang w:val="en-US"/>
        </w:rPr>
        <w:tab/>
        <w:t>that a competitive international telecommunication market may not exist if significant differences persist between national prices and IMR prices;</w:t>
      </w:r>
    </w:p>
    <w:p w:rsidR="00C72474" w:rsidRPr="00C72474" w:rsidRDefault="00C72474" w:rsidP="00C72474">
      <w:pPr>
        <w:rPr>
          <w:lang w:val="en-US"/>
        </w:rPr>
      </w:pPr>
      <w:r w:rsidRPr="00C72474">
        <w:rPr>
          <w:i/>
          <w:iCs/>
          <w:lang w:val="en-US"/>
        </w:rPr>
        <w:t>g)</w:t>
      </w:r>
      <w:r w:rsidRPr="00C72474">
        <w:rPr>
          <w:lang w:val="en-US"/>
        </w:rPr>
        <w:tab/>
        <w:t>that there are differences in costs between countries and regions,</w:t>
      </w:r>
    </w:p>
    <w:p w:rsidR="00C72474" w:rsidRPr="001902C7" w:rsidRDefault="00C72474" w:rsidP="00C72474">
      <w:pPr>
        <w:pStyle w:val="Call"/>
      </w:pPr>
      <w:proofErr w:type="spellStart"/>
      <w:r w:rsidRPr="001902C7">
        <w:t>noting</w:t>
      </w:r>
      <w:proofErr w:type="spellEnd"/>
    </w:p>
    <w:p w:rsidR="00C72474" w:rsidRPr="00C72474" w:rsidRDefault="00C72474" w:rsidP="00C72474">
      <w:pPr>
        <w:rPr>
          <w:lang w:val="en-US"/>
        </w:rPr>
      </w:pPr>
      <w:r w:rsidRPr="00C72474">
        <w:rPr>
          <w:i/>
          <w:iCs/>
          <w:lang w:val="en-US"/>
        </w:rPr>
        <w:t>a)</w:t>
      </w:r>
      <w:r w:rsidRPr="00C72474">
        <w:rPr>
          <w:lang w:val="en-US"/>
        </w:rPr>
        <w:tab/>
        <w:t>that Recommendation ITU</w:t>
      </w:r>
      <w:r w:rsidRPr="00C72474">
        <w:rPr>
          <w:lang w:val="en-US"/>
        </w:rPr>
        <w:noBreakHyphen/>
        <w:t>T D.98 is an agreement concluded between Member States and Sector Members in 2012;</w:t>
      </w:r>
    </w:p>
    <w:p w:rsidR="00C72474" w:rsidRPr="00C72474" w:rsidRDefault="00C72474" w:rsidP="00C72474">
      <w:pPr>
        <w:rPr>
          <w:lang w:val="en-US"/>
        </w:rPr>
      </w:pPr>
      <w:r w:rsidRPr="00C72474">
        <w:rPr>
          <w:i/>
          <w:iCs/>
          <w:lang w:val="en-US"/>
        </w:rPr>
        <w:t>b)</w:t>
      </w:r>
      <w:r w:rsidRPr="00C72474">
        <w:rPr>
          <w:lang w:val="en-US"/>
        </w:rPr>
        <w:tab/>
        <w:t>that Recommendation ITU</w:t>
      </w:r>
      <w:r w:rsidRPr="00C72474">
        <w:rPr>
          <w:lang w:val="en-US"/>
        </w:rPr>
        <w:noBreakHyphen/>
        <w:t>T D.97 contains possible approaches to the reduction of excessive roaming rates, highlighting the need to encourage competition in the roaming market, educate consumers and consider appropriate regulatory actions such as the introduction of caps on roaming rates,</w:t>
      </w:r>
    </w:p>
    <w:p w:rsidR="00C72474" w:rsidRPr="00C72474" w:rsidRDefault="00C72474" w:rsidP="00C72474">
      <w:pPr>
        <w:pStyle w:val="Call"/>
        <w:rPr>
          <w:lang w:val="en-US"/>
        </w:rPr>
      </w:pPr>
      <w:r w:rsidRPr="00C72474">
        <w:rPr>
          <w:lang w:val="en-US"/>
        </w:rPr>
        <w:t>resolves</w:t>
      </w:r>
    </w:p>
    <w:p w:rsidR="00C72474" w:rsidRPr="00C72474" w:rsidRDefault="00C72474" w:rsidP="00C72474">
      <w:pPr>
        <w:rPr>
          <w:lang w:val="en-US"/>
        </w:rPr>
      </w:pPr>
      <w:r w:rsidRPr="00C72474">
        <w:rPr>
          <w:lang w:val="en-US"/>
        </w:rPr>
        <w:t>that ITU</w:t>
      </w:r>
      <w:r w:rsidRPr="00C72474">
        <w:rPr>
          <w:lang w:val="en-US"/>
        </w:rPr>
        <w:noBreakHyphen/>
        <w:t>T Study Group 3 must continue to study the economic effects of IMR rates,</w:t>
      </w:r>
    </w:p>
    <w:p w:rsidR="00C72474" w:rsidRPr="00C72474" w:rsidRDefault="00C72474" w:rsidP="00C72474">
      <w:pPr>
        <w:pStyle w:val="Call"/>
        <w:rPr>
          <w:lang w:val="en-US"/>
        </w:rPr>
      </w:pPr>
      <w:r w:rsidRPr="00C72474">
        <w:rPr>
          <w:lang w:val="en-US"/>
        </w:rPr>
        <w:t>instructs the Director of the Telecommunication Standardization Bureau</w:t>
      </w:r>
    </w:p>
    <w:p w:rsidR="00C72474" w:rsidRPr="00C72474" w:rsidRDefault="00C72474" w:rsidP="00C72474">
      <w:pPr>
        <w:rPr>
          <w:lang w:val="en-US"/>
        </w:rPr>
      </w:pPr>
      <w:r w:rsidRPr="00C72474">
        <w:rPr>
          <w:lang w:val="en-US"/>
        </w:rPr>
        <w:t>1</w:t>
      </w:r>
      <w:r w:rsidRPr="00C72474">
        <w:rPr>
          <w:lang w:val="en-US"/>
        </w:rPr>
        <w:tab/>
        <w:t>to organize initiatives, in collaboration with the Director of the Telecommunication Development Bureau (BDT), to raise awareness of the benefits to the consumer of lowering IMR rates;</w:t>
      </w:r>
    </w:p>
    <w:p w:rsidR="00C72474" w:rsidRPr="00C72474" w:rsidRDefault="00C72474" w:rsidP="00C72474">
      <w:pPr>
        <w:rPr>
          <w:lang w:val="en-US"/>
        </w:rPr>
      </w:pPr>
      <w:r w:rsidRPr="00C72474">
        <w:rPr>
          <w:lang w:val="en-US"/>
        </w:rPr>
        <w:t>2</w:t>
      </w:r>
      <w:r w:rsidRPr="00C72474">
        <w:rPr>
          <w:lang w:val="en-US"/>
        </w:rPr>
        <w:tab/>
        <w:t>to propose cooperative approaches to foster the implementation of Recommendations ITU</w:t>
      </w:r>
      <w:r w:rsidRPr="00C72474">
        <w:rPr>
          <w:lang w:val="en-US"/>
        </w:rPr>
        <w:noBreakHyphen/>
        <w:t>T D.98 and ITU</w:t>
      </w:r>
      <w:r w:rsidRPr="00C72474">
        <w:rPr>
          <w:lang w:val="en-US"/>
        </w:rPr>
        <w:noBreakHyphen/>
        <w:t xml:space="preserve">T D.97, and to lower IMR rates among the Member States, by promoting capacity-building </w:t>
      </w:r>
      <w:proofErr w:type="spellStart"/>
      <w:r w:rsidRPr="00C72474">
        <w:rPr>
          <w:lang w:val="en-US"/>
        </w:rPr>
        <w:t>programmes</w:t>
      </w:r>
      <w:proofErr w:type="spellEnd"/>
      <w:r w:rsidRPr="00C72474">
        <w:rPr>
          <w:lang w:val="en-US"/>
        </w:rPr>
        <w:t>, workshops and guidelines for international cooperation agreements,</w:t>
      </w:r>
    </w:p>
    <w:p w:rsidR="00C72474" w:rsidRDefault="00C72474" w:rsidP="00C72474">
      <w:pPr>
        <w:pStyle w:val="Call"/>
        <w:rPr>
          <w:lang w:val="en-US"/>
        </w:rPr>
      </w:pPr>
      <w:r>
        <w:rPr>
          <w:lang w:val="en-US"/>
        </w:rPr>
        <w:br w:type="page"/>
      </w:r>
    </w:p>
    <w:p w:rsidR="00C72474" w:rsidRPr="00C72474" w:rsidRDefault="00C72474" w:rsidP="00C72474">
      <w:pPr>
        <w:pStyle w:val="Call"/>
        <w:rPr>
          <w:lang w:val="en-US"/>
        </w:rPr>
      </w:pPr>
      <w:r w:rsidRPr="00C72474">
        <w:rPr>
          <w:lang w:val="en-US"/>
        </w:rPr>
        <w:lastRenderedPageBreak/>
        <w:t>invites Member States</w:t>
      </w:r>
    </w:p>
    <w:p w:rsidR="00C72474" w:rsidRPr="00C72474" w:rsidRDefault="00C72474" w:rsidP="00C72474">
      <w:pPr>
        <w:keepNext/>
        <w:keepLines/>
        <w:rPr>
          <w:lang w:val="en-US"/>
        </w:rPr>
      </w:pPr>
      <w:r w:rsidRPr="00C72474">
        <w:rPr>
          <w:lang w:val="en-US"/>
        </w:rPr>
        <w:t>1</w:t>
      </w:r>
      <w:r w:rsidRPr="00C72474">
        <w:rPr>
          <w:lang w:val="en-US"/>
        </w:rPr>
        <w:tab/>
        <w:t>to take measures towards the implementation of Recommendations ITU</w:t>
      </w:r>
      <w:r w:rsidRPr="00C72474">
        <w:rPr>
          <w:lang w:val="en-US"/>
        </w:rPr>
        <w:noBreakHyphen/>
        <w:t>T D.98 and ITU</w:t>
      </w:r>
      <w:r w:rsidRPr="00C72474">
        <w:rPr>
          <w:lang w:val="en-US"/>
        </w:rPr>
        <w:noBreakHyphen/>
        <w:t>T D.97;</w:t>
      </w:r>
    </w:p>
    <w:p w:rsidR="00C72474" w:rsidRPr="00C72474" w:rsidRDefault="00C72474" w:rsidP="00C72474">
      <w:pPr>
        <w:keepNext/>
        <w:keepLines/>
        <w:rPr>
          <w:lang w:val="en-US"/>
        </w:rPr>
      </w:pPr>
      <w:r w:rsidRPr="00C72474">
        <w:rPr>
          <w:lang w:val="en-US"/>
        </w:rPr>
        <w:t>2</w:t>
      </w:r>
      <w:r w:rsidRPr="00C72474">
        <w:rPr>
          <w:lang w:val="en-US"/>
        </w:rPr>
        <w:tab/>
        <w:t>to collaborate in the efforts to lower IMR rates by taking regulatory measures when applicable.</w:t>
      </w:r>
    </w:p>
    <w:p w:rsidR="00E03ABC" w:rsidRDefault="00E03ABC" w:rsidP="000E4393">
      <w:pPr>
        <w:rPr>
          <w:lang w:val="en-US"/>
        </w:rPr>
      </w:pPr>
    </w:p>
    <w:p w:rsidR="00C72474" w:rsidRDefault="00C72474" w:rsidP="000E4393">
      <w:pPr>
        <w:rPr>
          <w:lang w:val="en-US"/>
        </w:rPr>
      </w:pPr>
    </w:p>
    <w:p w:rsidR="00C72474" w:rsidRDefault="00C72474" w:rsidP="000E4393">
      <w:pPr>
        <w:rPr>
          <w:lang w:val="en-US"/>
        </w:rPr>
      </w:pPr>
    </w:p>
    <w:p w:rsidR="00C72474" w:rsidRDefault="00C72474" w:rsidP="000E4393">
      <w:pPr>
        <w:rPr>
          <w:lang w:val="en-US"/>
        </w:rPr>
      </w:pPr>
    </w:p>
    <w:p w:rsidR="00C72474" w:rsidRDefault="00C72474" w:rsidP="000E4393">
      <w:pPr>
        <w:rPr>
          <w:lang w:val="en-US"/>
        </w:rPr>
      </w:pPr>
    </w:p>
    <w:p w:rsidR="00C72474" w:rsidRDefault="00C72474" w:rsidP="000E4393">
      <w:pPr>
        <w:rPr>
          <w:lang w:val="en-US"/>
        </w:rPr>
      </w:pPr>
    </w:p>
    <w:p w:rsidR="00C72474" w:rsidRDefault="00C72474" w:rsidP="000E4393">
      <w:pPr>
        <w:rPr>
          <w:lang w:val="en-US"/>
        </w:rPr>
      </w:pPr>
    </w:p>
    <w:p w:rsidR="00C72474" w:rsidRDefault="00C72474" w:rsidP="000E4393">
      <w:pPr>
        <w:rPr>
          <w:lang w:val="en-US"/>
        </w:rPr>
      </w:pPr>
    </w:p>
    <w:p w:rsidR="00C72474" w:rsidRDefault="00C72474" w:rsidP="000E4393">
      <w:pPr>
        <w:rPr>
          <w:lang w:val="en-US"/>
        </w:rPr>
      </w:pPr>
    </w:p>
    <w:p w:rsidR="00C72474" w:rsidRDefault="00C72474" w:rsidP="000E4393">
      <w:pPr>
        <w:rPr>
          <w:lang w:val="en-US"/>
        </w:rPr>
      </w:pPr>
    </w:p>
    <w:p w:rsidR="00C72474" w:rsidRDefault="00C72474" w:rsidP="000E4393">
      <w:pPr>
        <w:rPr>
          <w:lang w:val="en-US"/>
        </w:rPr>
      </w:pPr>
    </w:p>
    <w:p w:rsidR="00C72474" w:rsidRDefault="00C72474" w:rsidP="000E4393">
      <w:pPr>
        <w:rPr>
          <w:lang w:val="en-US"/>
        </w:rPr>
      </w:pPr>
    </w:p>
    <w:p w:rsidR="00C72474" w:rsidRDefault="00C72474" w:rsidP="000E4393">
      <w:pPr>
        <w:rPr>
          <w:lang w:val="en-US"/>
        </w:rPr>
      </w:pPr>
    </w:p>
    <w:p w:rsidR="00C72474" w:rsidRDefault="00C72474" w:rsidP="000E4393">
      <w:pPr>
        <w:rPr>
          <w:lang w:val="en-US"/>
        </w:rPr>
      </w:pPr>
      <w:bookmarkStart w:id="12" w:name="_GoBack"/>
      <w:bookmarkEnd w:id="12"/>
    </w:p>
    <w:p w:rsidR="00C72474" w:rsidRDefault="00C72474" w:rsidP="000E4393">
      <w:pPr>
        <w:rPr>
          <w:lang w:val="en-US"/>
        </w:rPr>
      </w:pPr>
    </w:p>
    <w:p w:rsidR="00C72474" w:rsidRDefault="00C72474" w:rsidP="000E4393">
      <w:pPr>
        <w:rPr>
          <w:lang w:val="en-US"/>
        </w:rPr>
      </w:pPr>
    </w:p>
    <w:p w:rsidR="00C72474" w:rsidRDefault="00C72474" w:rsidP="000E4393">
      <w:pPr>
        <w:rPr>
          <w:lang w:val="en-US"/>
        </w:rPr>
      </w:pPr>
    </w:p>
    <w:p w:rsidR="00C72474" w:rsidRDefault="00C72474" w:rsidP="000E4393">
      <w:pPr>
        <w:rPr>
          <w:lang w:val="en-US"/>
        </w:rPr>
      </w:pPr>
    </w:p>
    <w:p w:rsidR="00C72474" w:rsidRDefault="00C72474" w:rsidP="000E4393">
      <w:pPr>
        <w:rPr>
          <w:lang w:val="en-US"/>
        </w:rPr>
      </w:pPr>
    </w:p>
    <w:p w:rsidR="00C72474" w:rsidRDefault="00C72474" w:rsidP="000E4393">
      <w:pPr>
        <w:rPr>
          <w:lang w:val="en-US"/>
        </w:rPr>
      </w:pPr>
    </w:p>
    <w:p w:rsidR="00C72474" w:rsidRDefault="00C72474" w:rsidP="000E4393">
      <w:pPr>
        <w:rPr>
          <w:lang w:val="en-US"/>
        </w:rPr>
      </w:pPr>
    </w:p>
    <w:p w:rsidR="00C72474" w:rsidRDefault="00C72474" w:rsidP="000E4393">
      <w:pPr>
        <w:rPr>
          <w:lang w:val="en-US"/>
        </w:rPr>
      </w:pPr>
    </w:p>
    <w:p w:rsidR="00C72474" w:rsidRDefault="00C72474" w:rsidP="000E4393">
      <w:pPr>
        <w:rPr>
          <w:lang w:val="en-US"/>
        </w:rPr>
      </w:pPr>
    </w:p>
    <w:p w:rsidR="00C72474" w:rsidRDefault="00C72474" w:rsidP="000E4393">
      <w:pPr>
        <w:rPr>
          <w:lang w:val="en-US"/>
        </w:rPr>
      </w:pPr>
    </w:p>
    <w:p w:rsidR="00C72474" w:rsidRPr="000E4393" w:rsidRDefault="00C72474" w:rsidP="000E4393">
      <w:pPr>
        <w:rPr>
          <w:lang w:val="en-US"/>
        </w:rPr>
      </w:pPr>
    </w:p>
    <w:sectPr w:rsidR="00C72474" w:rsidRPr="000E4393" w:rsidSect="00A4766C">
      <w:headerReference w:type="even" r:id="rId13"/>
      <w:footerReference w:type="even" r:id="rId14"/>
      <w:headerReference w:type="first" r:id="rId15"/>
      <w:footerReference w:type="first" r:id="rId16"/>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5CD" w:rsidRDefault="008075CD">
      <w:r>
        <w:separator/>
      </w:r>
    </w:p>
  </w:endnote>
  <w:endnote w:type="continuationSeparator" w:id="0">
    <w:p w:rsidR="008075CD" w:rsidRDefault="00807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CE4" w:rsidRPr="00DE48B4" w:rsidRDefault="000D3CE4" w:rsidP="00DE48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CE4" w:rsidRPr="008968B6" w:rsidRDefault="000D3CE4" w:rsidP="008968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AF4" w:rsidRPr="00234CAC" w:rsidRDefault="00234CAC" w:rsidP="00234CAC">
    <w:pPr>
      <w:pStyle w:val="FooterQP"/>
      <w:rPr>
        <w:lang w:val="en-US"/>
      </w:rPr>
    </w:pP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4A7810">
      <w:rPr>
        <w:b w:val="0"/>
        <w:bCs/>
        <w:noProof/>
        <w:lang w:val="en-US"/>
      </w:rPr>
      <w:t>2</w:t>
    </w:r>
    <w:r w:rsidRPr="00B73379">
      <w:rPr>
        <w:b w:val="0"/>
        <w:bCs/>
      </w:rPr>
      <w:fldChar w:fldCharType="end"/>
    </w:r>
    <w:r>
      <w:rPr>
        <w:lang w:val="en-US"/>
      </w:rPr>
      <w:tab/>
      <w:t xml:space="preserve">WTSA-16 – Resolution </w:t>
    </w:r>
    <w:r>
      <w:fldChar w:fldCharType="begin"/>
    </w:r>
    <w:r>
      <w:rPr>
        <w:lang w:val="en-US"/>
      </w:rPr>
      <w:instrText>styleref href</w:instrText>
    </w:r>
    <w:r>
      <w:fldChar w:fldCharType="separate"/>
    </w:r>
    <w:r w:rsidR="004A7810">
      <w:rPr>
        <w:noProof/>
      </w:rPr>
      <w:t>88</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66C" w:rsidRPr="00A4766C" w:rsidRDefault="00A4766C" w:rsidP="00706D36">
    <w:pPr>
      <w:pStyle w:val="FooterQP"/>
      <w:rPr>
        <w:lang w:val="en-US"/>
      </w:rPr>
    </w:pPr>
    <w:r>
      <w:rPr>
        <w:lang w:val="en-US"/>
      </w:rPr>
      <w:tab/>
    </w:r>
    <w:r>
      <w:rPr>
        <w:lang w:val="en-US"/>
      </w:rPr>
      <w:tab/>
      <w:t>WTSA-1</w:t>
    </w:r>
    <w:r w:rsidR="00706D36">
      <w:rPr>
        <w:lang w:val="en-US"/>
      </w:rPr>
      <w:t>6</w:t>
    </w:r>
    <w:r>
      <w:rPr>
        <w:lang w:val="en-US"/>
      </w:rPr>
      <w:t xml:space="preserve"> – Resolution </w:t>
    </w:r>
    <w:r>
      <w:fldChar w:fldCharType="begin"/>
    </w:r>
    <w:r>
      <w:rPr>
        <w:lang w:val="en-US"/>
      </w:rPr>
      <w:instrText>styleref href</w:instrText>
    </w:r>
    <w:r w:rsidR="00A848B4">
      <w:fldChar w:fldCharType="separate"/>
    </w:r>
    <w:r w:rsidR="004A7810">
      <w:rPr>
        <w:noProof/>
      </w:rPr>
      <w:t>88</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4A7810">
      <w:rPr>
        <w:b w:val="0"/>
        <w:bCs/>
        <w:noProof/>
        <w:lang w:val="en-US"/>
      </w:rPr>
      <w:t>1</w:t>
    </w:r>
    <w:r w:rsidRPr="00B73379">
      <w:rPr>
        <w:b w:val="0"/>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5CD" w:rsidRDefault="008075CD">
      <w:r>
        <w:t>____________________</w:t>
      </w:r>
    </w:p>
  </w:footnote>
  <w:footnote w:type="continuationSeparator" w:id="0">
    <w:p w:rsidR="008075CD" w:rsidRDefault="008075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8B6" w:rsidRDefault="008968B6">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8B6" w:rsidRDefault="008968B6">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AF4" w:rsidRDefault="00C72AF4">
    <w:pPr>
      <w:pStyle w:val="Header"/>
      <w:ind w:right="360"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66C" w:rsidRDefault="00A476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abstractNumId w:val="28"/>
  </w:num>
  <w:num w:numId="2">
    <w:abstractNumId w:val="13"/>
  </w:num>
  <w:num w:numId="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0"/>
  </w:num>
  <w:num w:numId="6">
    <w:abstractNumId w:val="8"/>
  </w:num>
  <w:num w:numId="7">
    <w:abstractNumId w:val="6"/>
  </w:num>
  <w:num w:numId="8">
    <w:abstractNumId w:val="26"/>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4"/>
  </w:num>
  <w:num w:numId="12">
    <w:abstractNumId w:val="14"/>
  </w:num>
  <w:num w:numId="13">
    <w:abstractNumId w:val="15"/>
  </w:num>
  <w:num w:numId="14">
    <w:abstractNumId w:val="23"/>
  </w:num>
  <w:num w:numId="15">
    <w:abstractNumId w:val="12"/>
  </w:num>
  <w:num w:numId="16">
    <w:abstractNumId w:val="27"/>
  </w:num>
  <w:num w:numId="17">
    <w:abstractNumId w:val="24"/>
  </w:num>
  <w:num w:numId="18">
    <w:abstractNumId w:val="19"/>
  </w:num>
  <w:num w:numId="19">
    <w:abstractNumId w:val="9"/>
  </w:num>
  <w:num w:numId="20">
    <w:abstractNumId w:val="16"/>
  </w:num>
  <w:num w:numId="21">
    <w:abstractNumId w:val="10"/>
  </w:num>
  <w:num w:numId="22">
    <w:abstractNumId w:val="22"/>
  </w:num>
  <w:num w:numId="23">
    <w:abstractNumId w:val="7"/>
  </w:num>
  <w:num w:numId="24">
    <w:abstractNumId w:val="25"/>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C26"/>
    <w:rsid w:val="00001053"/>
    <w:rsid w:val="00011D78"/>
    <w:rsid w:val="00017B45"/>
    <w:rsid w:val="0003503D"/>
    <w:rsid w:val="000B01F8"/>
    <w:rsid w:val="000B071B"/>
    <w:rsid w:val="000B47CD"/>
    <w:rsid w:val="000B5A36"/>
    <w:rsid w:val="000C22AE"/>
    <w:rsid w:val="000D378F"/>
    <w:rsid w:val="000D3CE4"/>
    <w:rsid w:val="000D5219"/>
    <w:rsid w:val="000D6DAE"/>
    <w:rsid w:val="000E4393"/>
    <w:rsid w:val="001309FB"/>
    <w:rsid w:val="001B4A76"/>
    <w:rsid w:val="001C5240"/>
    <w:rsid w:val="001C604C"/>
    <w:rsid w:val="002204D5"/>
    <w:rsid w:val="002210D5"/>
    <w:rsid w:val="00227040"/>
    <w:rsid w:val="00234CAC"/>
    <w:rsid w:val="00237B40"/>
    <w:rsid w:val="0024014F"/>
    <w:rsid w:val="00246C17"/>
    <w:rsid w:val="002742C3"/>
    <w:rsid w:val="002B55D5"/>
    <w:rsid w:val="002C182C"/>
    <w:rsid w:val="002D5607"/>
    <w:rsid w:val="00331B2F"/>
    <w:rsid w:val="003374BB"/>
    <w:rsid w:val="0038237B"/>
    <w:rsid w:val="003C3FD9"/>
    <w:rsid w:val="003D116F"/>
    <w:rsid w:val="003D7A8C"/>
    <w:rsid w:val="003F293E"/>
    <w:rsid w:val="004568D2"/>
    <w:rsid w:val="004612A7"/>
    <w:rsid w:val="00462F6A"/>
    <w:rsid w:val="00467305"/>
    <w:rsid w:val="0048772A"/>
    <w:rsid w:val="004A7810"/>
    <w:rsid w:val="004F2E56"/>
    <w:rsid w:val="00501F47"/>
    <w:rsid w:val="00504D1F"/>
    <w:rsid w:val="00524FB2"/>
    <w:rsid w:val="005569CA"/>
    <w:rsid w:val="00562EF2"/>
    <w:rsid w:val="00574CFF"/>
    <w:rsid w:val="005D1D45"/>
    <w:rsid w:val="00601999"/>
    <w:rsid w:val="00611CD0"/>
    <w:rsid w:val="00631549"/>
    <w:rsid w:val="006425B4"/>
    <w:rsid w:val="00653C1B"/>
    <w:rsid w:val="00665F6E"/>
    <w:rsid w:val="006678D7"/>
    <w:rsid w:val="00693D4F"/>
    <w:rsid w:val="00697D23"/>
    <w:rsid w:val="006B0459"/>
    <w:rsid w:val="006B5987"/>
    <w:rsid w:val="006E13C5"/>
    <w:rsid w:val="00706D36"/>
    <w:rsid w:val="00707551"/>
    <w:rsid w:val="007116DC"/>
    <w:rsid w:val="0071403C"/>
    <w:rsid w:val="00720F3C"/>
    <w:rsid w:val="0074102F"/>
    <w:rsid w:val="007550BF"/>
    <w:rsid w:val="00780423"/>
    <w:rsid w:val="00783EB8"/>
    <w:rsid w:val="007958DD"/>
    <w:rsid w:val="007E0240"/>
    <w:rsid w:val="008075CD"/>
    <w:rsid w:val="00851E30"/>
    <w:rsid w:val="0088751E"/>
    <w:rsid w:val="008968B6"/>
    <w:rsid w:val="008B4CF6"/>
    <w:rsid w:val="008C7FC3"/>
    <w:rsid w:val="008D6D8D"/>
    <w:rsid w:val="009055E3"/>
    <w:rsid w:val="00905B41"/>
    <w:rsid w:val="00916468"/>
    <w:rsid w:val="0092650E"/>
    <w:rsid w:val="00931EE1"/>
    <w:rsid w:val="009330E7"/>
    <w:rsid w:val="00934946"/>
    <w:rsid w:val="0095090C"/>
    <w:rsid w:val="00974C0C"/>
    <w:rsid w:val="009755D7"/>
    <w:rsid w:val="009C2357"/>
    <w:rsid w:val="009D10A5"/>
    <w:rsid w:val="009D26AE"/>
    <w:rsid w:val="009F7009"/>
    <w:rsid w:val="00A01A91"/>
    <w:rsid w:val="00A24E9A"/>
    <w:rsid w:val="00A26B1A"/>
    <w:rsid w:val="00A4766C"/>
    <w:rsid w:val="00A83D3D"/>
    <w:rsid w:val="00A848B4"/>
    <w:rsid w:val="00AA2D89"/>
    <w:rsid w:val="00AE4C26"/>
    <w:rsid w:val="00B23929"/>
    <w:rsid w:val="00B3059C"/>
    <w:rsid w:val="00B33CAA"/>
    <w:rsid w:val="00B50CB4"/>
    <w:rsid w:val="00B50D4E"/>
    <w:rsid w:val="00B50F17"/>
    <w:rsid w:val="00B56BC0"/>
    <w:rsid w:val="00B67290"/>
    <w:rsid w:val="00B73379"/>
    <w:rsid w:val="00B73B62"/>
    <w:rsid w:val="00B92804"/>
    <w:rsid w:val="00BB34EA"/>
    <w:rsid w:val="00BE58E6"/>
    <w:rsid w:val="00BF610E"/>
    <w:rsid w:val="00C12E70"/>
    <w:rsid w:val="00C32F69"/>
    <w:rsid w:val="00C42785"/>
    <w:rsid w:val="00C64078"/>
    <w:rsid w:val="00C72474"/>
    <w:rsid w:val="00C72AF4"/>
    <w:rsid w:val="00CB4C56"/>
    <w:rsid w:val="00CD10C2"/>
    <w:rsid w:val="00CD3865"/>
    <w:rsid w:val="00CE767E"/>
    <w:rsid w:val="00CF024D"/>
    <w:rsid w:val="00D26ECC"/>
    <w:rsid w:val="00D4292A"/>
    <w:rsid w:val="00D457B6"/>
    <w:rsid w:val="00D66950"/>
    <w:rsid w:val="00D8497D"/>
    <w:rsid w:val="00D94D9E"/>
    <w:rsid w:val="00DA7D60"/>
    <w:rsid w:val="00DB2AF8"/>
    <w:rsid w:val="00DB5592"/>
    <w:rsid w:val="00DE48B4"/>
    <w:rsid w:val="00E03ABC"/>
    <w:rsid w:val="00E154E2"/>
    <w:rsid w:val="00E300EC"/>
    <w:rsid w:val="00E51820"/>
    <w:rsid w:val="00E56BAB"/>
    <w:rsid w:val="00E67297"/>
    <w:rsid w:val="00E758D6"/>
    <w:rsid w:val="00E82452"/>
    <w:rsid w:val="00E83C1C"/>
    <w:rsid w:val="00E96B11"/>
    <w:rsid w:val="00E96C27"/>
    <w:rsid w:val="00EE1126"/>
    <w:rsid w:val="00EE2FE2"/>
    <w:rsid w:val="00F0099E"/>
    <w:rsid w:val="00F12607"/>
    <w:rsid w:val="00F15F98"/>
    <w:rsid w:val="00F34748"/>
    <w:rsid w:val="00F4281C"/>
    <w:rsid w:val="00F67E96"/>
    <w:rsid w:val="00FA70B7"/>
    <w:rsid w:val="00FD23A9"/>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pPr>
      <w:tabs>
        <w:tab w:val="clear" w:pos="794"/>
        <w:tab w:val="clear" w:pos="1191"/>
        <w:tab w:val="clear" w:pos="1588"/>
        <w:tab w:val="clear" w:pos="1985"/>
        <w:tab w:val="center" w:pos="4320"/>
        <w:tab w:val="right" w:pos="8640"/>
      </w:tabs>
    </w:p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uiPriority w:val="99"/>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uiPriority w:val="99"/>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3374BB"/>
    <w:rPr>
      <w:lang w:val="fr-FR" w:eastAsia="en-US" w:bidi="ar-SA"/>
    </w:rPr>
  </w:style>
  <w:style w:type="paragraph" w:customStyle="1" w:styleId="enumlev1">
    <w:name w:val="enumlev1"/>
    <w:basedOn w:val="Normal"/>
    <w:link w:val="enumlev1Char"/>
    <w:pPr>
      <w:spacing w:before="80"/>
      <w:ind w:left="794" w:hanging="794"/>
    </w:pPr>
  </w:style>
  <w:style w:type="character" w:customStyle="1" w:styleId="enumlev1Char">
    <w:name w:val="enumlev1 Char"/>
    <w:link w:val="enumlev1"/>
    <w:uiPriority w:val="99"/>
    <w:rsid w:val="003374BB"/>
    <w:rPr>
      <w:sz w:val="22"/>
      <w:lang w:val="fr-FR" w:eastAsia="en-US" w:bidi="ar-SA"/>
    </w:r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uiPriority w:val="99"/>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uiPriority w:val="99"/>
    <w:pPr>
      <w:keepNext/>
      <w:keepLines/>
      <w:spacing w:before="720" w:line="320" w:lineRule="exact"/>
      <w:jc w:val="center"/>
    </w:pPr>
    <w:rPr>
      <w:caps/>
      <w:sz w:val="28"/>
    </w:rPr>
  </w:style>
  <w:style w:type="paragraph" w:customStyle="1" w:styleId="Sectiontitle">
    <w:name w:val="Section_title"/>
    <w:basedOn w:val="Normal"/>
    <w:next w:val="Normalaftertitle"/>
    <w:uiPriority w:val="99"/>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0E4393"/>
    <w:pPr>
      <w:tabs>
        <w:tab w:val="clear" w:pos="794"/>
        <w:tab w:val="clear" w:pos="1191"/>
        <w:tab w:val="clear" w:pos="1588"/>
        <w:tab w:val="clear" w:pos="1985"/>
        <w:tab w:val="left" w:pos="1134"/>
        <w:tab w:val="left" w:pos="1871"/>
        <w:tab w:val="left" w:pos="2268"/>
      </w:tabs>
      <w:spacing w:before="280" w:line="240" w:lineRule="auto"/>
    </w:pPr>
    <w:rPr>
      <w:lang w:val="en-GB"/>
    </w:rPr>
  </w:style>
  <w:style w:type="character" w:customStyle="1" w:styleId="docdisplay">
    <w:name w:val="doc_display"/>
    <w:basedOn w:val="DefaultParagraphFont"/>
    <w:rsid w:val="00A83D3D"/>
  </w:style>
  <w:style w:type="paragraph" w:customStyle="1" w:styleId="headingb0">
    <w:name w:val="heading_b"/>
    <w:basedOn w:val="Heading3"/>
    <w:next w:val="Normal"/>
    <w:rsid w:val="00697D23"/>
    <w:pPr>
      <w:tabs>
        <w:tab w:val="left" w:pos="2127"/>
        <w:tab w:val="left" w:pos="2410"/>
        <w:tab w:val="left" w:pos="2921"/>
        <w:tab w:val="left" w:pos="3261"/>
      </w:tabs>
      <w:spacing w:before="160" w:line="240" w:lineRule="auto"/>
      <w:jc w:val="left"/>
      <w:outlineLvl w:val="9"/>
    </w:pPr>
    <w:rPr>
      <w:rFonts w:eastAsia="SimSun"/>
      <w:bCs/>
      <w:lang w:val="en-GB"/>
    </w:rPr>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0E4393"/>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character" w:customStyle="1" w:styleId="Smbolodenotaalpie">
    <w:name w:val="Símbolo de nota al pie"/>
    <w:rsid w:val="002C182C"/>
    <w:rPr>
      <w:position w:val="5"/>
      <w:sz w:val="18"/>
    </w:r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TableNotitle0">
    <w:name w:val="Table_No &amp; title"/>
    <w:basedOn w:val="Normal"/>
    <w:next w:val="Tablehead"/>
    <w:rsid w:val="008B4CF6"/>
    <w:pPr>
      <w:keepNext/>
      <w:keepLines/>
      <w:spacing w:before="360" w:after="120" w:line="240" w:lineRule="auto"/>
      <w:jc w:val="center"/>
    </w:pPr>
    <w:rPr>
      <w:b/>
      <w:sz w:val="24"/>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Rec">
    <w:name w:val="Rec_#"/>
    <w:basedOn w:val="Normal"/>
    <w:next w:val="Normal"/>
    <w:rsid w:val="00CF024D"/>
    <w:pPr>
      <w:keepNext/>
      <w:keepLines/>
      <w:spacing w:before="480" w:line="240" w:lineRule="auto"/>
      <w:jc w:val="left"/>
    </w:pPr>
    <w:rPr>
      <w:b/>
      <w:sz w:val="24"/>
      <w:lang w:val="en-GB"/>
    </w:rPr>
  </w:style>
  <w:style w:type="paragraph" w:customStyle="1" w:styleId="Figuretitle">
    <w:name w:val="Figure_title"/>
    <w:basedOn w:val="Normal"/>
    <w:next w:val="Normal"/>
    <w:uiPriority w:val="99"/>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line="240" w:lineRule="auto"/>
      <w:jc w:val="center"/>
    </w:pPr>
    <w:rPr>
      <w:rFonts w:ascii="Times New Roman Bold" w:hAnsi="Times New Roman Bold"/>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6</TotalTime>
  <Pages>4</Pages>
  <Words>551</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ITU-T Rec. Book 1 Resolutions ITU-T Series A Recommendations:</vt:lpstr>
    </vt:vector>
  </TitlesOfParts>
  <Company>ITU</Company>
  <LinksUpToDate>false</LinksUpToDate>
  <CharactersWithSpaces>3691</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Rec. Book 1 Resolutions ITU-T Series A Recommendations:</dc:title>
  <dc:subject>WORLD TELECOMMUNICATION STANDARDIZATION ASSEMBLY - Florianópolis, 5-14 October 2004</dc:subject>
  <dc:creator>ITU-T study group re</dc:creator>
  <cp:keywords>.Book 1,,Book 1</cp:keywords>
  <dc:description>ASM                                 1.12.04      SP_x000d_
Corr. BAT                         8.12.04      SP</dc:description>
  <cp:lastModifiedBy>Al-Yammouni, Hala</cp:lastModifiedBy>
  <cp:revision>7</cp:revision>
  <cp:lastPrinted>2016-12-14T13:29:00Z</cp:lastPrinted>
  <dcterms:created xsi:type="dcterms:W3CDTF">2016-12-14T13:24:00Z</dcterms:created>
  <dcterms:modified xsi:type="dcterms:W3CDTF">2016-12-14T13:31:00Z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