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48" w:type="dxa"/>
        <w:tblLayout w:type="fixed"/>
        <w:tblLook w:val="0000" w:firstRow="0" w:lastRow="0" w:firstColumn="0" w:lastColumn="0" w:noHBand="0" w:noVBand="0"/>
      </w:tblPr>
      <w:tblGrid>
        <w:gridCol w:w="1418"/>
        <w:gridCol w:w="10"/>
        <w:gridCol w:w="2508"/>
        <w:gridCol w:w="2041"/>
        <w:gridCol w:w="3971"/>
      </w:tblGrid>
      <w:tr w:rsidR="00FB6D55" w:rsidRPr="003518D5">
        <w:trPr>
          <w:trHeight w:hRule="exact" w:val="1418"/>
        </w:trPr>
        <w:tc>
          <w:tcPr>
            <w:tcW w:w="1428" w:type="dxa"/>
            <w:gridSpan w:val="2"/>
          </w:tcPr>
          <w:p w:rsidR="00FB6D55" w:rsidRPr="003518D5" w:rsidRDefault="00104976" w:rsidP="00223031">
            <w:pPr>
              <w:pStyle w:val="Note"/>
            </w:pPr>
            <w:r>
              <w:rPr>
                <w:noProof/>
                <w:lang w:val="en-GB" w:eastAsia="zh-CN"/>
              </w:rPr>
              <w:drawing>
                <wp:anchor distT="0" distB="0" distL="114300" distR="114300" simplePos="0" relativeHeight="251656704" behindDoc="0" locked="0" layoutInCell="0" allowOverlap="1">
                  <wp:simplePos x="0" y="0"/>
                  <wp:positionH relativeFrom="column">
                    <wp:posOffset>-1009650</wp:posOffset>
                  </wp:positionH>
                  <wp:positionV relativeFrom="paragraph">
                    <wp:posOffset>-681355</wp:posOffset>
                  </wp:positionV>
                  <wp:extent cx="1612900" cy="10828655"/>
                  <wp:effectExtent l="0" t="0" r="635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0" cy="10828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B6D55" w:rsidRPr="003518D5" w:rsidRDefault="00FB6D55">
            <w:pPr>
              <w:spacing w:before="0"/>
              <w:rPr>
                <w:b/>
                <w:sz w:val="16"/>
              </w:rPr>
            </w:pPr>
          </w:p>
        </w:tc>
        <w:tc>
          <w:tcPr>
            <w:tcW w:w="8520" w:type="dxa"/>
            <w:gridSpan w:val="3"/>
          </w:tcPr>
          <w:p w:rsidR="00FB6D55" w:rsidRPr="003518D5" w:rsidRDefault="00FB6D55">
            <w:pPr>
              <w:spacing w:before="0"/>
            </w:pPr>
          </w:p>
          <w:p w:rsidR="00FB6D55" w:rsidRPr="003518D5" w:rsidRDefault="00FB6D55">
            <w:pPr>
              <w:spacing w:before="284"/>
              <w:rPr>
                <w:rFonts w:ascii="Arial" w:hAnsi="Arial" w:cs="Arial"/>
                <w:b/>
                <w:bCs/>
                <w:spacing w:val="80"/>
                <w:sz w:val="18"/>
              </w:rPr>
            </w:pPr>
            <w:r w:rsidRPr="003518D5">
              <w:rPr>
                <w:rFonts w:ascii="Arial" w:hAnsi="Arial" w:cs="Arial"/>
                <w:b/>
                <w:bCs/>
                <w:color w:val="808080"/>
                <w:spacing w:val="80"/>
              </w:rPr>
              <w:t>Unión Internacional de Telecomunicaciones</w:t>
            </w:r>
          </w:p>
        </w:tc>
      </w:tr>
      <w:tr w:rsidR="00FB6D55" w:rsidRPr="003518D5">
        <w:trPr>
          <w:trHeight w:hRule="exact" w:val="992"/>
        </w:trPr>
        <w:tc>
          <w:tcPr>
            <w:tcW w:w="1428" w:type="dxa"/>
            <w:gridSpan w:val="2"/>
          </w:tcPr>
          <w:p w:rsidR="00FB6D55" w:rsidRPr="003518D5" w:rsidRDefault="00FB6D55">
            <w:pPr>
              <w:spacing w:before="0"/>
            </w:pPr>
          </w:p>
        </w:tc>
        <w:tc>
          <w:tcPr>
            <w:tcW w:w="8520" w:type="dxa"/>
            <w:gridSpan w:val="3"/>
          </w:tcPr>
          <w:p w:rsidR="00FB6D55" w:rsidRPr="003518D5" w:rsidRDefault="00FB6D55"/>
        </w:tc>
      </w:tr>
      <w:tr w:rsidR="00FB6D55" w:rsidRPr="003518D5">
        <w:tblPrEx>
          <w:tblCellMar>
            <w:left w:w="85" w:type="dxa"/>
            <w:right w:w="85" w:type="dxa"/>
          </w:tblCellMar>
        </w:tblPrEx>
        <w:trPr>
          <w:gridBefore w:val="2"/>
          <w:wBefore w:w="1428" w:type="dxa"/>
        </w:trPr>
        <w:tc>
          <w:tcPr>
            <w:tcW w:w="2508" w:type="dxa"/>
          </w:tcPr>
          <w:p w:rsidR="00FB6D55" w:rsidRPr="003518D5" w:rsidRDefault="00FB6D55">
            <w:pPr>
              <w:rPr>
                <w:b/>
                <w:sz w:val="18"/>
              </w:rPr>
            </w:pPr>
            <w:bookmarkStart w:id="0" w:name="dnums" w:colFirst="1" w:colLast="1"/>
            <w:r w:rsidRPr="003518D5">
              <w:rPr>
                <w:rFonts w:ascii="Arial" w:hAnsi="Arial"/>
                <w:b/>
                <w:spacing w:val="40"/>
                <w:sz w:val="72"/>
              </w:rPr>
              <w:t>UIT-T</w:t>
            </w:r>
          </w:p>
        </w:tc>
        <w:tc>
          <w:tcPr>
            <w:tcW w:w="6012" w:type="dxa"/>
            <w:gridSpan w:val="2"/>
          </w:tcPr>
          <w:p w:rsidR="00FB6D55" w:rsidRPr="003518D5" w:rsidRDefault="00FB6D55">
            <w:pPr>
              <w:spacing w:before="240"/>
              <w:jc w:val="right"/>
              <w:rPr>
                <w:rFonts w:ascii="Arial" w:hAnsi="Arial" w:cs="Arial"/>
                <w:b/>
                <w:sz w:val="60"/>
              </w:rPr>
            </w:pPr>
          </w:p>
        </w:tc>
      </w:tr>
      <w:tr w:rsidR="00FB6D55" w:rsidRPr="003518D5">
        <w:tblPrEx>
          <w:tblCellMar>
            <w:left w:w="85" w:type="dxa"/>
            <w:right w:w="85" w:type="dxa"/>
          </w:tblCellMar>
        </w:tblPrEx>
        <w:trPr>
          <w:gridBefore w:val="2"/>
          <w:wBefore w:w="1428" w:type="dxa"/>
          <w:trHeight w:val="974"/>
        </w:trPr>
        <w:tc>
          <w:tcPr>
            <w:tcW w:w="4549" w:type="dxa"/>
            <w:gridSpan w:val="2"/>
          </w:tcPr>
          <w:p w:rsidR="00FB6D55" w:rsidRPr="003518D5" w:rsidRDefault="00FB6D55">
            <w:pPr>
              <w:jc w:val="left"/>
              <w:rPr>
                <w:b/>
                <w:sz w:val="18"/>
              </w:rPr>
            </w:pPr>
            <w:bookmarkStart w:id="1" w:name="ddates" w:colFirst="1" w:colLast="1"/>
            <w:bookmarkEnd w:id="0"/>
            <w:r w:rsidRPr="003518D5">
              <w:rPr>
                <w:rFonts w:ascii="Arial" w:hAnsi="Arial"/>
                <w:sz w:val="20"/>
              </w:rPr>
              <w:t>SECTOR  DE  NORMALIZACIÓN</w:t>
            </w:r>
            <w:r w:rsidRPr="003518D5">
              <w:rPr>
                <w:rFonts w:ascii="Arial" w:hAnsi="Arial" w:cs="Arial"/>
                <w:sz w:val="20"/>
              </w:rPr>
              <w:br/>
            </w:r>
            <w:r w:rsidRPr="003518D5">
              <w:rPr>
                <w:rFonts w:ascii="Arial" w:hAnsi="Arial"/>
                <w:sz w:val="20"/>
              </w:rPr>
              <w:t>DE  LAS  TELECOMUNICACIONES</w:t>
            </w:r>
            <w:r w:rsidRPr="003518D5">
              <w:rPr>
                <w:rFonts w:ascii="Arial" w:hAnsi="Arial"/>
                <w:sz w:val="20"/>
              </w:rPr>
              <w:br/>
              <w:t>DE  LA  UIT</w:t>
            </w:r>
          </w:p>
        </w:tc>
        <w:tc>
          <w:tcPr>
            <w:tcW w:w="3971" w:type="dxa"/>
          </w:tcPr>
          <w:p w:rsidR="00FB6D55" w:rsidRPr="003518D5" w:rsidRDefault="00FB6D55" w:rsidP="00FB6D55">
            <w:pPr>
              <w:spacing w:before="0"/>
              <w:jc w:val="right"/>
              <w:rPr>
                <w:rFonts w:ascii="Arial" w:hAnsi="Arial" w:cs="Arial"/>
                <w:sz w:val="28"/>
              </w:rPr>
            </w:pPr>
            <w:r w:rsidRPr="003518D5">
              <w:rPr>
                <w:rFonts w:ascii="Arial" w:hAnsi="Arial" w:cs="Arial"/>
                <w:sz w:val="28"/>
              </w:rPr>
              <w:t xml:space="preserve">   </w:t>
            </w:r>
          </w:p>
        </w:tc>
      </w:tr>
      <w:tr w:rsidR="00FB6D55" w:rsidRPr="003518D5">
        <w:trPr>
          <w:cantSplit/>
          <w:trHeight w:hRule="exact" w:val="3402"/>
        </w:trPr>
        <w:tc>
          <w:tcPr>
            <w:tcW w:w="1418" w:type="dxa"/>
          </w:tcPr>
          <w:p w:rsidR="00FB6D55" w:rsidRPr="003518D5" w:rsidRDefault="00FB6D55">
            <w:pPr>
              <w:tabs>
                <w:tab w:val="right" w:pos="9639"/>
              </w:tabs>
              <w:rPr>
                <w:rFonts w:ascii="Arial" w:hAnsi="Arial"/>
                <w:sz w:val="18"/>
              </w:rPr>
            </w:pPr>
            <w:bookmarkStart w:id="2" w:name="dsecs" w:colFirst="1" w:colLast="1"/>
            <w:bookmarkEnd w:id="1"/>
          </w:p>
        </w:tc>
        <w:tc>
          <w:tcPr>
            <w:tcW w:w="8530" w:type="dxa"/>
            <w:gridSpan w:val="4"/>
            <w:tcBorders>
              <w:bottom w:val="single" w:sz="12" w:space="0" w:color="auto"/>
            </w:tcBorders>
            <w:vAlign w:val="bottom"/>
          </w:tcPr>
          <w:p w:rsidR="00FB6D55" w:rsidRPr="003518D5" w:rsidRDefault="004F1EA7" w:rsidP="004F1EA7">
            <w:pPr>
              <w:tabs>
                <w:tab w:val="right" w:pos="9639"/>
              </w:tabs>
              <w:jc w:val="left"/>
              <w:rPr>
                <w:rFonts w:ascii="Arial" w:hAnsi="Arial" w:cs="Arial"/>
                <w:sz w:val="32"/>
              </w:rPr>
            </w:pPr>
            <w:r w:rsidRPr="004F1EA7">
              <w:rPr>
                <w:rFonts w:ascii="Arial" w:hAnsi="Arial" w:cs="Arial"/>
                <w:sz w:val="32"/>
              </w:rPr>
              <w:t>ASAMBLEA MUNDIAL DE NORMALIZACIÓN DE LAS TELECOMUNICACIONES</w:t>
            </w:r>
          </w:p>
          <w:p w:rsidR="00FB6D55" w:rsidRPr="003518D5" w:rsidRDefault="00A922AD" w:rsidP="00D5161F">
            <w:pPr>
              <w:tabs>
                <w:tab w:val="right" w:pos="9639"/>
              </w:tabs>
              <w:jc w:val="left"/>
              <w:rPr>
                <w:rFonts w:ascii="Arial" w:hAnsi="Arial" w:cs="Arial"/>
                <w:sz w:val="32"/>
              </w:rPr>
            </w:pPr>
            <w:proofErr w:type="spellStart"/>
            <w:r w:rsidRPr="00A922AD">
              <w:rPr>
                <w:rFonts w:ascii="Arial" w:hAnsi="Arial" w:cs="Arial"/>
                <w:sz w:val="32"/>
                <w:lang w:val="es-ES"/>
              </w:rPr>
              <w:t>Hammamet</w:t>
            </w:r>
            <w:proofErr w:type="spellEnd"/>
            <w:r w:rsidR="004F1EA7" w:rsidRPr="006C62D4">
              <w:rPr>
                <w:rFonts w:ascii="Arial" w:hAnsi="Arial" w:cs="Arial"/>
                <w:sz w:val="32"/>
                <w:lang w:val="es-ES"/>
              </w:rPr>
              <w:t>, 2</w:t>
            </w:r>
            <w:r>
              <w:rPr>
                <w:rFonts w:ascii="Arial" w:hAnsi="Arial" w:cs="Arial"/>
                <w:sz w:val="32"/>
                <w:lang w:val="es-ES"/>
              </w:rPr>
              <w:t xml:space="preserve">5 de octubre </w:t>
            </w:r>
            <w:r w:rsidR="00D5161F">
              <w:rPr>
                <w:rFonts w:ascii="Arial" w:hAnsi="Arial" w:cs="Arial"/>
                <w:sz w:val="32"/>
                <w:lang w:val="es-ES"/>
              </w:rPr>
              <w:t>–</w:t>
            </w:r>
            <w:r>
              <w:rPr>
                <w:rFonts w:ascii="Arial" w:hAnsi="Arial" w:cs="Arial"/>
                <w:sz w:val="32"/>
                <w:lang w:val="es-ES"/>
              </w:rPr>
              <w:t xml:space="preserve"> 3</w:t>
            </w:r>
            <w:r w:rsidR="004F1EA7" w:rsidRPr="006C62D4">
              <w:rPr>
                <w:rFonts w:ascii="Arial" w:hAnsi="Arial" w:cs="Arial"/>
                <w:sz w:val="32"/>
                <w:lang w:val="es-ES"/>
              </w:rPr>
              <w:t xml:space="preserve"> de </w:t>
            </w:r>
            <w:r w:rsidR="006C62D4">
              <w:rPr>
                <w:rFonts w:ascii="Arial" w:hAnsi="Arial" w:cs="Arial"/>
                <w:sz w:val="32"/>
                <w:lang w:val="es-ES"/>
              </w:rPr>
              <w:t>noviembre de 201</w:t>
            </w:r>
            <w:r>
              <w:rPr>
                <w:rFonts w:ascii="Arial" w:hAnsi="Arial" w:cs="Arial"/>
                <w:sz w:val="32"/>
                <w:lang w:val="es-ES"/>
              </w:rPr>
              <w:t>6</w:t>
            </w:r>
          </w:p>
          <w:p w:rsidR="00FB6D55" w:rsidRPr="003518D5" w:rsidRDefault="00FB6D55" w:rsidP="00FB6D55">
            <w:pPr>
              <w:tabs>
                <w:tab w:val="right" w:pos="9639"/>
              </w:tabs>
              <w:jc w:val="left"/>
              <w:rPr>
                <w:rFonts w:ascii="Arial" w:hAnsi="Arial" w:cs="Arial"/>
                <w:sz w:val="32"/>
              </w:rPr>
            </w:pPr>
          </w:p>
        </w:tc>
      </w:tr>
      <w:tr w:rsidR="00FB6D55" w:rsidRPr="003518D5">
        <w:trPr>
          <w:cantSplit/>
          <w:trHeight w:hRule="exact" w:val="4536"/>
        </w:trPr>
        <w:tc>
          <w:tcPr>
            <w:tcW w:w="1418" w:type="dxa"/>
          </w:tcPr>
          <w:p w:rsidR="00FB6D55" w:rsidRPr="003518D5" w:rsidRDefault="00FB6D55">
            <w:pPr>
              <w:tabs>
                <w:tab w:val="right" w:pos="9639"/>
              </w:tabs>
              <w:rPr>
                <w:rFonts w:ascii="Arial" w:hAnsi="Arial"/>
                <w:sz w:val="18"/>
              </w:rPr>
            </w:pPr>
            <w:bookmarkStart w:id="3" w:name="c1tits" w:colFirst="1" w:colLast="1"/>
            <w:bookmarkEnd w:id="2"/>
          </w:p>
        </w:tc>
        <w:tc>
          <w:tcPr>
            <w:tcW w:w="8530" w:type="dxa"/>
            <w:gridSpan w:val="4"/>
          </w:tcPr>
          <w:p w:rsidR="00FB6D55" w:rsidRPr="003518D5" w:rsidRDefault="004F1EA7" w:rsidP="007749CF">
            <w:pPr>
              <w:tabs>
                <w:tab w:val="right" w:pos="9639"/>
              </w:tabs>
              <w:jc w:val="left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4F1EA7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Resolución </w:t>
            </w:r>
            <w:r w:rsidR="002A1B00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87 – </w:t>
            </w:r>
            <w:r w:rsidR="007749CF" w:rsidRPr="007749CF">
              <w:rPr>
                <w:rFonts w:ascii="Arial" w:hAnsi="Arial" w:cs="Arial"/>
                <w:b/>
                <w:bCs/>
                <w:sz w:val="36"/>
                <w:szCs w:val="36"/>
              </w:rPr>
              <w:t>Participación del Sector de Normalización de las Telecomunicaciones de la</w:t>
            </w:r>
            <w:r w:rsidR="007749CF">
              <w:rPr>
                <w:rFonts w:ascii="Arial" w:hAnsi="Arial" w:cs="Arial"/>
                <w:b/>
                <w:bCs/>
                <w:sz w:val="36"/>
                <w:szCs w:val="36"/>
              </w:rPr>
              <w:t> </w:t>
            </w:r>
            <w:r w:rsidR="007749CF" w:rsidRPr="007749CF">
              <w:rPr>
                <w:rFonts w:ascii="Arial" w:hAnsi="Arial" w:cs="Arial"/>
                <w:b/>
                <w:bCs/>
                <w:sz w:val="36"/>
                <w:szCs w:val="36"/>
              </w:rPr>
              <w:t>UIT en el examen y la revisión periódicos del Reglamento de las Telecomunicaciones Internacionales</w:t>
            </w:r>
          </w:p>
        </w:tc>
      </w:tr>
      <w:bookmarkEnd w:id="3"/>
      <w:tr w:rsidR="008028AE" w:rsidRPr="00F4281C" w:rsidTr="00F431E4">
        <w:trPr>
          <w:cantSplit/>
          <w:trHeight w:hRule="exact" w:val="1418"/>
        </w:trPr>
        <w:tc>
          <w:tcPr>
            <w:tcW w:w="1418" w:type="dxa"/>
          </w:tcPr>
          <w:p w:rsidR="008028AE" w:rsidRPr="007749CF" w:rsidRDefault="008028AE" w:rsidP="00F431E4">
            <w:pPr>
              <w:tabs>
                <w:tab w:val="right" w:pos="9639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8530" w:type="dxa"/>
            <w:gridSpan w:val="4"/>
            <w:vAlign w:val="bottom"/>
          </w:tcPr>
          <w:p w:rsidR="00FD6CCF" w:rsidRPr="007749CF" w:rsidRDefault="00FD6CCF" w:rsidP="00F431E4">
            <w:pPr>
              <w:tabs>
                <w:tab w:val="right" w:pos="9639"/>
              </w:tabs>
              <w:jc w:val="left"/>
              <w:rPr>
                <w:rFonts w:ascii="Arial" w:hAnsi="Arial"/>
                <w:sz w:val="18"/>
              </w:rPr>
            </w:pPr>
            <w:bookmarkStart w:id="4" w:name="dnum2e"/>
            <w:bookmarkEnd w:id="4"/>
          </w:p>
        </w:tc>
      </w:tr>
    </w:tbl>
    <w:p w:rsidR="00FD6CCF" w:rsidRPr="007749CF" w:rsidRDefault="00104976" w:rsidP="008028AE">
      <w:pPr>
        <w:tabs>
          <w:tab w:val="right" w:pos="9639"/>
        </w:tabs>
        <w:spacing w:before="240"/>
        <w:jc w:val="right"/>
        <w:rPr>
          <w:noProof/>
          <w:lang w:eastAsia="zh-CN"/>
        </w:rPr>
      </w:pPr>
      <w:bookmarkStart w:id="5" w:name="c2tope"/>
      <w:bookmarkEnd w:id="5"/>
      <w:r>
        <w:rPr>
          <w:noProof/>
          <w:lang w:val="en-GB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5490210</wp:posOffset>
            </wp:positionH>
            <wp:positionV relativeFrom="paragraph">
              <wp:posOffset>20320</wp:posOffset>
            </wp:positionV>
            <wp:extent cx="666750" cy="755650"/>
            <wp:effectExtent l="0" t="0" r="0" b="6350"/>
            <wp:wrapSquare wrapText="bothSides"/>
            <wp:docPr id="422" name="Picture 422" descr="sigleITU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" descr="sigleITU_lar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28AE" w:rsidRPr="007749CF" w:rsidRDefault="008028AE" w:rsidP="008028AE">
      <w:pPr>
        <w:tabs>
          <w:tab w:val="right" w:pos="9639"/>
        </w:tabs>
        <w:spacing w:before="240"/>
        <w:jc w:val="right"/>
        <w:rPr>
          <w:sz w:val="20"/>
        </w:rPr>
      </w:pPr>
    </w:p>
    <w:p w:rsidR="008028AE" w:rsidRDefault="008028AE" w:rsidP="006C62D4">
      <w:pPr>
        <w:spacing w:before="480" w:line="240" w:lineRule="exact"/>
        <w:jc w:val="center"/>
        <w:rPr>
          <w:szCs w:val="22"/>
        </w:rPr>
        <w:sectPr w:rsidR="008028AE" w:rsidSect="00A1158B">
          <w:pgSz w:w="11907" w:h="16840" w:code="9"/>
          <w:pgMar w:top="1089" w:right="1089" w:bottom="284" w:left="1089" w:header="284" w:footer="567" w:gutter="0"/>
          <w:paperSrc w:first="15" w:other="15"/>
          <w:pgNumType w:start="1"/>
          <w:cols w:space="720"/>
        </w:sectPr>
      </w:pPr>
      <w:bookmarkStart w:id="6" w:name="c2tops"/>
      <w:bookmarkEnd w:id="6"/>
    </w:p>
    <w:p w:rsidR="006C62D4" w:rsidRPr="00AC4414" w:rsidRDefault="006C62D4" w:rsidP="00812CE2">
      <w:pPr>
        <w:spacing w:before="0" w:line="240" w:lineRule="exact"/>
        <w:jc w:val="center"/>
        <w:rPr>
          <w:szCs w:val="22"/>
        </w:rPr>
      </w:pPr>
      <w:r w:rsidRPr="00AC4414">
        <w:rPr>
          <w:szCs w:val="22"/>
        </w:rPr>
        <w:lastRenderedPageBreak/>
        <w:t>PREFACIO</w:t>
      </w:r>
    </w:p>
    <w:p w:rsidR="00D976F2" w:rsidRPr="00D976F2" w:rsidRDefault="00D976F2" w:rsidP="00D976F2">
      <w:pPr>
        <w:spacing w:line="240" w:lineRule="exact"/>
        <w:rPr>
          <w:sz w:val="20"/>
        </w:rPr>
      </w:pPr>
      <w:r w:rsidRPr="00D976F2">
        <w:rPr>
          <w:sz w:val="20"/>
        </w:rPr>
        <w:t>La Unión Internacional de Telecomunicaciones (UIT) es el organismo especializado de las Naciones Unidas en el campo de las telecomunicaciones y de las tecnologías de la información y la comunicación. El Sector de Normalización de las Telecomunicaciones de la UIT (UIT-T) es un órgano permanente de la UIT. Este órgano estudia los aspectos técnicos, de explotación y tarifarios y publica Recomendaciones sobre los mismos, con miras a la normalización de las telecomunicaciones en el plano mundial.</w:t>
      </w:r>
    </w:p>
    <w:p w:rsidR="00D976F2" w:rsidRPr="00D976F2" w:rsidRDefault="00D976F2" w:rsidP="00D976F2">
      <w:pPr>
        <w:spacing w:line="240" w:lineRule="exact"/>
        <w:rPr>
          <w:sz w:val="20"/>
        </w:rPr>
      </w:pPr>
      <w:bookmarkStart w:id="7" w:name="iitexts"/>
      <w:r w:rsidRPr="00D976F2">
        <w:rPr>
          <w:sz w:val="20"/>
        </w:rPr>
        <w:t>La Asamblea Mundial de Normalización de las Telecomunicaciones (AMNT), que se celebra cada cuatro años, establece los temas que han de estudiar las Comisiones de Estudio del UIT</w:t>
      </w:r>
      <w:r w:rsidRPr="00D976F2">
        <w:rPr>
          <w:sz w:val="20"/>
        </w:rPr>
        <w:noBreakHyphen/>
        <w:t>T, que a su vez producen Recomendaciones sobre dichos temas.</w:t>
      </w:r>
    </w:p>
    <w:p w:rsidR="00D976F2" w:rsidRPr="00D976F2" w:rsidRDefault="00D976F2" w:rsidP="00D976F2">
      <w:pPr>
        <w:spacing w:line="240" w:lineRule="exact"/>
        <w:rPr>
          <w:sz w:val="20"/>
        </w:rPr>
      </w:pPr>
      <w:r w:rsidRPr="00D976F2">
        <w:rPr>
          <w:sz w:val="20"/>
        </w:rPr>
        <w:t>La aprobación de Recomendaciones por los Miembros del UIT</w:t>
      </w:r>
      <w:r w:rsidRPr="00D976F2">
        <w:rPr>
          <w:sz w:val="20"/>
        </w:rPr>
        <w:noBreakHyphen/>
        <w:t>T es el objeto del procedimiento establecido en la Resolución 1 de la AMNT</w:t>
      </w:r>
      <w:bookmarkEnd w:id="7"/>
      <w:r w:rsidRPr="00D976F2">
        <w:rPr>
          <w:sz w:val="20"/>
        </w:rPr>
        <w:t>.</w:t>
      </w:r>
    </w:p>
    <w:p w:rsidR="006C62D4" w:rsidRPr="00143DCC" w:rsidRDefault="00D976F2" w:rsidP="00D976F2">
      <w:pPr>
        <w:spacing w:line="240" w:lineRule="exact"/>
        <w:rPr>
          <w:sz w:val="20"/>
        </w:rPr>
      </w:pPr>
      <w:r w:rsidRPr="00D976F2">
        <w:rPr>
          <w:sz w:val="20"/>
        </w:rPr>
        <w:t>En ciertos sectores de la tecnología de la información que corresponden a la esfera de competencia del UIT</w:t>
      </w:r>
      <w:r w:rsidRPr="00D976F2">
        <w:rPr>
          <w:sz w:val="20"/>
        </w:rPr>
        <w:noBreakHyphen/>
        <w:t>T, se preparan las normas necesarias en colaboración con la ISO y la CEI.</w:t>
      </w:r>
    </w:p>
    <w:p w:rsidR="006C62D4" w:rsidRPr="00143DCC" w:rsidRDefault="006C62D4" w:rsidP="006C62D4">
      <w:pPr>
        <w:spacing w:line="240" w:lineRule="exact"/>
        <w:jc w:val="center"/>
        <w:rPr>
          <w:sz w:val="20"/>
        </w:rPr>
      </w:pPr>
    </w:p>
    <w:p w:rsidR="00A5430F" w:rsidRDefault="00A5430F" w:rsidP="006C62D4">
      <w:pPr>
        <w:spacing w:before="480"/>
        <w:jc w:val="center"/>
        <w:rPr>
          <w:sz w:val="18"/>
        </w:rPr>
      </w:pPr>
    </w:p>
    <w:p w:rsidR="00A5430F" w:rsidRDefault="00A5430F" w:rsidP="00FB6D55">
      <w:pPr>
        <w:spacing w:before="80" w:after="80"/>
        <w:jc w:val="left"/>
        <w:rPr>
          <w:sz w:val="18"/>
        </w:rPr>
      </w:pPr>
    </w:p>
    <w:p w:rsidR="00A5430F" w:rsidRDefault="00A5430F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812CE2" w:rsidRDefault="00812CE2" w:rsidP="00FB6D55">
      <w:pPr>
        <w:spacing w:before="80" w:after="80"/>
        <w:jc w:val="left"/>
        <w:rPr>
          <w:sz w:val="18"/>
        </w:rPr>
      </w:pPr>
    </w:p>
    <w:p w:rsidR="00812CE2" w:rsidRDefault="00812CE2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885482" w:rsidRDefault="00885482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Pr="008028AE" w:rsidRDefault="00C2286E" w:rsidP="00A922AD">
      <w:pPr>
        <w:jc w:val="center"/>
        <w:rPr>
          <w:sz w:val="20"/>
        </w:rPr>
      </w:pPr>
      <w:r w:rsidRPr="008028AE">
        <w:rPr>
          <w:rFonts w:ascii="Symbol" w:hAnsi="Symbol"/>
          <w:sz w:val="20"/>
        </w:rPr>
        <w:t></w:t>
      </w:r>
      <w:r w:rsidRPr="008028AE">
        <w:rPr>
          <w:sz w:val="20"/>
        </w:rPr>
        <w:t>  UIT  </w:t>
      </w:r>
      <w:bookmarkStart w:id="8" w:name="iiannes"/>
      <w:bookmarkEnd w:id="8"/>
      <w:r w:rsidR="006C62D4" w:rsidRPr="008028AE">
        <w:rPr>
          <w:sz w:val="20"/>
        </w:rPr>
        <w:t>201</w:t>
      </w:r>
      <w:r w:rsidR="00A922AD" w:rsidRPr="008028AE">
        <w:rPr>
          <w:sz w:val="20"/>
        </w:rPr>
        <w:t>6</w:t>
      </w:r>
    </w:p>
    <w:p w:rsidR="00C2286E" w:rsidRPr="008028AE" w:rsidRDefault="00C2286E" w:rsidP="00C2286E">
      <w:pPr>
        <w:tabs>
          <w:tab w:val="clear" w:pos="794"/>
          <w:tab w:val="clear" w:pos="1191"/>
          <w:tab w:val="clear" w:pos="1588"/>
          <w:tab w:val="clear" w:pos="1985"/>
        </w:tabs>
        <w:overflowPunct/>
        <w:textAlignment w:val="auto"/>
        <w:rPr>
          <w:sz w:val="20"/>
        </w:rPr>
      </w:pPr>
      <w:r w:rsidRPr="008028AE">
        <w:rPr>
          <w:sz w:val="20"/>
        </w:rPr>
        <w:t>Reservados todos los derechos. Ninguna parte de esta publicación puede reproducirse por ningún procedimiento sin previa autorización escrita por parte de la UIT.</w:t>
      </w:r>
    </w:p>
    <w:p w:rsidR="00FB6D55" w:rsidRPr="003518D5" w:rsidRDefault="00FB6D55">
      <w:pPr>
        <w:spacing w:before="80"/>
        <w:jc w:val="left"/>
        <w:rPr>
          <w:i/>
          <w:sz w:val="20"/>
        </w:rPr>
      </w:pPr>
    </w:p>
    <w:p w:rsidR="00FB6D55" w:rsidRPr="003518D5" w:rsidRDefault="00FB6D55">
      <w:pPr>
        <w:sectPr w:rsidR="00FB6D55" w:rsidRPr="003518D5" w:rsidSect="008028AE">
          <w:type w:val="evenPage"/>
          <w:pgSz w:w="11907" w:h="16840" w:code="9"/>
          <w:pgMar w:top="1134" w:right="1134" w:bottom="1134" w:left="1134" w:header="567" w:footer="567" w:gutter="0"/>
          <w:paperSrc w:first="15" w:other="15"/>
          <w:pgNumType w:start="1"/>
          <w:cols w:space="720"/>
        </w:sectPr>
      </w:pPr>
    </w:p>
    <w:p w:rsidR="006F5455" w:rsidRPr="00A922AD" w:rsidRDefault="006F5455" w:rsidP="00812CE2">
      <w:pPr>
        <w:pStyle w:val="ResNo"/>
        <w:tabs>
          <w:tab w:val="clear" w:pos="794"/>
          <w:tab w:val="clear" w:pos="1191"/>
          <w:tab w:val="clear" w:pos="1588"/>
          <w:tab w:val="clear" w:pos="1985"/>
        </w:tabs>
        <w:spacing w:line="280" w:lineRule="exact"/>
        <w:jc w:val="center"/>
        <w:rPr>
          <w:b w:val="0"/>
          <w:caps/>
        </w:rPr>
      </w:pPr>
      <w:bookmarkStart w:id="9" w:name="irecnos"/>
      <w:bookmarkEnd w:id="9"/>
      <w:r w:rsidRPr="00A922AD">
        <w:rPr>
          <w:b w:val="0"/>
          <w:caps/>
        </w:rPr>
        <w:lastRenderedPageBreak/>
        <w:t xml:space="preserve">RESOLUCIÓN </w:t>
      </w:r>
      <w:r w:rsidR="002A1B00">
        <w:rPr>
          <w:b w:val="0"/>
          <w:caps/>
        </w:rPr>
        <w:t xml:space="preserve">87 </w:t>
      </w:r>
      <w:r w:rsidR="002A1B00" w:rsidRPr="002A1B00">
        <w:rPr>
          <w:rFonts w:hAnsi="Times New Roman Bold"/>
          <w:b w:val="0"/>
          <w:bCs/>
        </w:rPr>
        <w:t>(</w:t>
      </w:r>
      <w:proofErr w:type="spellStart"/>
      <w:r w:rsidR="002A1B00" w:rsidRPr="002A1B00">
        <w:rPr>
          <w:rFonts w:hAnsi="Times New Roman Bold"/>
          <w:b w:val="0"/>
          <w:bCs/>
        </w:rPr>
        <w:t>Hammamet</w:t>
      </w:r>
      <w:proofErr w:type="spellEnd"/>
      <w:r w:rsidR="002A1B00" w:rsidRPr="002A1B00">
        <w:rPr>
          <w:rFonts w:hAnsi="Times New Roman Bold"/>
          <w:b w:val="0"/>
          <w:bCs/>
        </w:rPr>
        <w:t>, 2016)</w:t>
      </w:r>
    </w:p>
    <w:p w:rsidR="002A1B00" w:rsidRPr="008A6389" w:rsidRDefault="002A1B00" w:rsidP="002A1B00">
      <w:pPr>
        <w:pStyle w:val="Restitle"/>
      </w:pPr>
      <w:r w:rsidRPr="008A6389">
        <w:t xml:space="preserve">Participación del Sector de Normalización de las Telecomunicaciones de </w:t>
      </w:r>
      <w:r w:rsidRPr="008A6389">
        <w:br/>
        <w:t xml:space="preserve">la UIT en el examen y la revisión periódicos del Reglamento </w:t>
      </w:r>
      <w:r w:rsidRPr="008A6389">
        <w:br/>
        <w:t>de las Telecomunicaciones Internacionales</w:t>
      </w:r>
    </w:p>
    <w:p w:rsidR="002A1B00" w:rsidRPr="008A6389" w:rsidRDefault="002A1B00" w:rsidP="002A1B00">
      <w:pPr>
        <w:pStyle w:val="Resref"/>
      </w:pPr>
      <w:bookmarkStart w:id="10" w:name="lt_pId029"/>
      <w:r w:rsidRPr="008A6389">
        <w:t>(</w:t>
      </w:r>
      <w:proofErr w:type="spellStart"/>
      <w:r w:rsidRPr="008A6389">
        <w:t>Hammamet</w:t>
      </w:r>
      <w:proofErr w:type="spellEnd"/>
      <w:r w:rsidRPr="008A6389">
        <w:t>, 2016)</w:t>
      </w:r>
      <w:bookmarkEnd w:id="10"/>
    </w:p>
    <w:p w:rsidR="002A1B00" w:rsidRPr="002A1B00" w:rsidRDefault="002A1B00" w:rsidP="002A1B00">
      <w:pPr>
        <w:pStyle w:val="Normalaftertitle0"/>
        <w:rPr>
          <w:lang w:val="es-ES_tradnl"/>
        </w:rPr>
      </w:pPr>
      <w:bookmarkStart w:id="11" w:name="lt_pId030"/>
      <w:r w:rsidRPr="002A1B00">
        <w:rPr>
          <w:lang w:val="es-ES_tradnl"/>
        </w:rPr>
        <w:t>La Asamblea Mundial de Normalización de las Telecomunicaciones (</w:t>
      </w:r>
      <w:proofErr w:type="spellStart"/>
      <w:r w:rsidRPr="002A1B00">
        <w:rPr>
          <w:lang w:val="es-ES_tradnl"/>
        </w:rPr>
        <w:t>Hammamet</w:t>
      </w:r>
      <w:proofErr w:type="spellEnd"/>
      <w:r w:rsidRPr="002A1B00">
        <w:rPr>
          <w:lang w:val="es-ES_tradnl"/>
        </w:rPr>
        <w:t>, 2016),</w:t>
      </w:r>
      <w:bookmarkEnd w:id="11"/>
    </w:p>
    <w:p w:rsidR="002A1B00" w:rsidRPr="008A6389" w:rsidRDefault="002A1B00" w:rsidP="002A1B00">
      <w:pPr>
        <w:pStyle w:val="Call"/>
      </w:pPr>
      <w:r w:rsidRPr="008A6389">
        <w:t>recordando</w:t>
      </w:r>
    </w:p>
    <w:p w:rsidR="002A1B00" w:rsidRPr="008A6389" w:rsidRDefault="002A1B00" w:rsidP="002A1B00">
      <w:r w:rsidRPr="008A6389">
        <w:rPr>
          <w:i/>
          <w:iCs/>
        </w:rPr>
        <w:t>a)</w:t>
      </w:r>
      <w:r w:rsidRPr="008A6389">
        <w:tab/>
        <w:t>el Artículo 25 de la Constitución de la UIT sobre las Conferencias Mundiales de Telecomunicaciones Internacionales (CMTI);</w:t>
      </w:r>
    </w:p>
    <w:p w:rsidR="002A1B00" w:rsidRPr="008A6389" w:rsidRDefault="002A1B00" w:rsidP="002A1B00">
      <w:r w:rsidRPr="008A6389">
        <w:rPr>
          <w:i/>
          <w:iCs/>
        </w:rPr>
        <w:t>b)</w:t>
      </w:r>
      <w:r w:rsidRPr="008A6389">
        <w:tab/>
        <w:t>el número 48 del Artículo 3 del Convenio de la UIT sobre otras Conferencias y Asambleas;</w:t>
      </w:r>
    </w:p>
    <w:p w:rsidR="002A1B00" w:rsidRPr="008A6389" w:rsidRDefault="002A1B00" w:rsidP="002A1B00">
      <w:r w:rsidRPr="008A6389">
        <w:rPr>
          <w:i/>
          <w:iCs/>
        </w:rPr>
        <w:t>c)</w:t>
      </w:r>
      <w:r w:rsidRPr="008A6389">
        <w:tab/>
        <w:t>la Resolución 4 (Dubái, 2012) de la CMTI sobre la revisión periódica del Reglamento de las Telecomunicaciones Internacionales (RTI);</w:t>
      </w:r>
    </w:p>
    <w:p w:rsidR="002A1B00" w:rsidRPr="008A6389" w:rsidRDefault="002A1B00" w:rsidP="002A1B00">
      <w:r w:rsidRPr="008A6389">
        <w:rPr>
          <w:i/>
          <w:iCs/>
        </w:rPr>
        <w:t>d)</w:t>
      </w:r>
      <w:r w:rsidRPr="008A6389">
        <w:tab/>
        <w:t>la Resolución 146 (</w:t>
      </w:r>
      <w:proofErr w:type="spellStart"/>
      <w:r w:rsidRPr="008A6389">
        <w:t>Busán</w:t>
      </w:r>
      <w:proofErr w:type="spellEnd"/>
      <w:r w:rsidRPr="008A6389">
        <w:t>, 2014) de la Conferencia de Plenipotenciarios sobre el examen periódico y la revisión del RTI;</w:t>
      </w:r>
    </w:p>
    <w:p w:rsidR="002A1B00" w:rsidRPr="008A6389" w:rsidRDefault="002A1B00" w:rsidP="002A1B00">
      <w:r w:rsidRPr="008A6389">
        <w:rPr>
          <w:i/>
          <w:iCs/>
        </w:rPr>
        <w:t>e)</w:t>
      </w:r>
      <w:r w:rsidRPr="008A6389">
        <w:tab/>
        <w:t>la Resolución 1379 del Consejo de la UIT, relativa al Grupo de Expertos sobre el Reglamento de las Telecomunicaciones Internacionales (GE-RTI),</w:t>
      </w:r>
    </w:p>
    <w:p w:rsidR="002A1B00" w:rsidRPr="008A6389" w:rsidRDefault="002A1B00" w:rsidP="002A1B00">
      <w:pPr>
        <w:pStyle w:val="Call"/>
      </w:pPr>
      <w:r w:rsidRPr="008A6389">
        <w:t>reconociendo</w:t>
      </w:r>
    </w:p>
    <w:p w:rsidR="002A1B00" w:rsidRPr="008A6389" w:rsidRDefault="002A1B00" w:rsidP="002A1B00">
      <w:r w:rsidRPr="008A6389">
        <w:rPr>
          <w:i/>
          <w:iCs/>
        </w:rPr>
        <w:t>a)</w:t>
      </w:r>
      <w:r w:rsidRPr="008A6389">
        <w:rPr>
          <w:i/>
          <w:iCs/>
        </w:rPr>
        <w:tab/>
      </w:r>
      <w:r w:rsidRPr="008A6389">
        <w:t xml:space="preserve">que, tal y como se indica en la Resolución 146 (Rev. </w:t>
      </w:r>
      <w:proofErr w:type="spellStart"/>
      <w:r w:rsidRPr="008A6389">
        <w:t>Busán</w:t>
      </w:r>
      <w:proofErr w:type="spellEnd"/>
      <w:r w:rsidRPr="008A6389">
        <w:t>, 2014), la mayor parte de la labor relativa al RTI está a cargo del Sector de Normalización de las Telecomunicaciones de la UIT (UIT-T);</w:t>
      </w:r>
    </w:p>
    <w:p w:rsidR="002A1B00" w:rsidRPr="008A6389" w:rsidRDefault="002A1B00" w:rsidP="002A1B00">
      <w:r w:rsidRPr="008A6389">
        <w:rPr>
          <w:i/>
          <w:iCs/>
        </w:rPr>
        <w:t>b)</w:t>
      </w:r>
      <w:r w:rsidRPr="008A6389">
        <w:tab/>
        <w:t>la importancia de las contribuciones de las Comisiones de Estudio del UIT-T al proceso de contribución del UIT-T al GE-RTI, cuando es necesario y según procede,</w:t>
      </w:r>
    </w:p>
    <w:p w:rsidR="002A1B00" w:rsidRPr="008A6389" w:rsidRDefault="002A1B00" w:rsidP="002A1B00">
      <w:pPr>
        <w:pStyle w:val="Call"/>
      </w:pPr>
      <w:r w:rsidRPr="008A6389">
        <w:t>considerando</w:t>
      </w:r>
    </w:p>
    <w:p w:rsidR="002A1B00" w:rsidRPr="008A6389" w:rsidRDefault="002A1B00" w:rsidP="002A1B00">
      <w:r w:rsidRPr="008A6389">
        <w:rPr>
          <w:i/>
          <w:iCs/>
        </w:rPr>
        <w:t>a)</w:t>
      </w:r>
      <w:r w:rsidRPr="008A6389">
        <w:tab/>
        <w:t>que el UIT-T desempeña un papel relevante en la resolución de los nuevos problemas que pueden surgir, incluso los derivados del cambio del entorno de telecomunicaciones/tecnologías de la información y la comunicación (TIC) mundial;</w:t>
      </w:r>
    </w:p>
    <w:p w:rsidR="002A1B00" w:rsidRPr="008A6389" w:rsidRDefault="002A1B00" w:rsidP="002A1B00">
      <w:r w:rsidRPr="008A6389">
        <w:rPr>
          <w:i/>
          <w:iCs/>
        </w:rPr>
        <w:t>b)</w:t>
      </w:r>
      <w:r w:rsidRPr="008A6389">
        <w:tab/>
        <w:t>que todos los Estados Miembros, así como los Miembros de Sector del UIT-T, deberían tener la oportunidad de aportar su contribución al trabajo sobre el RTI,</w:t>
      </w:r>
    </w:p>
    <w:p w:rsidR="002A1B00" w:rsidRPr="008A6389" w:rsidRDefault="002A1B00" w:rsidP="002A1B00">
      <w:pPr>
        <w:pStyle w:val="Call"/>
      </w:pPr>
      <w:r w:rsidRPr="008A6389">
        <w:t>resuelve encargar al Director de la Oficina de Normalización de las Telecomunicaciones</w:t>
      </w:r>
    </w:p>
    <w:p w:rsidR="002A1B00" w:rsidRPr="008A6389" w:rsidRDefault="002A1B00" w:rsidP="002A1B00">
      <w:r w:rsidRPr="008A6389">
        <w:t>1</w:t>
      </w:r>
      <w:r w:rsidRPr="008A6389">
        <w:tab/>
        <w:t>que inicie las actividades necesarias en el ámbito de competencias del Director para aplicar plenamente la Resolución 146 (</w:t>
      </w:r>
      <w:proofErr w:type="spellStart"/>
      <w:r w:rsidRPr="008A6389">
        <w:t>Busán</w:t>
      </w:r>
      <w:proofErr w:type="spellEnd"/>
      <w:r w:rsidRPr="008A6389">
        <w:t>, 2014) y la Resolución 1379 del Consejo;</w:t>
      </w:r>
    </w:p>
    <w:p w:rsidR="002A1B00" w:rsidRPr="008A6389" w:rsidRDefault="002A1B00" w:rsidP="002A1B00">
      <w:bookmarkStart w:id="12" w:name="lt_pId045"/>
      <w:r w:rsidRPr="008A6389">
        <w:t>2</w:t>
      </w:r>
      <w:r w:rsidRPr="008A6389">
        <w:tab/>
        <w:t>que presente el resultado de estas actividades al GE-RTI</w:t>
      </w:r>
      <w:bookmarkEnd w:id="12"/>
      <w:r w:rsidRPr="008A6389">
        <w:t>,</w:t>
      </w:r>
    </w:p>
    <w:p w:rsidR="002A1B00" w:rsidRPr="008A6389" w:rsidRDefault="002A1B00" w:rsidP="002A1B00">
      <w:r w:rsidRPr="008A6389">
        <w:br w:type="page"/>
      </w:r>
    </w:p>
    <w:p w:rsidR="002A1B00" w:rsidRPr="008A6389" w:rsidRDefault="002A1B00" w:rsidP="002A1B00">
      <w:pPr>
        <w:pStyle w:val="Call"/>
      </w:pPr>
      <w:r w:rsidRPr="008A6389">
        <w:lastRenderedPageBreak/>
        <w:t>encarga al Grupo Asesor de Normalización de las Telecomunicaciones</w:t>
      </w:r>
    </w:p>
    <w:p w:rsidR="002A1B00" w:rsidRPr="008A6389" w:rsidRDefault="002A1B00" w:rsidP="002A1B00">
      <w:r w:rsidRPr="008A6389">
        <w:t xml:space="preserve">que proporcione asesoramiento al Director de la Oficina de Normalización de las Telecomunicaciones con arreglo a la Resolución 146 (Rev. </w:t>
      </w:r>
      <w:proofErr w:type="spellStart"/>
      <w:r w:rsidRPr="008A6389">
        <w:t>Busán</w:t>
      </w:r>
      <w:proofErr w:type="spellEnd"/>
      <w:r w:rsidRPr="008A6389">
        <w:t>, 2014) y la Resolución 1379 del Consejo,</w:t>
      </w:r>
    </w:p>
    <w:p w:rsidR="002A1B00" w:rsidRPr="008A6389" w:rsidRDefault="002A1B00" w:rsidP="002A1B00">
      <w:pPr>
        <w:pStyle w:val="Call"/>
      </w:pPr>
      <w:r w:rsidRPr="008A6389">
        <w:t>invita a los Estados Miembros y Miembros de Sector</w:t>
      </w:r>
    </w:p>
    <w:p w:rsidR="002A1B00" w:rsidRPr="002A1B00" w:rsidRDefault="002A1B00" w:rsidP="002A1B00">
      <w:bookmarkStart w:id="13" w:name="lt_pId052"/>
      <w:r w:rsidRPr="008A6389">
        <w:t xml:space="preserve">a participar y </w:t>
      </w:r>
      <w:bookmarkEnd w:id="13"/>
      <w:r w:rsidRPr="008A6389">
        <w:t>contribuir a la aplicación de esta Resolución.</w:t>
      </w:r>
    </w:p>
    <w:p w:rsidR="006F5455" w:rsidRDefault="006F5455" w:rsidP="00A922AD"/>
    <w:p w:rsidR="002A1B00" w:rsidRDefault="002A1B00" w:rsidP="00A922AD"/>
    <w:p w:rsidR="002A1B00" w:rsidRDefault="002A1B00" w:rsidP="00A922AD"/>
    <w:p w:rsidR="002A1B00" w:rsidRDefault="002A1B00" w:rsidP="00A922AD"/>
    <w:p w:rsidR="002A1B00" w:rsidRDefault="002A1B00" w:rsidP="00A922AD"/>
    <w:p w:rsidR="002A1B00" w:rsidRDefault="002A1B00" w:rsidP="00A922AD"/>
    <w:p w:rsidR="002A1B00" w:rsidRDefault="002A1B00" w:rsidP="00A922AD"/>
    <w:p w:rsidR="002A1B00" w:rsidRDefault="002A1B00" w:rsidP="00A922AD"/>
    <w:p w:rsidR="002A1B00" w:rsidRDefault="002A1B00" w:rsidP="00A922AD"/>
    <w:p w:rsidR="002A1B00" w:rsidRDefault="002A1B00" w:rsidP="00A922AD">
      <w:bookmarkStart w:id="14" w:name="_GoBack"/>
      <w:bookmarkEnd w:id="14"/>
    </w:p>
    <w:p w:rsidR="002A1B00" w:rsidRDefault="002A1B00" w:rsidP="00A922AD"/>
    <w:p w:rsidR="002A1B00" w:rsidRDefault="002A1B00" w:rsidP="00A922AD"/>
    <w:p w:rsidR="002A1B00" w:rsidRDefault="002A1B00" w:rsidP="00A922AD"/>
    <w:p w:rsidR="002A1B00" w:rsidRDefault="002A1B00" w:rsidP="00A922AD"/>
    <w:p w:rsidR="002A1B00" w:rsidRDefault="002A1B00" w:rsidP="00A922AD"/>
    <w:p w:rsidR="002A1B00" w:rsidRDefault="002A1B00" w:rsidP="00A922AD"/>
    <w:p w:rsidR="002A1B00" w:rsidRDefault="002A1B00" w:rsidP="00A922AD"/>
    <w:p w:rsidR="002A1B00" w:rsidRPr="006F5DC8" w:rsidRDefault="002A1B00" w:rsidP="00A922AD"/>
    <w:sectPr w:rsidR="002A1B00" w:rsidRPr="006F5DC8" w:rsidSect="00A922AD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footnotePr>
        <w:pos w:val="beneathText"/>
      </w:footnotePr>
      <w:pgSz w:w="11907" w:h="16834" w:code="9"/>
      <w:pgMar w:top="1134" w:right="1134" w:bottom="1134" w:left="1134" w:header="567" w:footer="567" w:gutter="0"/>
      <w:pgNumType w:start="1"/>
      <w:cols w:space="720"/>
      <w:vAlign w:val="both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51F" w:rsidRDefault="0052251F">
      <w:r>
        <w:separator/>
      </w:r>
    </w:p>
  </w:endnote>
  <w:endnote w:type="continuationSeparator" w:id="0">
    <w:p w:rsidR="0052251F" w:rsidRDefault="00522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E7D" w:rsidRDefault="00877E7D" w:rsidP="00885482">
    <w:pPr>
      <w:pStyle w:val="FooterQP"/>
      <w:rPr>
        <w:lang w:val="en-US"/>
      </w:rPr>
    </w:pPr>
    <w:r w:rsidRPr="002D6EB1">
      <w:rPr>
        <w:b w:val="0"/>
      </w:rPr>
      <w:fldChar w:fldCharType="begin"/>
    </w:r>
    <w:r w:rsidRPr="00877E7D">
      <w:rPr>
        <w:b w:val="0"/>
        <w:lang w:val="es-ES"/>
      </w:rPr>
      <w:instrText xml:space="preserve"> PAGE  \* MERGEFORMAT </w:instrText>
    </w:r>
    <w:r w:rsidRPr="002D6EB1">
      <w:rPr>
        <w:b w:val="0"/>
      </w:rPr>
      <w:fldChar w:fldCharType="separate"/>
    </w:r>
    <w:r w:rsidR="007749CF">
      <w:rPr>
        <w:b w:val="0"/>
        <w:noProof/>
        <w:lang w:val="es-ES"/>
      </w:rPr>
      <w:t>2</w:t>
    </w:r>
    <w:r w:rsidRPr="002D6EB1">
      <w:rPr>
        <w:b w:val="0"/>
      </w:rPr>
      <w:fldChar w:fldCharType="end"/>
    </w:r>
    <w:r w:rsidRPr="00877E7D">
      <w:rPr>
        <w:lang w:val="es-ES"/>
      </w:rPr>
      <w:tab/>
    </w:r>
    <w:r>
      <w:t>AMNT</w:t>
    </w:r>
    <w:r w:rsidRPr="00877E7D">
      <w:rPr>
        <w:lang w:val="es-ES"/>
      </w:rPr>
      <w:t>-1</w:t>
    </w:r>
    <w:r w:rsidR="00885482">
      <w:rPr>
        <w:lang w:val="es-ES"/>
      </w:rPr>
      <w:t>6</w:t>
    </w:r>
    <w:r w:rsidRPr="00877E7D">
      <w:rPr>
        <w:lang w:val="es-ES"/>
      </w:rPr>
      <w:t xml:space="preserve"> –</w:t>
    </w:r>
    <w:r>
      <w:rPr>
        <w:lang w:val="es-ES"/>
      </w:rPr>
      <w:t xml:space="preserve"> </w:t>
    </w:r>
    <w:r w:rsidRPr="00877E7D">
      <w:rPr>
        <w:lang w:val="es-ES"/>
      </w:rPr>
      <w:t xml:space="preserve">Resolución </w:t>
    </w:r>
    <w:r w:rsidR="002A1B00">
      <w:rPr>
        <w:lang w:val="en-US"/>
      </w:rPr>
      <w:t>87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E7D" w:rsidRPr="00877E7D" w:rsidRDefault="00877E7D" w:rsidP="00877E7D">
    <w:pPr>
      <w:pStyle w:val="FooterQP"/>
      <w:rPr>
        <w:b w:val="0"/>
        <w:lang w:val="en-US"/>
      </w:rPr>
    </w:pPr>
    <w:r>
      <w:tab/>
    </w:r>
    <w:r>
      <w:tab/>
      <w:t>AMNT</w:t>
    </w:r>
    <w:r>
      <w:rPr>
        <w:lang w:val="en-US"/>
      </w:rPr>
      <w:t xml:space="preserve">-12 – </w:t>
    </w:r>
    <w:proofErr w:type="spellStart"/>
    <w:r>
      <w:rPr>
        <w:lang w:val="en-US"/>
      </w:rPr>
      <w:t>Resolución</w:t>
    </w:r>
    <w:proofErr w:type="spellEnd"/>
    <w:r>
      <w:rPr>
        <w:lang w:val="en-US"/>
      </w:rPr>
      <w:t xml:space="preserve"> 1</w:t>
    </w:r>
    <w:r>
      <w:rPr>
        <w:lang w:val="en-US"/>
      </w:rPr>
      <w:tab/>
    </w:r>
    <w:r>
      <w:rPr>
        <w:b w:val="0"/>
      </w:rPr>
      <w:fldChar w:fldCharType="begin"/>
    </w:r>
    <w:r>
      <w:rPr>
        <w:b w:val="0"/>
        <w:lang w:val="en-US"/>
      </w:rPr>
      <w:instrText xml:space="preserve"> PAGE  \* MERGEFORMAT </w:instrText>
    </w:r>
    <w:r>
      <w:rPr>
        <w:b w:val="0"/>
      </w:rPr>
      <w:fldChar w:fldCharType="separate"/>
    </w:r>
    <w:r w:rsidR="002A1B00">
      <w:rPr>
        <w:b w:val="0"/>
        <w:noProof/>
        <w:lang w:val="en-US"/>
      </w:rPr>
      <w:t>3</w:t>
    </w:r>
    <w:r>
      <w:rPr>
        <w:b w:val="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2AD" w:rsidRPr="00A922AD" w:rsidRDefault="00A922AD" w:rsidP="00A922AD">
    <w:pPr>
      <w:pStyle w:val="FooterQP"/>
      <w:rPr>
        <w:b w:val="0"/>
        <w:lang w:val="en-US"/>
      </w:rPr>
    </w:pPr>
    <w:r>
      <w:tab/>
    </w:r>
    <w:r>
      <w:tab/>
      <w:t>AMNT</w:t>
    </w:r>
    <w:r w:rsidR="002A1B00">
      <w:rPr>
        <w:lang w:val="en-US"/>
      </w:rPr>
      <w:t xml:space="preserve">-16 – </w:t>
    </w:r>
    <w:proofErr w:type="spellStart"/>
    <w:r w:rsidR="002A1B00">
      <w:rPr>
        <w:lang w:val="en-US"/>
      </w:rPr>
      <w:t>Resolución</w:t>
    </w:r>
    <w:proofErr w:type="spellEnd"/>
    <w:r w:rsidR="002A1B00">
      <w:rPr>
        <w:lang w:val="en-US"/>
      </w:rPr>
      <w:t xml:space="preserve"> 87</w:t>
    </w:r>
    <w:r>
      <w:rPr>
        <w:lang w:val="en-US"/>
      </w:rPr>
      <w:tab/>
    </w:r>
    <w:r>
      <w:rPr>
        <w:b w:val="0"/>
      </w:rPr>
      <w:fldChar w:fldCharType="begin"/>
    </w:r>
    <w:r>
      <w:rPr>
        <w:b w:val="0"/>
        <w:lang w:val="en-US"/>
      </w:rPr>
      <w:instrText xml:space="preserve"> PAGE  \* MERGEFORMAT </w:instrText>
    </w:r>
    <w:r>
      <w:rPr>
        <w:b w:val="0"/>
      </w:rPr>
      <w:fldChar w:fldCharType="separate"/>
    </w:r>
    <w:r w:rsidR="007749CF">
      <w:rPr>
        <w:b w:val="0"/>
        <w:noProof/>
        <w:lang w:val="en-US"/>
      </w:rPr>
      <w:t>1</w:t>
    </w:r>
    <w:r>
      <w:rPr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51F" w:rsidRDefault="0052251F">
      <w:r>
        <w:t>____________________</w:t>
      </w:r>
    </w:p>
  </w:footnote>
  <w:footnote w:type="continuationSeparator" w:id="0">
    <w:p w:rsidR="0052251F" w:rsidRDefault="005225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F26" w:rsidRPr="00D075E1" w:rsidRDefault="006D0F26" w:rsidP="00D075E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F26" w:rsidRPr="00D075E1" w:rsidRDefault="006D0F26" w:rsidP="00D075E1">
    <w:pPr>
      <w:pStyle w:val="Header"/>
      <w:rPr>
        <w:rStyle w:val="PageNumber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F7CFB4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202F9A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CE067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1262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F92A2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4A62B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128D86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1A8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BED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D7489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evenAndOddHeader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55"/>
    <w:rsid w:val="00011D16"/>
    <w:rsid w:val="00021556"/>
    <w:rsid w:val="00044B4D"/>
    <w:rsid w:val="00065BE4"/>
    <w:rsid w:val="00082EA6"/>
    <w:rsid w:val="00096419"/>
    <w:rsid w:val="000B08A1"/>
    <w:rsid w:val="000B3B7D"/>
    <w:rsid w:val="000E0592"/>
    <w:rsid w:val="000E0C3D"/>
    <w:rsid w:val="000E6A10"/>
    <w:rsid w:val="00104176"/>
    <w:rsid w:val="00104723"/>
    <w:rsid w:val="00104976"/>
    <w:rsid w:val="00115F55"/>
    <w:rsid w:val="001166BD"/>
    <w:rsid w:val="00153A2F"/>
    <w:rsid w:val="00160F88"/>
    <w:rsid w:val="00164FB0"/>
    <w:rsid w:val="001958EC"/>
    <w:rsid w:val="001C4D78"/>
    <w:rsid w:val="001E3C05"/>
    <w:rsid w:val="001E47B2"/>
    <w:rsid w:val="001F5708"/>
    <w:rsid w:val="001F7101"/>
    <w:rsid w:val="0021547F"/>
    <w:rsid w:val="00217CDB"/>
    <w:rsid w:val="00223031"/>
    <w:rsid w:val="00241D6F"/>
    <w:rsid w:val="00245661"/>
    <w:rsid w:val="00256525"/>
    <w:rsid w:val="00256F54"/>
    <w:rsid w:val="0029052C"/>
    <w:rsid w:val="00295585"/>
    <w:rsid w:val="002A1B00"/>
    <w:rsid w:val="00315C1E"/>
    <w:rsid w:val="003518D5"/>
    <w:rsid w:val="00372B66"/>
    <w:rsid w:val="00377687"/>
    <w:rsid w:val="003C2D00"/>
    <w:rsid w:val="003E33A8"/>
    <w:rsid w:val="003F0680"/>
    <w:rsid w:val="00400600"/>
    <w:rsid w:val="004442F6"/>
    <w:rsid w:val="00466E41"/>
    <w:rsid w:val="004F1EA7"/>
    <w:rsid w:val="0052251F"/>
    <w:rsid w:val="005330B1"/>
    <w:rsid w:val="005428C5"/>
    <w:rsid w:val="005435AA"/>
    <w:rsid w:val="0055021E"/>
    <w:rsid w:val="00585ED1"/>
    <w:rsid w:val="005A4F08"/>
    <w:rsid w:val="006349BE"/>
    <w:rsid w:val="00642735"/>
    <w:rsid w:val="00643BC7"/>
    <w:rsid w:val="00671751"/>
    <w:rsid w:val="006A2304"/>
    <w:rsid w:val="006C1E98"/>
    <w:rsid w:val="006C5ED6"/>
    <w:rsid w:val="006C62D4"/>
    <w:rsid w:val="006D0F26"/>
    <w:rsid w:val="006F5455"/>
    <w:rsid w:val="007057EE"/>
    <w:rsid w:val="00712378"/>
    <w:rsid w:val="00743611"/>
    <w:rsid w:val="007749CF"/>
    <w:rsid w:val="0079215F"/>
    <w:rsid w:val="007A0BE3"/>
    <w:rsid w:val="007B0D90"/>
    <w:rsid w:val="007C64E7"/>
    <w:rsid w:val="007C7F35"/>
    <w:rsid w:val="008028AE"/>
    <w:rsid w:val="00812CE2"/>
    <w:rsid w:val="008222EF"/>
    <w:rsid w:val="00831A21"/>
    <w:rsid w:val="00841271"/>
    <w:rsid w:val="00862C3A"/>
    <w:rsid w:val="00877E7D"/>
    <w:rsid w:val="00885482"/>
    <w:rsid w:val="00892A35"/>
    <w:rsid w:val="008B2002"/>
    <w:rsid w:val="008C6F85"/>
    <w:rsid w:val="008D5D1B"/>
    <w:rsid w:val="008D6B1E"/>
    <w:rsid w:val="008F7079"/>
    <w:rsid w:val="00906FCA"/>
    <w:rsid w:val="00917AD8"/>
    <w:rsid w:val="009215A0"/>
    <w:rsid w:val="009242C6"/>
    <w:rsid w:val="00946DF2"/>
    <w:rsid w:val="009560C3"/>
    <w:rsid w:val="009B4B48"/>
    <w:rsid w:val="009C06D6"/>
    <w:rsid w:val="009E4ACC"/>
    <w:rsid w:val="00A048CE"/>
    <w:rsid w:val="00A054FD"/>
    <w:rsid w:val="00A1158B"/>
    <w:rsid w:val="00A16E12"/>
    <w:rsid w:val="00A23640"/>
    <w:rsid w:val="00A300F8"/>
    <w:rsid w:val="00A31A3C"/>
    <w:rsid w:val="00A428C4"/>
    <w:rsid w:val="00A5029E"/>
    <w:rsid w:val="00A5430F"/>
    <w:rsid w:val="00A64176"/>
    <w:rsid w:val="00A762C1"/>
    <w:rsid w:val="00A7749A"/>
    <w:rsid w:val="00A922AD"/>
    <w:rsid w:val="00AD62D4"/>
    <w:rsid w:val="00B122C8"/>
    <w:rsid w:val="00B24C2D"/>
    <w:rsid w:val="00B31246"/>
    <w:rsid w:val="00B450BE"/>
    <w:rsid w:val="00B57627"/>
    <w:rsid w:val="00B96F52"/>
    <w:rsid w:val="00BD5BF5"/>
    <w:rsid w:val="00BE0A5C"/>
    <w:rsid w:val="00C028FA"/>
    <w:rsid w:val="00C10AF4"/>
    <w:rsid w:val="00C2286E"/>
    <w:rsid w:val="00C307BC"/>
    <w:rsid w:val="00C3111E"/>
    <w:rsid w:val="00C37FA4"/>
    <w:rsid w:val="00C87C51"/>
    <w:rsid w:val="00C92632"/>
    <w:rsid w:val="00C97C18"/>
    <w:rsid w:val="00CC2761"/>
    <w:rsid w:val="00CD1B1B"/>
    <w:rsid w:val="00CF15EA"/>
    <w:rsid w:val="00D075E1"/>
    <w:rsid w:val="00D13CDA"/>
    <w:rsid w:val="00D23B4C"/>
    <w:rsid w:val="00D460E6"/>
    <w:rsid w:val="00D5161F"/>
    <w:rsid w:val="00D74EFE"/>
    <w:rsid w:val="00D9465C"/>
    <w:rsid w:val="00D962F2"/>
    <w:rsid w:val="00D976F2"/>
    <w:rsid w:val="00DC4B81"/>
    <w:rsid w:val="00DD71D5"/>
    <w:rsid w:val="00DE4D43"/>
    <w:rsid w:val="00E16169"/>
    <w:rsid w:val="00E26A91"/>
    <w:rsid w:val="00E461D8"/>
    <w:rsid w:val="00E654F0"/>
    <w:rsid w:val="00E72AD0"/>
    <w:rsid w:val="00ED48FA"/>
    <w:rsid w:val="00EE233D"/>
    <w:rsid w:val="00F40D91"/>
    <w:rsid w:val="00F46759"/>
    <w:rsid w:val="00F517A1"/>
    <w:rsid w:val="00F56432"/>
    <w:rsid w:val="00F64291"/>
    <w:rsid w:val="00F72501"/>
    <w:rsid w:val="00F816C3"/>
    <w:rsid w:val="00F968E6"/>
    <w:rsid w:val="00FB6D55"/>
    <w:rsid w:val="00FD0876"/>
    <w:rsid w:val="00FD4011"/>
    <w:rsid w:val="00FD6CCF"/>
    <w:rsid w:val="00F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84553B84-8405-4C30-BD3A-4BFE1A0A9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5E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hAnsi="Times New Roman"/>
      <w:sz w:val="22"/>
      <w:lang w:val="es-ES_tradnl" w:eastAsia="en-US"/>
    </w:rPr>
  </w:style>
  <w:style w:type="paragraph" w:styleId="Heading1">
    <w:name w:val="heading 1"/>
    <w:basedOn w:val="Normal"/>
    <w:next w:val="Normal"/>
    <w:qFormat/>
    <w:rsid w:val="00082EA6"/>
    <w:pPr>
      <w:keepNext/>
      <w:keepLines/>
      <w:spacing w:before="360"/>
      <w:ind w:left="794" w:hanging="794"/>
      <w:jc w:val="left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rsid w:val="00082EA6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082EA6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082EA6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082EA6"/>
    <w:pPr>
      <w:outlineLvl w:val="4"/>
    </w:pPr>
  </w:style>
  <w:style w:type="paragraph" w:styleId="Heading6">
    <w:name w:val="heading 6"/>
    <w:basedOn w:val="Heading4"/>
    <w:next w:val="Normal"/>
    <w:qFormat/>
    <w:rsid w:val="00082EA6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082EA6"/>
    <w:pPr>
      <w:outlineLvl w:val="6"/>
    </w:pPr>
  </w:style>
  <w:style w:type="paragraph" w:styleId="Heading8">
    <w:name w:val="heading 8"/>
    <w:basedOn w:val="Heading6"/>
    <w:next w:val="Normal"/>
    <w:qFormat/>
    <w:rsid w:val="00082EA6"/>
    <w:pPr>
      <w:outlineLvl w:val="7"/>
    </w:pPr>
  </w:style>
  <w:style w:type="paragraph" w:styleId="Heading9">
    <w:name w:val="heading 9"/>
    <w:basedOn w:val="Heading6"/>
    <w:next w:val="Normal"/>
    <w:qFormat/>
    <w:rsid w:val="00082EA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082EA6"/>
  </w:style>
  <w:style w:type="paragraph" w:styleId="TOC4">
    <w:name w:val="toc 4"/>
    <w:basedOn w:val="TOC3"/>
    <w:semiHidden/>
    <w:rsid w:val="00082EA6"/>
  </w:style>
  <w:style w:type="paragraph" w:styleId="TOC3">
    <w:name w:val="toc 3"/>
    <w:basedOn w:val="TOC2"/>
    <w:semiHidden/>
    <w:rsid w:val="00082EA6"/>
  </w:style>
  <w:style w:type="paragraph" w:styleId="TOC2">
    <w:name w:val="toc 2"/>
    <w:basedOn w:val="TOC1"/>
    <w:semiHidden/>
    <w:rsid w:val="00082EA6"/>
    <w:pPr>
      <w:spacing w:before="80"/>
      <w:ind w:left="1531" w:hanging="851"/>
    </w:pPr>
  </w:style>
  <w:style w:type="paragraph" w:styleId="TOC1">
    <w:name w:val="toc 1"/>
    <w:basedOn w:val="Normal"/>
    <w:semiHidden/>
    <w:rsid w:val="00082EA6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082EA6"/>
  </w:style>
  <w:style w:type="paragraph" w:styleId="TOC6">
    <w:name w:val="toc 6"/>
    <w:basedOn w:val="TOC4"/>
    <w:semiHidden/>
    <w:rsid w:val="00082EA6"/>
  </w:style>
  <w:style w:type="paragraph" w:styleId="TOC5">
    <w:name w:val="toc 5"/>
    <w:basedOn w:val="TOC4"/>
    <w:semiHidden/>
    <w:rsid w:val="00082EA6"/>
  </w:style>
  <w:style w:type="paragraph" w:styleId="Footer">
    <w:name w:val="footer"/>
    <w:basedOn w:val="Normal"/>
    <w:link w:val="FooterChar"/>
    <w:uiPriority w:val="99"/>
    <w:rsid w:val="00082EA6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aliases w:val="h,Header/Footer"/>
    <w:basedOn w:val="Normal"/>
    <w:link w:val="HeaderChar"/>
    <w:uiPriority w:val="99"/>
    <w:rsid w:val="00082EA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styleId="FootnoteReference">
    <w:name w:val="footnote reference"/>
    <w:aliases w:val="Appel note de bas de p,Footnote Reference/"/>
    <w:uiPriority w:val="99"/>
    <w:rsid w:val="00082EA6"/>
    <w:rPr>
      <w:rFonts w:cs="Times New Roman"/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uiPriority w:val="99"/>
    <w:rsid w:val="00C3111E"/>
    <w:pPr>
      <w:keepLines/>
      <w:tabs>
        <w:tab w:val="left" w:pos="255"/>
      </w:tabs>
      <w:spacing w:before="80"/>
      <w:ind w:left="255" w:hanging="255"/>
    </w:pPr>
    <w:rPr>
      <w:sz w:val="20"/>
    </w:rPr>
  </w:style>
  <w:style w:type="paragraph" w:customStyle="1" w:styleId="Note">
    <w:name w:val="Note"/>
    <w:basedOn w:val="Normal"/>
    <w:rsid w:val="00223031"/>
    <w:pPr>
      <w:spacing w:before="80"/>
    </w:pPr>
    <w:rPr>
      <w:sz w:val="20"/>
    </w:rPr>
  </w:style>
  <w:style w:type="paragraph" w:customStyle="1" w:styleId="Section1">
    <w:name w:val="Section_1"/>
    <w:basedOn w:val="Normal"/>
    <w:next w:val="Normal"/>
    <w:rsid w:val="00082EA6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enumlev1">
    <w:name w:val="enumlev1"/>
    <w:basedOn w:val="Normal"/>
    <w:link w:val="enumlev1Char"/>
    <w:uiPriority w:val="99"/>
    <w:rsid w:val="00082EA6"/>
    <w:pPr>
      <w:spacing w:before="80"/>
      <w:ind w:left="794" w:hanging="794"/>
    </w:pPr>
  </w:style>
  <w:style w:type="paragraph" w:customStyle="1" w:styleId="enumlev2">
    <w:name w:val="enumlev2"/>
    <w:basedOn w:val="enumlev1"/>
    <w:rsid w:val="00082EA6"/>
    <w:pPr>
      <w:ind w:left="1191" w:hanging="397"/>
    </w:pPr>
  </w:style>
  <w:style w:type="paragraph" w:customStyle="1" w:styleId="enumlev3">
    <w:name w:val="enumlev3"/>
    <w:basedOn w:val="enumlev2"/>
    <w:rsid w:val="00082EA6"/>
    <w:pPr>
      <w:ind w:left="1588"/>
    </w:pPr>
  </w:style>
  <w:style w:type="paragraph" w:customStyle="1" w:styleId="Section2">
    <w:name w:val="Section_2"/>
    <w:basedOn w:val="Normal"/>
    <w:next w:val="Normal"/>
    <w:rsid w:val="00082EA6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Equation">
    <w:name w:val="Equation"/>
    <w:basedOn w:val="Normal"/>
    <w:rsid w:val="00082EA6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082EA6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082EA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es-ES_tradnl" w:eastAsia="en-US"/>
    </w:rPr>
  </w:style>
  <w:style w:type="paragraph" w:styleId="TOC9">
    <w:name w:val="toc 9"/>
    <w:basedOn w:val="TOC3"/>
    <w:semiHidden/>
    <w:rsid w:val="00082EA6"/>
  </w:style>
  <w:style w:type="paragraph" w:customStyle="1" w:styleId="Chaptitle">
    <w:name w:val="Chap_title"/>
    <w:basedOn w:val="Normal"/>
    <w:next w:val="Normalaftertitle"/>
    <w:rsid w:val="00082EA6"/>
    <w:pPr>
      <w:keepNext/>
      <w:keepLines/>
      <w:spacing w:before="240"/>
      <w:jc w:val="center"/>
    </w:pPr>
    <w:rPr>
      <w:b/>
      <w:sz w:val="28"/>
    </w:rPr>
  </w:style>
  <w:style w:type="paragraph" w:styleId="Index1">
    <w:name w:val="index 1"/>
    <w:basedOn w:val="Normal"/>
    <w:next w:val="Normal"/>
    <w:semiHidden/>
    <w:rsid w:val="00082EA6"/>
    <w:pPr>
      <w:jc w:val="left"/>
    </w:pPr>
  </w:style>
  <w:style w:type="paragraph" w:customStyle="1" w:styleId="Formal">
    <w:name w:val="Formal"/>
    <w:basedOn w:val="ASN1"/>
    <w:rsid w:val="00082EA6"/>
    <w:rPr>
      <w:b w:val="0"/>
    </w:rPr>
  </w:style>
  <w:style w:type="paragraph" w:customStyle="1" w:styleId="AnnexNoTitle">
    <w:name w:val="Annex_NoTitle"/>
    <w:basedOn w:val="Normal"/>
    <w:next w:val="Normalaftertitle"/>
    <w:rsid w:val="00082EA6"/>
    <w:pPr>
      <w:keepNext/>
      <w:keepLines/>
      <w:spacing w:before="720"/>
      <w:jc w:val="center"/>
    </w:pPr>
    <w:rPr>
      <w:b/>
      <w:sz w:val="28"/>
    </w:rPr>
  </w:style>
  <w:style w:type="character" w:customStyle="1" w:styleId="Appdef">
    <w:name w:val="App_def"/>
    <w:rsid w:val="00082EA6"/>
    <w:rPr>
      <w:rFonts w:ascii="Times New Roman" w:hAnsi="Times New Roman" w:cs="Times New Roman"/>
      <w:b/>
    </w:rPr>
  </w:style>
  <w:style w:type="character" w:customStyle="1" w:styleId="Appref">
    <w:name w:val="App_ref"/>
    <w:rsid w:val="00082EA6"/>
    <w:rPr>
      <w:rFonts w:cs="Times New Roman"/>
    </w:rPr>
  </w:style>
  <w:style w:type="paragraph" w:customStyle="1" w:styleId="AppendixNoTitle">
    <w:name w:val="Appendix_NoTitle"/>
    <w:basedOn w:val="AnnexNoTitle"/>
    <w:next w:val="Normalaftertitle"/>
    <w:rsid w:val="00082EA6"/>
  </w:style>
  <w:style w:type="character" w:customStyle="1" w:styleId="Artdef">
    <w:name w:val="Art_def"/>
    <w:rsid w:val="00082EA6"/>
    <w:rPr>
      <w:rFonts w:ascii="Times New Roman" w:hAnsi="Times New Roman" w:cs="Times New Roman"/>
      <w:b/>
    </w:rPr>
  </w:style>
  <w:style w:type="paragraph" w:customStyle="1" w:styleId="Artheading">
    <w:name w:val="Art_heading"/>
    <w:basedOn w:val="Normal"/>
    <w:next w:val="Normalaftertitle"/>
    <w:rsid w:val="00082EA6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082EA6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rsid w:val="00082EA6"/>
    <w:rPr>
      <w:rFonts w:cs="Times New Roman"/>
    </w:rPr>
  </w:style>
  <w:style w:type="paragraph" w:customStyle="1" w:styleId="Arttitle">
    <w:name w:val="Art_title"/>
    <w:basedOn w:val="Normal"/>
    <w:next w:val="Normalaftertitle"/>
    <w:rsid w:val="00082EA6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link w:val="CallChar"/>
    <w:rsid w:val="00082EA6"/>
    <w:pPr>
      <w:keepNext/>
      <w:keepLines/>
      <w:spacing w:before="16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082EA6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Equationlegend">
    <w:name w:val="Equation_legend"/>
    <w:basedOn w:val="Normal"/>
    <w:rsid w:val="00082EA6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uiPriority w:val="99"/>
    <w:rsid w:val="00082EA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link w:val="FigureChar"/>
    <w:rsid w:val="00082EA6"/>
    <w:pPr>
      <w:keepNext/>
      <w:keepLines/>
      <w:spacing w:before="240" w:after="120"/>
      <w:jc w:val="center"/>
    </w:pPr>
  </w:style>
  <w:style w:type="paragraph" w:customStyle="1" w:styleId="FigureNoTitle">
    <w:name w:val="Figure_NoTitle"/>
    <w:basedOn w:val="Normal"/>
    <w:next w:val="Normalaftertitle"/>
    <w:rsid w:val="00082EA6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082EA6"/>
    <w:pPr>
      <w:keepLines/>
      <w:spacing w:before="240" w:after="120"/>
      <w:jc w:val="center"/>
    </w:pPr>
  </w:style>
  <w:style w:type="paragraph" w:customStyle="1" w:styleId="FirstFooter">
    <w:name w:val="FirstFooter"/>
    <w:basedOn w:val="Footer"/>
    <w:rsid w:val="00082EA6"/>
    <w:pPr>
      <w:tabs>
        <w:tab w:val="clear" w:pos="5954"/>
        <w:tab w:val="clear" w:pos="9639"/>
      </w:tabs>
      <w:overflowPunct/>
      <w:autoSpaceDE/>
      <w:autoSpaceDN/>
      <w:adjustRightInd/>
      <w:spacing w:before="40"/>
      <w:jc w:val="left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link w:val="FooterQPChar"/>
    <w:rsid w:val="00082EA6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082EA6"/>
    <w:pPr>
      <w:keepNext/>
      <w:spacing w:before="160"/>
      <w:jc w:val="left"/>
    </w:pPr>
    <w:rPr>
      <w:b/>
    </w:rPr>
  </w:style>
  <w:style w:type="paragraph" w:customStyle="1" w:styleId="Headingi">
    <w:name w:val="Heading_i"/>
    <w:basedOn w:val="Normal"/>
    <w:next w:val="Normal"/>
    <w:rsid w:val="00082EA6"/>
    <w:pPr>
      <w:keepNext/>
      <w:spacing w:before="160"/>
      <w:jc w:val="left"/>
    </w:pPr>
    <w:rPr>
      <w:i/>
    </w:rPr>
  </w:style>
  <w:style w:type="paragraph" w:styleId="Index2">
    <w:name w:val="index 2"/>
    <w:basedOn w:val="Normal"/>
    <w:next w:val="Normal"/>
    <w:semiHidden/>
    <w:rsid w:val="00082EA6"/>
    <w:pPr>
      <w:ind w:left="284"/>
      <w:jc w:val="left"/>
    </w:pPr>
  </w:style>
  <w:style w:type="paragraph" w:styleId="Index3">
    <w:name w:val="index 3"/>
    <w:basedOn w:val="Normal"/>
    <w:next w:val="Normal"/>
    <w:semiHidden/>
    <w:rsid w:val="00082EA6"/>
    <w:pPr>
      <w:ind w:left="567"/>
      <w:jc w:val="left"/>
    </w:pPr>
  </w:style>
  <w:style w:type="paragraph" w:customStyle="1" w:styleId="Normalaftertitle">
    <w:name w:val="Normal_after_title"/>
    <w:basedOn w:val="Normal"/>
    <w:next w:val="Normal"/>
    <w:rsid w:val="00082EA6"/>
    <w:pPr>
      <w:spacing w:before="360"/>
    </w:pPr>
  </w:style>
  <w:style w:type="paragraph" w:customStyle="1" w:styleId="PartNo">
    <w:name w:val="Part_No"/>
    <w:basedOn w:val="Normal"/>
    <w:next w:val="Partref"/>
    <w:rsid w:val="00082EA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082EA6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082EA6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"/>
    <w:rsid w:val="00082EA6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082EA6"/>
  </w:style>
  <w:style w:type="paragraph" w:customStyle="1" w:styleId="RecNo">
    <w:name w:val="Rec_No"/>
    <w:basedOn w:val="Normal"/>
    <w:next w:val="Rectitle"/>
    <w:rsid w:val="00082EA6"/>
    <w:pPr>
      <w:keepNext/>
      <w:keepLines/>
      <w:spacing w:before="0"/>
      <w:jc w:val="left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082EA6"/>
  </w:style>
  <w:style w:type="paragraph" w:customStyle="1" w:styleId="Recref">
    <w:name w:val="Rec_ref"/>
    <w:basedOn w:val="Normal"/>
    <w:next w:val="Recdate"/>
    <w:rsid w:val="00082EA6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082EA6"/>
  </w:style>
  <w:style w:type="paragraph" w:customStyle="1" w:styleId="Rectitle">
    <w:name w:val="Rec_title"/>
    <w:basedOn w:val="Normal"/>
    <w:next w:val="Normalaftertitle"/>
    <w:rsid w:val="00082EA6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"/>
    <w:next w:val="Questionref"/>
    <w:rsid w:val="00082EA6"/>
  </w:style>
  <w:style w:type="paragraph" w:customStyle="1" w:styleId="Reftext">
    <w:name w:val="Ref_text"/>
    <w:basedOn w:val="Normal"/>
    <w:rsid w:val="00082EA6"/>
    <w:pPr>
      <w:ind w:left="794" w:hanging="794"/>
      <w:jc w:val="left"/>
    </w:pPr>
  </w:style>
  <w:style w:type="character" w:styleId="PageNumber">
    <w:name w:val="page number"/>
    <w:rsid w:val="00082EA6"/>
    <w:rPr>
      <w:rFonts w:cs="Times New Roman"/>
    </w:rPr>
  </w:style>
  <w:style w:type="paragraph" w:customStyle="1" w:styleId="Repdate">
    <w:name w:val="Rep_date"/>
    <w:basedOn w:val="Recdate"/>
    <w:next w:val="Normalaftertitle"/>
    <w:rsid w:val="00082EA6"/>
  </w:style>
  <w:style w:type="paragraph" w:customStyle="1" w:styleId="RepNo">
    <w:name w:val="Rep_No"/>
    <w:basedOn w:val="RecNo"/>
    <w:next w:val="Reptitle"/>
    <w:rsid w:val="00082EA6"/>
  </w:style>
  <w:style w:type="paragraph" w:customStyle="1" w:styleId="Repref">
    <w:name w:val="Rep_ref"/>
    <w:basedOn w:val="Recref"/>
    <w:next w:val="Repdate"/>
    <w:rsid w:val="00082EA6"/>
  </w:style>
  <w:style w:type="paragraph" w:customStyle="1" w:styleId="Reptitle">
    <w:name w:val="Rep_title"/>
    <w:basedOn w:val="Rectitle"/>
    <w:next w:val="Repref"/>
    <w:rsid w:val="00082EA6"/>
  </w:style>
  <w:style w:type="paragraph" w:customStyle="1" w:styleId="Resdate">
    <w:name w:val="Res_date"/>
    <w:basedOn w:val="Recdate"/>
    <w:next w:val="Normalaftertitle"/>
    <w:rsid w:val="00082EA6"/>
  </w:style>
  <w:style w:type="character" w:customStyle="1" w:styleId="Resdef">
    <w:name w:val="Res_def"/>
    <w:rsid w:val="00082EA6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Restitle"/>
    <w:link w:val="ResNoChar"/>
    <w:rsid w:val="00082EA6"/>
  </w:style>
  <w:style w:type="paragraph" w:customStyle="1" w:styleId="Resref">
    <w:name w:val="Res_ref"/>
    <w:basedOn w:val="Recref"/>
    <w:next w:val="Resdate"/>
    <w:qFormat/>
    <w:rsid w:val="00082EA6"/>
  </w:style>
  <w:style w:type="paragraph" w:customStyle="1" w:styleId="Restitle">
    <w:name w:val="Res_title"/>
    <w:basedOn w:val="Rectitle"/>
    <w:next w:val="Resref"/>
    <w:link w:val="RestitleChar"/>
    <w:rsid w:val="00082EA6"/>
  </w:style>
  <w:style w:type="paragraph" w:customStyle="1" w:styleId="SectionNo">
    <w:name w:val="Section_No"/>
    <w:basedOn w:val="Normal"/>
    <w:next w:val="Sectiontitle"/>
    <w:rsid w:val="00082EA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082EA6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082EA6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082EA6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character" w:customStyle="1" w:styleId="Tablefreq">
    <w:name w:val="Table_freq"/>
    <w:rsid w:val="00082EA6"/>
    <w:rPr>
      <w:rFonts w:cs="Times New Roman"/>
      <w:b/>
      <w:color w:val="auto"/>
    </w:rPr>
  </w:style>
  <w:style w:type="paragraph" w:customStyle="1" w:styleId="Tablehead">
    <w:name w:val="Table_head"/>
    <w:basedOn w:val="Normal"/>
    <w:next w:val="Tabletext"/>
    <w:link w:val="TableheadChar"/>
    <w:rsid w:val="00082EA6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legend">
    <w:name w:val="Table_legend"/>
    <w:basedOn w:val="Normal"/>
    <w:rsid w:val="00082EA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character" w:styleId="Hyperlink">
    <w:name w:val="Hyperlink"/>
    <w:rsid w:val="00082EA6"/>
    <w:rPr>
      <w:rFonts w:cs="Times New Roman"/>
      <w:color w:val="0000FF"/>
      <w:u w:val="single"/>
    </w:rPr>
  </w:style>
  <w:style w:type="paragraph" w:customStyle="1" w:styleId="Tabletext">
    <w:name w:val="Table_text"/>
    <w:basedOn w:val="Normal"/>
    <w:rsid w:val="00082EA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</w:style>
  <w:style w:type="paragraph" w:customStyle="1" w:styleId="TableNoTitle">
    <w:name w:val="Table_NoTitle"/>
    <w:basedOn w:val="Normal"/>
    <w:next w:val="Tablehead"/>
    <w:rsid w:val="00082EA6"/>
    <w:pPr>
      <w:keepNext/>
      <w:keepLines/>
      <w:spacing w:before="36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082EA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082EA6"/>
  </w:style>
  <w:style w:type="paragraph" w:customStyle="1" w:styleId="Title3">
    <w:name w:val="Title 3"/>
    <w:basedOn w:val="Title2"/>
    <w:next w:val="Title4"/>
    <w:rsid w:val="00082EA6"/>
    <w:rPr>
      <w:caps w:val="0"/>
    </w:rPr>
  </w:style>
  <w:style w:type="paragraph" w:customStyle="1" w:styleId="Title4">
    <w:name w:val="Title 4"/>
    <w:basedOn w:val="Title3"/>
    <w:next w:val="Heading1"/>
    <w:rsid w:val="00082EA6"/>
    <w:rPr>
      <w:b/>
    </w:rPr>
  </w:style>
  <w:style w:type="table" w:styleId="TableGrid">
    <w:name w:val="Table Grid"/>
    <w:basedOn w:val="TableNormal"/>
    <w:rsid w:val="00FB6D5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title">
    <w:name w:val="Ref_title"/>
    <w:basedOn w:val="Normal"/>
    <w:next w:val="Reftext"/>
    <w:rsid w:val="00082EA6"/>
    <w:pPr>
      <w:spacing w:before="480"/>
      <w:jc w:val="center"/>
    </w:pPr>
    <w:rPr>
      <w:b/>
    </w:rPr>
  </w:style>
  <w:style w:type="character" w:customStyle="1" w:styleId="TableheadChar">
    <w:name w:val="Table_head Char"/>
    <w:link w:val="Tablehead"/>
    <w:locked/>
    <w:rsid w:val="00BD5BF5"/>
    <w:rPr>
      <w:rFonts w:cs="Times New Roman"/>
      <w:b/>
      <w:sz w:val="22"/>
      <w:lang w:val="es-ES_tradnl" w:eastAsia="en-US" w:bidi="ar-SA"/>
    </w:rPr>
  </w:style>
  <w:style w:type="character" w:customStyle="1" w:styleId="FigureChar">
    <w:name w:val="Figure Char"/>
    <w:link w:val="Figure"/>
    <w:locked/>
    <w:rsid w:val="00065BE4"/>
    <w:rPr>
      <w:rFonts w:cs="Times New Roman"/>
      <w:sz w:val="24"/>
      <w:lang w:val="es-ES_tradnl" w:eastAsia="en-US" w:bidi="ar-SA"/>
    </w:rPr>
  </w:style>
  <w:style w:type="paragraph" w:customStyle="1" w:styleId="TableNotitle0">
    <w:name w:val="Table_No &amp; title"/>
    <w:basedOn w:val="Normal"/>
    <w:next w:val="Tablehead"/>
    <w:rsid w:val="00FB6D55"/>
    <w:pPr>
      <w:keepNext/>
      <w:keepLines/>
      <w:spacing w:before="360" w:after="120"/>
      <w:jc w:val="center"/>
    </w:pPr>
    <w:rPr>
      <w:b/>
    </w:rPr>
  </w:style>
  <w:style w:type="character" w:customStyle="1" w:styleId="Heading2Char">
    <w:name w:val="Heading 2 Char"/>
    <w:link w:val="Heading2"/>
    <w:locked/>
    <w:rsid w:val="00FB6D55"/>
    <w:rPr>
      <w:rFonts w:cs="Times New Roman"/>
      <w:b/>
      <w:sz w:val="24"/>
      <w:lang w:val="es-ES_tradnl" w:eastAsia="en-US" w:bidi="ar-SA"/>
    </w:rPr>
  </w:style>
  <w:style w:type="character" w:customStyle="1" w:styleId="enumlev1Char">
    <w:name w:val="enumlev1 Char"/>
    <w:link w:val="enumlev1"/>
    <w:uiPriority w:val="99"/>
    <w:locked/>
    <w:rsid w:val="00C87C51"/>
    <w:rPr>
      <w:rFonts w:cs="Times New Roman"/>
      <w:sz w:val="24"/>
      <w:lang w:val="es-ES_tradnl" w:eastAsia="en-US" w:bidi="ar-SA"/>
    </w:rPr>
  </w:style>
  <w:style w:type="paragraph" w:customStyle="1" w:styleId="TableText0">
    <w:name w:val="Table_Text"/>
    <w:basedOn w:val="Normal"/>
    <w:rsid w:val="00FB6D5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</w:style>
  <w:style w:type="paragraph" w:customStyle="1" w:styleId="TableHead0">
    <w:name w:val="Table_Head"/>
    <w:basedOn w:val="TableText0"/>
    <w:rsid w:val="00FB6D55"/>
    <w:pPr>
      <w:spacing w:before="80" w:after="80"/>
      <w:jc w:val="center"/>
    </w:pPr>
    <w:rPr>
      <w:b/>
    </w:rPr>
  </w:style>
  <w:style w:type="character" w:customStyle="1" w:styleId="FooterQPChar">
    <w:name w:val="Footer_QP Char"/>
    <w:link w:val="FooterQP"/>
    <w:locked/>
    <w:rsid w:val="00C87C51"/>
    <w:rPr>
      <w:rFonts w:cs="Times New Roman"/>
      <w:b/>
      <w:sz w:val="22"/>
      <w:lang w:val="es-ES_tradnl" w:eastAsia="en-US" w:bidi="ar-SA"/>
    </w:rPr>
  </w:style>
  <w:style w:type="character" w:customStyle="1" w:styleId="FooterChar">
    <w:name w:val="Footer Char"/>
    <w:link w:val="Footer"/>
    <w:uiPriority w:val="99"/>
    <w:rsid w:val="006F5455"/>
    <w:rPr>
      <w:rFonts w:ascii="Times New Roman" w:hAnsi="Times New Roman"/>
      <w:caps/>
      <w:noProof/>
      <w:sz w:val="16"/>
      <w:lang w:val="es-ES_tradnl" w:eastAsia="en-US"/>
    </w:rPr>
  </w:style>
  <w:style w:type="character" w:customStyle="1" w:styleId="HeaderChar">
    <w:name w:val="Header Char"/>
    <w:aliases w:val="h Char,Header/Footer Char"/>
    <w:link w:val="Header"/>
    <w:uiPriority w:val="99"/>
    <w:rsid w:val="006F5455"/>
    <w:rPr>
      <w:rFonts w:ascii="Times New Roman" w:hAnsi="Times New Roman"/>
      <w:sz w:val="18"/>
      <w:lang w:val="es-ES_tradnl" w:eastAsia="en-US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link w:val="FootnoteText"/>
    <w:uiPriority w:val="99"/>
    <w:rsid w:val="00C3111E"/>
    <w:rPr>
      <w:rFonts w:ascii="Times New Roman" w:hAnsi="Times New Roman"/>
      <w:lang w:val="es-ES_tradnl" w:eastAsia="en-US"/>
    </w:rPr>
  </w:style>
  <w:style w:type="character" w:customStyle="1" w:styleId="CallChar">
    <w:name w:val="Call Char"/>
    <w:link w:val="Call"/>
    <w:rsid w:val="006F5455"/>
    <w:rPr>
      <w:rFonts w:ascii="Times New Roman" w:hAnsi="Times New Roman"/>
      <w:i/>
      <w:sz w:val="24"/>
      <w:lang w:val="es-ES_tradnl" w:eastAsia="en-US"/>
    </w:rPr>
  </w:style>
  <w:style w:type="character" w:customStyle="1" w:styleId="RestitleChar">
    <w:name w:val="Res_title Char"/>
    <w:link w:val="Restitle"/>
    <w:rsid w:val="006F5455"/>
    <w:rPr>
      <w:rFonts w:ascii="Times New Roman" w:hAnsi="Times New Roman"/>
      <w:b/>
      <w:sz w:val="28"/>
      <w:lang w:val="es-ES_tradnl" w:eastAsia="en-US"/>
    </w:rPr>
  </w:style>
  <w:style w:type="character" w:customStyle="1" w:styleId="ResNoChar">
    <w:name w:val="Res_No Char"/>
    <w:link w:val="ResNo"/>
    <w:rsid w:val="006F5455"/>
    <w:rPr>
      <w:rFonts w:ascii="Times New Roman" w:hAnsi="Times New Roman"/>
      <w:b/>
      <w:sz w:val="28"/>
      <w:lang w:val="es-ES_tradnl" w:eastAsia="en-US"/>
    </w:rPr>
  </w:style>
  <w:style w:type="character" w:customStyle="1" w:styleId="href">
    <w:name w:val="href"/>
    <w:uiPriority w:val="99"/>
    <w:rsid w:val="006F5455"/>
  </w:style>
  <w:style w:type="paragraph" w:customStyle="1" w:styleId="AppendixNo">
    <w:name w:val="Appendix_No"/>
    <w:basedOn w:val="Normal"/>
    <w:next w:val="Normal"/>
    <w:rsid w:val="006F5455"/>
    <w:pPr>
      <w:keepNext/>
      <w:keepLines/>
      <w:spacing w:before="480" w:after="80"/>
      <w:jc w:val="center"/>
    </w:pPr>
    <w:rPr>
      <w:caps/>
      <w:sz w:val="28"/>
      <w:lang w:val="en-GB"/>
    </w:rPr>
  </w:style>
  <w:style w:type="paragraph" w:customStyle="1" w:styleId="Appendixtitle">
    <w:name w:val="Appendix_title"/>
    <w:basedOn w:val="Normal"/>
    <w:next w:val="Normal"/>
    <w:uiPriority w:val="99"/>
    <w:rsid w:val="006F5455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  <w:lang w:val="en-GB"/>
    </w:rPr>
  </w:style>
  <w:style w:type="paragraph" w:customStyle="1" w:styleId="FigureNo">
    <w:name w:val="Figure_No"/>
    <w:basedOn w:val="Normal"/>
    <w:next w:val="Figuretitle"/>
    <w:rsid w:val="006F5455"/>
    <w:pPr>
      <w:keepNext/>
      <w:keepLines/>
      <w:spacing w:before="480" w:after="120"/>
      <w:jc w:val="center"/>
    </w:pPr>
    <w:rPr>
      <w:caps/>
      <w:lang w:val="en-GB"/>
    </w:rPr>
  </w:style>
  <w:style w:type="paragraph" w:customStyle="1" w:styleId="Figuretitle">
    <w:name w:val="Figure_title"/>
    <w:basedOn w:val="Normal"/>
    <w:next w:val="Normal"/>
    <w:uiPriority w:val="99"/>
    <w:rsid w:val="006F5455"/>
    <w:pPr>
      <w:keepLines/>
      <w:spacing w:before="0" w:after="480"/>
      <w:jc w:val="center"/>
    </w:pPr>
    <w:rPr>
      <w:rFonts w:ascii="Times New Roman Bold" w:hAnsi="Times New Roman Bold"/>
      <w:b/>
      <w:lang w:val="en-GB"/>
    </w:rPr>
  </w:style>
  <w:style w:type="paragraph" w:styleId="NormalWeb">
    <w:name w:val="Normal (Web)"/>
    <w:basedOn w:val="Normal"/>
    <w:uiPriority w:val="99"/>
    <w:unhideWhenUsed/>
    <w:rsid w:val="006F5455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Normalaftertitle0">
    <w:name w:val="Normal after title"/>
    <w:basedOn w:val="Normal"/>
    <w:next w:val="Normal"/>
    <w:link w:val="NormalaftertitleChar"/>
    <w:rsid w:val="006F5455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  <w:rPr>
      <w:lang w:val="en-GB"/>
    </w:rPr>
  </w:style>
  <w:style w:type="character" w:customStyle="1" w:styleId="NormalaftertitleChar">
    <w:name w:val="Normal after title Char"/>
    <w:link w:val="Normalaftertitle0"/>
    <w:locked/>
    <w:rsid w:val="006F5455"/>
    <w:rPr>
      <w:rFonts w:ascii="Times New Roman" w:hAnsi="Times New Roman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tiner\Application%20Data\Microsoft\Templates\QuickPub%20-%20ITU\QP-Piano\QPUB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QPUBS.dot</Template>
  <TotalTime>7</TotalTime>
  <Pages>4</Pages>
  <Words>620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UIT-T Rec. E.802 (02/2007) Marco y metodología para la determinación y la aplicación de parámetros de calidad de servicio</vt:lpstr>
    </vt:vector>
  </TitlesOfParts>
  <Company>ITU</Company>
  <LinksUpToDate>false</LinksUpToDate>
  <CharactersWithSpaces>4119</CharactersWithSpaces>
  <SharedDoc>false</SharedDoc>
  <HLinks>
    <vt:vector size="6" baseType="variant">
      <vt:variant>
        <vt:i4>5832768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 T/ipr/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UIT-T Rec. E.802 (02/2007) Marco y metodología para la determinación y la aplicación de parámetros de calidad de servicio</dc:title>
  <dc:subject>SERIE E: EXPLOTACIÓN GENERAL DE LA RED, SERVICIO TELEFÓNICO, EXPLOTACIÓN DEL SERVICIO Y FACTORES HUMANOS - Calidad de los servicios de telecomunicación: conceptos, modelos, objetivos, planificación de la seguridad de funcionamiento – Términos y definicion</dc:subject>
  <dc:creator>ITU-T</dc:creator>
  <cp:keywords>E.802,E,802</cp:keywords>
  <dc:description>Saved by MRG106308 at 10:22:31 on 06.12.2007</dc:description>
  <cp:lastModifiedBy>Catalano Moreira, Rossana</cp:lastModifiedBy>
  <cp:revision>4</cp:revision>
  <cp:lastPrinted>2016-12-13T15:23:00Z</cp:lastPrinted>
  <dcterms:created xsi:type="dcterms:W3CDTF">2016-12-14T10:46:00Z</dcterms:created>
  <dcterms:modified xsi:type="dcterms:W3CDTF">2016-12-14T10:52:00Z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E.802</vt:lpwstr>
  </property>
  <property fmtid="{D5CDD505-2E9C-101B-9397-08002B2CF9AE}" pid="3" name="docdate">
    <vt:lpwstr>8 de febrero de 2007</vt:lpwstr>
  </property>
  <property fmtid="{D5CDD505-2E9C-101B-9397-08002B2CF9AE}" pid="4" name="doctitle">
    <vt:lpwstr>Marco y metodología para la determinación y la aplicación de parámetros de calidad de servicio</vt:lpwstr>
  </property>
  <property fmtid="{D5CDD505-2E9C-101B-9397-08002B2CF9AE}" pid="5" name="doctitle2">
    <vt:lpwstr>SERIE E: EXPLOTACIÓN GENERAL DE LA RED, SERVICIO TELEFÓNICO, EXPLOTACIÓN DEL SERVICIO Y FACTORES HUMANOS Calidad de los servicios de telecomunicación: conceptos, modelos, objetivos, planificación de la seguridad de funcionamiento – Términos y definiciones</vt:lpwstr>
  </property>
</Properties>
</file>