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33681A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77777777" w:rsidR="00EA2A26" w:rsidRPr="0033681A" w:rsidRDefault="00EA2A26" w:rsidP="00A3085D">
            <w:pPr>
              <w:spacing w:before="60"/>
              <w:rPr>
                <w:rFonts w:ascii="Arial" w:eastAsia="Avenir Next W1G Medium" w:hAnsi="Arial" w:cs="Arial"/>
                <w:noProof/>
                <w:szCs w:val="24"/>
              </w:rPr>
            </w:pPr>
            <w:bookmarkStart w:id="0" w:name="c2tope"/>
            <w:bookmarkEnd w:id="0"/>
            <w:r w:rsidRPr="0033681A">
              <w:rPr>
                <w:rFonts w:ascii="Arial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 w:rsidRPr="0033681A">
              <w:rPr>
                <w:rFonts w:ascii="Arial" w:hAnsi="Arial" w:cs="Arial"/>
                <w:b/>
                <w:color w:val="292829"/>
                <w:spacing w:val="-4"/>
                <w:sz w:val="32"/>
                <w:szCs w:val="32"/>
              </w:rPr>
              <w:t>Publications</w:t>
            </w:r>
          </w:p>
        </w:tc>
        <w:tc>
          <w:tcPr>
            <w:tcW w:w="5670" w:type="dxa"/>
          </w:tcPr>
          <w:p w14:paraId="0E9475D3" w14:textId="4988F2A4" w:rsidR="00EA2A26" w:rsidRPr="00EA2A26" w:rsidRDefault="00347EE0" w:rsidP="00A3085D">
            <w:pPr>
              <w:spacing w:before="6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r w:rsidRPr="00347EE0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</w:rPr>
              <w:t>Unión Internacional de Telecomunicaciones</w:t>
            </w:r>
          </w:p>
        </w:tc>
      </w:tr>
      <w:tr w:rsidR="00EA2A26" w:rsidRPr="0033681A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32FCBD5F" w:rsidR="00EA2A26" w:rsidRPr="00EA2A26" w:rsidRDefault="00347EE0" w:rsidP="00367A2B">
            <w:pPr>
              <w:spacing w:before="0"/>
              <w:rPr>
                <w:rFonts w:ascii="Arial" w:eastAsia="Avenir Next W1G Medium" w:hAnsi="Arial" w:cs="Arial"/>
                <w:sz w:val="24"/>
                <w:szCs w:val="24"/>
              </w:rPr>
            </w:pPr>
            <w:r>
              <w:rPr>
                <w:rFonts w:ascii="Arial" w:eastAsia="Avenir Next W1G Medium" w:hAnsi="Arial" w:cs="Arial"/>
                <w:sz w:val="24"/>
                <w:szCs w:val="24"/>
              </w:rPr>
              <w:t>Resoluciones</w:t>
            </w:r>
          </w:p>
        </w:tc>
        <w:tc>
          <w:tcPr>
            <w:tcW w:w="5670" w:type="dxa"/>
          </w:tcPr>
          <w:p w14:paraId="20539D5B" w14:textId="66840162" w:rsidR="00EA2A26" w:rsidRPr="00EA2A26" w:rsidRDefault="00347EE0" w:rsidP="00367A2B">
            <w:pPr>
              <w:spacing w:before="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r w:rsidRPr="00347EE0">
              <w:rPr>
                <w:rFonts w:ascii="Arial" w:eastAsia="Avenir Next W1G Medium" w:hAnsi="Arial" w:cs="Arial"/>
                <w:sz w:val="24"/>
                <w:szCs w:val="24"/>
              </w:rPr>
              <w:t>Sector de Normalización</w:t>
            </w:r>
          </w:p>
        </w:tc>
      </w:tr>
      <w:tr w:rsidR="00EA2A26" w:rsidRPr="0033681A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33681A" w:rsidRDefault="00EA2A26" w:rsidP="00367A2B">
            <w:pPr>
              <w:pStyle w:val="BodyText"/>
              <w:spacing w:before="440"/>
              <w:rPr>
                <w:b w:val="0"/>
                <w:bCs w:val="0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613D5C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613D5C" w:rsidRDefault="00EA2A26" w:rsidP="00367A2B">
            <w:pPr>
              <w:pStyle w:val="BodyText"/>
              <w:spacing w:before="120" w:after="240"/>
              <w:rPr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5F3155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77777777" w:rsidR="00EA2A26" w:rsidRPr="00613D5C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03CBABCB" w:rsidR="00EA2A26" w:rsidRPr="00623DDD" w:rsidRDefault="00347EE0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 w:line="240" w:lineRule="auto"/>
              <w:jc w:val="left"/>
              <w:textAlignment w:val="auto"/>
              <w:rPr>
                <w:rFonts w:ascii="Arial" w:hAnsi="Arial" w:cs="Arial"/>
                <w:sz w:val="36"/>
                <w:szCs w:val="36"/>
                <w:lang w:val="es-ES"/>
              </w:rPr>
            </w:pPr>
            <w:r w:rsidRPr="00623DDD">
              <w:rPr>
                <w:rFonts w:ascii="Arial" w:hAnsi="Arial" w:cs="Arial"/>
                <w:sz w:val="36"/>
                <w:szCs w:val="36"/>
                <w:lang w:val="es-ES"/>
              </w:rPr>
              <w:t xml:space="preserve">ASAMBLEA MUNDIAL DE NORMALIZACIÓN DE LAS TELECOMUNICACIONES </w:t>
            </w:r>
            <w:r w:rsidR="00EA2A26" w:rsidRPr="00623DDD">
              <w:rPr>
                <w:rFonts w:ascii="Arial" w:hAnsi="Arial" w:cs="Arial"/>
                <w:sz w:val="36"/>
                <w:szCs w:val="36"/>
                <w:lang w:val="es-ES"/>
              </w:rPr>
              <w:br/>
            </w:r>
            <w:r w:rsidR="00DA3784" w:rsidRPr="00DA3784">
              <w:rPr>
                <w:rFonts w:ascii="Arial" w:hAnsi="Arial" w:cs="Arial"/>
                <w:sz w:val="36"/>
                <w:szCs w:val="36"/>
                <w:lang w:val="es-ES"/>
              </w:rPr>
              <w:t xml:space="preserve">Hammamet, 25 </w:t>
            </w:r>
            <w:r w:rsidR="00DA3784">
              <w:rPr>
                <w:rFonts w:ascii="Arial" w:hAnsi="Arial" w:cs="Arial"/>
                <w:sz w:val="36"/>
                <w:szCs w:val="36"/>
                <w:lang w:val="es-ES"/>
              </w:rPr>
              <w:t xml:space="preserve">de octubre </w:t>
            </w:r>
            <w:r w:rsidR="00DA3784" w:rsidRPr="00DA3784">
              <w:rPr>
                <w:rFonts w:ascii="Arial" w:hAnsi="Arial" w:cs="Arial"/>
                <w:sz w:val="36"/>
                <w:szCs w:val="36"/>
                <w:lang w:val="es-ES"/>
              </w:rPr>
              <w:t xml:space="preserve">– 3 </w:t>
            </w:r>
            <w:r w:rsidR="00DA3784">
              <w:rPr>
                <w:rFonts w:ascii="Arial" w:hAnsi="Arial" w:cs="Arial"/>
                <w:sz w:val="36"/>
                <w:szCs w:val="36"/>
                <w:lang w:val="es-ES"/>
              </w:rPr>
              <w:t xml:space="preserve">de noviembre de </w:t>
            </w:r>
            <w:r w:rsidR="00DA3784" w:rsidRPr="00DA3784">
              <w:rPr>
                <w:rFonts w:ascii="Arial" w:hAnsi="Arial" w:cs="Arial"/>
                <w:sz w:val="36"/>
                <w:szCs w:val="36"/>
                <w:lang w:val="es-ES"/>
              </w:rPr>
              <w:t>2016</w:t>
            </w:r>
          </w:p>
          <w:p w14:paraId="318F1603" w14:textId="77777777" w:rsidR="00EA2A26" w:rsidRPr="00623DDD" w:rsidRDefault="00EA2A26" w:rsidP="00367A2B">
            <w:pPr>
              <w:rPr>
                <w:lang w:val="es-ES"/>
              </w:rPr>
            </w:pPr>
          </w:p>
        </w:tc>
      </w:tr>
      <w:tr w:rsidR="00EA2A26" w:rsidRPr="005F3155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623DDD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es-ES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25E04AFB" w:rsidR="00EA2A26" w:rsidRPr="00760D05" w:rsidRDefault="00347EE0" w:rsidP="00791F4B">
            <w:pPr>
              <w:pStyle w:val="BodyText"/>
              <w:spacing w:before="440" w:line="240" w:lineRule="auto"/>
              <w:jc w:val="left"/>
              <w:rPr>
                <w:spacing w:val="-6"/>
                <w:sz w:val="44"/>
                <w:szCs w:val="44"/>
                <w:lang w:val="es-ES"/>
              </w:rPr>
            </w:pPr>
            <w:r w:rsidRPr="00791F4B">
              <w:rPr>
                <w:spacing w:val="-6"/>
                <w:sz w:val="44"/>
                <w:szCs w:val="44"/>
                <w:lang w:val="es-ES"/>
              </w:rPr>
              <w:t>Resolución</w:t>
            </w:r>
            <w:r w:rsidR="00EA2A26" w:rsidRPr="00791F4B">
              <w:rPr>
                <w:spacing w:val="-6"/>
                <w:sz w:val="44"/>
                <w:szCs w:val="44"/>
                <w:lang w:val="es-ES"/>
              </w:rPr>
              <w:t xml:space="preserve"> </w:t>
            </w:r>
            <w:r w:rsidR="00623DDD" w:rsidRPr="00791F4B">
              <w:rPr>
                <w:spacing w:val="-6"/>
                <w:sz w:val="44"/>
                <w:szCs w:val="44"/>
                <w:lang w:val="es-ES"/>
              </w:rPr>
              <w:t>8</w:t>
            </w:r>
            <w:r w:rsidR="005C4AC6">
              <w:rPr>
                <w:spacing w:val="-6"/>
                <w:sz w:val="44"/>
                <w:szCs w:val="44"/>
                <w:lang w:val="es-ES"/>
              </w:rPr>
              <w:t>6</w:t>
            </w:r>
            <w:r w:rsidR="00845E8E" w:rsidRPr="00791F4B">
              <w:rPr>
                <w:spacing w:val="-6"/>
                <w:sz w:val="44"/>
                <w:szCs w:val="44"/>
                <w:lang w:val="es-ES"/>
              </w:rPr>
              <w:t xml:space="preserve"> –</w:t>
            </w:r>
            <w:r w:rsidR="00791F4B" w:rsidRPr="00791F4B">
              <w:rPr>
                <w:sz w:val="44"/>
                <w:szCs w:val="44"/>
                <w:lang w:val="es-ES"/>
              </w:rPr>
              <w:t xml:space="preserve"> </w:t>
            </w:r>
            <w:r w:rsidR="00760D05" w:rsidRPr="00760D05">
              <w:rPr>
                <w:spacing w:val="-6"/>
                <w:sz w:val="44"/>
                <w:szCs w:val="44"/>
                <w:lang w:val="es-ES"/>
              </w:rPr>
              <w:t>Facilitar la aplicación del Manifiesto Smart Africa</w:t>
            </w:r>
          </w:p>
          <w:p w14:paraId="51262F1D" w14:textId="77777777" w:rsidR="00EA2A26" w:rsidRPr="00791F4B" w:rsidRDefault="00EA2A26" w:rsidP="00367A2B">
            <w:pPr>
              <w:rPr>
                <w:lang w:val="es-ES"/>
              </w:rPr>
            </w:pPr>
          </w:p>
        </w:tc>
      </w:tr>
    </w:tbl>
    <w:p w14:paraId="7800F3B2" w14:textId="77777777" w:rsidR="00EA2A26" w:rsidRPr="00791F4B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val="es-ES"/>
        </w:rPr>
      </w:pPr>
      <w:r w:rsidRPr="0033681A">
        <w:rPr>
          <w:rFonts w:ascii="Arial" w:eastAsia="Avenir Next W1G Medium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33681A">
        <w:rPr>
          <w:noProof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791F4B" w:rsidRDefault="00EA2A26" w:rsidP="00EA2A26">
      <w:pPr>
        <w:jc w:val="left"/>
        <w:rPr>
          <w:lang w:val="es-ES"/>
        </w:rPr>
        <w:sectPr w:rsidR="00EA2A26" w:rsidRPr="00791F4B" w:rsidSect="00EA2A26">
          <w:headerReference w:type="even" r:id="rId8"/>
          <w:headerReference w:type="default" r:id="rId9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4E8E85DC" w14:textId="7A3BA8F4" w:rsidR="008968B6" w:rsidRPr="00623DDD" w:rsidRDefault="00347EE0" w:rsidP="00AA1264">
      <w:pPr>
        <w:spacing w:before="480" w:line="240" w:lineRule="auto"/>
        <w:jc w:val="center"/>
        <w:rPr>
          <w:lang w:val="es-ES"/>
        </w:rPr>
      </w:pPr>
      <w:bookmarkStart w:id="1" w:name="irecnoe"/>
      <w:bookmarkEnd w:id="1"/>
      <w:r w:rsidRPr="00623DDD">
        <w:rPr>
          <w:lang w:val="es-ES"/>
        </w:rPr>
        <w:lastRenderedPageBreak/>
        <w:t>PREFACIO</w:t>
      </w:r>
    </w:p>
    <w:p w14:paraId="224BFE8E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La Unión Internacional de Telecomunicaciones (UIT) es el organismo especializado de las Naciones Unidas en el campo de las telecomunicaciones y de las tecnologías de la información y la comunicación. El Sector de Normalización de las Telecomunicaciones de la UIT (UIT-T) es un órgano permanente de la UIT. Este órgano estudia los aspectos técnicos, de explotación y tarifarios y publica Recomendaciones sobre los mismos, con miras a la normalización de las telecomunicaciones en el plano mundial.</w:t>
      </w:r>
    </w:p>
    <w:p w14:paraId="58714A47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La Asamblea Mundial de Normalización de las Telecomunicaciones (AMNT), que se celebra cada cuatro años, establece los temas que han de estudiar las Comisiones de Estudio del UIT-T, que a su vez producen Recomendaciones sobre dichos temas.</w:t>
      </w:r>
    </w:p>
    <w:p w14:paraId="0D3B6495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La aprobación de Recomendaciones por los Miembros del UIT-T es el objeto del procedimiento establecido en la Resolución 1 de la AMNT.</w:t>
      </w:r>
    </w:p>
    <w:p w14:paraId="3A8E52FD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En ciertos sectores de la tecnología de la información que corresponden a la esfera de competencia del UIT-T, se preparan las normas necesarias en colaboración con la ISO y la CEI.</w:t>
      </w:r>
    </w:p>
    <w:p w14:paraId="192371AE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7FCCDABA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70F00C73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441A93C9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4AA4512C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CCAE5F2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2EE42A0A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022D9329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297330FC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432B0A04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652C1D75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687301D2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F19B9D8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38FB642B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F3E9127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3E533C3E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A3ADD69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5F4CB22D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C5C488F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B58521F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5D96A7C5" w14:textId="77777777" w:rsidR="000E4393" w:rsidRPr="00623DDD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77AF2A3F" w14:textId="77777777" w:rsidR="00AA1264" w:rsidRPr="00623DDD" w:rsidRDefault="00AA1264" w:rsidP="000E4393">
      <w:pPr>
        <w:spacing w:line="240" w:lineRule="exact"/>
        <w:jc w:val="center"/>
        <w:rPr>
          <w:sz w:val="20"/>
          <w:lang w:val="es-ES"/>
        </w:rPr>
      </w:pPr>
    </w:p>
    <w:p w14:paraId="39F6B1E2" w14:textId="77777777" w:rsidR="00EA2A26" w:rsidRPr="00623DDD" w:rsidRDefault="00EA2A26" w:rsidP="00EA2A26">
      <w:pPr>
        <w:spacing w:before="120" w:line="240" w:lineRule="auto"/>
        <w:rPr>
          <w:sz w:val="20"/>
          <w:lang w:val="es-ES"/>
        </w:rPr>
      </w:pPr>
    </w:p>
    <w:p w14:paraId="4812ECBE" w14:textId="08A1EC14" w:rsidR="00EA2A26" w:rsidRPr="00623DDD" w:rsidRDefault="00EA2A26" w:rsidP="00EA2A26">
      <w:pPr>
        <w:spacing w:before="120" w:line="240" w:lineRule="auto"/>
        <w:jc w:val="center"/>
        <w:rPr>
          <w:sz w:val="20"/>
          <w:lang w:val="es-ES"/>
        </w:rPr>
      </w:pPr>
      <w:r w:rsidRPr="00EA2A26">
        <w:rPr>
          <w:sz w:val="20"/>
          <w:lang w:val="en-GB"/>
        </w:rPr>
        <w:sym w:font="Symbol" w:char="F0E3"/>
      </w:r>
      <w:r w:rsidRPr="00623DDD">
        <w:rPr>
          <w:sz w:val="20"/>
          <w:lang w:val="es-ES"/>
        </w:rPr>
        <w:t> </w:t>
      </w:r>
      <w:r w:rsidR="00423BC5" w:rsidRPr="00623DDD">
        <w:rPr>
          <w:sz w:val="20"/>
          <w:lang w:val="es-ES"/>
        </w:rPr>
        <w:t>UIT</w:t>
      </w:r>
      <w:r w:rsidRPr="00623DDD">
        <w:rPr>
          <w:sz w:val="20"/>
          <w:lang w:val="es-ES"/>
        </w:rPr>
        <w:t> 20</w:t>
      </w:r>
      <w:r w:rsidR="009C3A66">
        <w:rPr>
          <w:sz w:val="20"/>
          <w:lang w:val="es-ES"/>
        </w:rPr>
        <w:t>16</w:t>
      </w:r>
    </w:p>
    <w:p w14:paraId="1528F7EE" w14:textId="77777777" w:rsidR="00F93FB5" w:rsidRPr="00623DDD" w:rsidRDefault="00F93FB5" w:rsidP="00EC0141">
      <w:pPr>
        <w:spacing w:before="120" w:line="240" w:lineRule="auto"/>
        <w:jc w:val="center"/>
        <w:rPr>
          <w:sz w:val="20"/>
          <w:lang w:val="es-ES"/>
        </w:rPr>
      </w:pPr>
      <w:r w:rsidRPr="003A60A2">
        <w:rPr>
          <w:sz w:val="20"/>
          <w:lang w:val="es-ES"/>
        </w:rPr>
        <w:t>Esta resolución se volvió a publicar en 2024 para actualizar la portada. No se introdujeron otras modificaciones.</w:t>
      </w:r>
    </w:p>
    <w:p w14:paraId="5A25B5AD" w14:textId="5FBC302A" w:rsidR="008968B6" w:rsidRPr="00623DDD" w:rsidRDefault="00F93FB5" w:rsidP="00F93FB5">
      <w:pPr>
        <w:spacing w:before="120" w:line="240" w:lineRule="auto"/>
        <w:rPr>
          <w:lang w:val="es-ES"/>
        </w:rPr>
      </w:pPr>
      <w:r w:rsidRPr="00623DDD">
        <w:rPr>
          <w:sz w:val="20"/>
          <w:lang w:val="es-ES"/>
        </w:rPr>
        <w:t>Reservados todos los derechos. Ninguna parte de esta publicación puede reproducirse por ningún procedimiento sin previa autorización escrita por parte de la UIT.</w:t>
      </w:r>
    </w:p>
    <w:p w14:paraId="73B79B51" w14:textId="77777777" w:rsidR="00B73379" w:rsidRPr="00623DDD" w:rsidRDefault="00B73379" w:rsidP="003374BB">
      <w:pPr>
        <w:pStyle w:val="ResNo"/>
        <w:rPr>
          <w:lang w:val="es-ES"/>
        </w:rPr>
        <w:sectPr w:rsidR="00B73379" w:rsidRPr="00623DDD" w:rsidSect="00DE48B4">
          <w:headerReference w:type="even" r:id="rId10"/>
          <w:footerReference w:type="even" r:id="rId11"/>
          <w:footerReference w:type="default" r:id="rId12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65CE5AB9" w14:textId="2F0D2297" w:rsidR="00AA1264" w:rsidRPr="00965A02" w:rsidRDefault="00347EE0" w:rsidP="00AA1264">
      <w:pPr>
        <w:pStyle w:val="ResNo"/>
        <w:rPr>
          <w:lang w:val="es-ES"/>
        </w:rPr>
      </w:pPr>
      <w:r w:rsidRPr="00965A02">
        <w:rPr>
          <w:lang w:val="es-ES"/>
        </w:rPr>
        <w:lastRenderedPageBreak/>
        <w:t>RESOLUCIÓN</w:t>
      </w:r>
      <w:r w:rsidR="00AA1264" w:rsidRPr="00965A02">
        <w:rPr>
          <w:lang w:val="es-ES"/>
        </w:rPr>
        <w:t xml:space="preserve"> </w:t>
      </w:r>
      <w:r w:rsidR="009C3A66" w:rsidRPr="00965A02">
        <w:rPr>
          <w:rStyle w:val="href"/>
          <w:lang w:val="es-ES"/>
        </w:rPr>
        <w:t>8</w:t>
      </w:r>
      <w:r w:rsidR="005C4AC6">
        <w:rPr>
          <w:rStyle w:val="href"/>
          <w:lang w:val="es-ES"/>
        </w:rPr>
        <w:t>6</w:t>
      </w:r>
      <w:r w:rsidR="00AA1264" w:rsidRPr="00965A02">
        <w:rPr>
          <w:lang w:val="es-ES"/>
        </w:rPr>
        <w:t xml:space="preserve"> </w:t>
      </w:r>
      <w:r w:rsidR="009C3A66" w:rsidRPr="00965A02">
        <w:rPr>
          <w:lang w:val="es-ES"/>
        </w:rPr>
        <w:t>(H</w:t>
      </w:r>
      <w:r w:rsidR="009C3A66" w:rsidRPr="00965A02">
        <w:rPr>
          <w:caps w:val="0"/>
          <w:lang w:val="es-ES"/>
        </w:rPr>
        <w:t>ammamet</w:t>
      </w:r>
      <w:r w:rsidR="009C3A66" w:rsidRPr="00965A02">
        <w:rPr>
          <w:lang w:val="es-ES"/>
        </w:rPr>
        <w:t>, 2016)</w:t>
      </w:r>
    </w:p>
    <w:p w14:paraId="0A08EFA3" w14:textId="77777777" w:rsidR="00082325" w:rsidRPr="00082325" w:rsidRDefault="00082325" w:rsidP="00082325">
      <w:pPr>
        <w:pStyle w:val="Restitle"/>
        <w:rPr>
          <w:lang w:val="es-ES"/>
        </w:rPr>
      </w:pPr>
      <w:r w:rsidRPr="00082325">
        <w:rPr>
          <w:lang w:val="es-ES"/>
        </w:rPr>
        <w:t>Facilitar la aplicación del Manifiesto Smart Africa</w:t>
      </w:r>
    </w:p>
    <w:p w14:paraId="13DDE648" w14:textId="77777777" w:rsidR="00082325" w:rsidRPr="00082325" w:rsidRDefault="00082325" w:rsidP="00082325">
      <w:pPr>
        <w:pStyle w:val="Resref"/>
        <w:rPr>
          <w:lang w:val="es-ES"/>
        </w:rPr>
      </w:pPr>
      <w:r w:rsidRPr="00082325">
        <w:rPr>
          <w:lang w:val="es-ES"/>
        </w:rPr>
        <w:t>(Hammamet, 2016)</w:t>
      </w:r>
    </w:p>
    <w:p w14:paraId="42D8161F" w14:textId="77777777" w:rsidR="00082325" w:rsidRPr="00086C28" w:rsidRDefault="00082325" w:rsidP="00082325">
      <w:pPr>
        <w:pStyle w:val="Normalaftertitle0"/>
        <w:rPr>
          <w:lang w:val="es-ES_tradnl"/>
        </w:rPr>
      </w:pPr>
      <w:r w:rsidRPr="00086C28">
        <w:rPr>
          <w:lang w:val="es-ES_tradnl"/>
        </w:rPr>
        <w:t>La Asamblea Mundial de Normalización de las Telecomunicaciones (Hammamet, 2016),</w:t>
      </w:r>
    </w:p>
    <w:p w14:paraId="76D5856A" w14:textId="77777777" w:rsidR="00082325" w:rsidRPr="00082325" w:rsidRDefault="00082325" w:rsidP="00082325">
      <w:pPr>
        <w:pStyle w:val="Call"/>
        <w:rPr>
          <w:lang w:val="es-ES"/>
        </w:rPr>
      </w:pPr>
      <w:r w:rsidRPr="00082325">
        <w:rPr>
          <w:lang w:val="es-ES"/>
        </w:rPr>
        <w:t>recordando</w:t>
      </w:r>
    </w:p>
    <w:p w14:paraId="786C31C2" w14:textId="77777777" w:rsidR="00082325" w:rsidRPr="00082325" w:rsidRDefault="00082325" w:rsidP="00082325">
      <w:pPr>
        <w:rPr>
          <w:lang w:val="es-ES"/>
        </w:rPr>
      </w:pPr>
      <w:r w:rsidRPr="00082325">
        <w:rPr>
          <w:i/>
          <w:iCs/>
          <w:lang w:val="es-ES"/>
        </w:rPr>
        <w:t>a)</w:t>
      </w:r>
      <w:r w:rsidRPr="00082325">
        <w:rPr>
          <w:lang w:val="es-ES"/>
        </w:rPr>
        <w:tab/>
        <w:t>la Resolución 195 (Busán, 2014) de la Conferencia de Plenipotenciarios, relativa a la aplicación del Manifiesto Smart Africa;</w:t>
      </w:r>
    </w:p>
    <w:p w14:paraId="69BDE239" w14:textId="77777777" w:rsidR="00082325" w:rsidRPr="00082325" w:rsidRDefault="00082325" w:rsidP="00082325">
      <w:pPr>
        <w:rPr>
          <w:lang w:val="es-ES"/>
        </w:rPr>
      </w:pPr>
      <w:r w:rsidRPr="00082325">
        <w:rPr>
          <w:i/>
          <w:iCs/>
          <w:lang w:val="es-ES"/>
        </w:rPr>
        <w:t>b)</w:t>
      </w:r>
      <w:r w:rsidRPr="00082325">
        <w:rPr>
          <w:lang w:val="es-ES"/>
        </w:rPr>
        <w:tab/>
        <w:t>la Resolución 197 (Busán, 2014) de la Conferencia de Plenipotenciarios, relativa a la facilitación de la Internet de las cosas como preparación para un mundo globalmente conectado;</w:t>
      </w:r>
    </w:p>
    <w:p w14:paraId="349CA390" w14:textId="77777777" w:rsidR="00082325" w:rsidRPr="00082325" w:rsidRDefault="00082325" w:rsidP="00082325">
      <w:pPr>
        <w:rPr>
          <w:lang w:val="es-ES"/>
        </w:rPr>
      </w:pPr>
      <w:r w:rsidRPr="00082325">
        <w:rPr>
          <w:i/>
          <w:iCs/>
          <w:lang w:val="es-ES"/>
        </w:rPr>
        <w:t>c)</w:t>
      </w:r>
      <w:r w:rsidRPr="00082325">
        <w:rPr>
          <w:lang w:val="es-ES"/>
        </w:rPr>
        <w:tab/>
        <w:t>que es de la máxima importancia que los países en desarrollo</w:t>
      </w:r>
      <w:r w:rsidRPr="00082325">
        <w:rPr>
          <w:rStyle w:val="FootnoteReference"/>
          <w:lang w:val="es-ES"/>
        </w:rPr>
        <w:footnoteReference w:customMarkFollows="1" w:id="1"/>
        <w:t>1</w:t>
      </w:r>
      <w:r w:rsidRPr="00082325">
        <w:rPr>
          <w:lang w:val="es-ES"/>
        </w:rPr>
        <w:t xml:space="preserve"> participen activamente y contribuyan a la elaboración de las normas de telecomunicaciones/tecnologías de la información y la comunicación (TIC),</w:t>
      </w:r>
    </w:p>
    <w:p w14:paraId="783B92A4" w14:textId="77777777" w:rsidR="00082325" w:rsidRPr="00082325" w:rsidRDefault="00082325" w:rsidP="00082325">
      <w:pPr>
        <w:pStyle w:val="Call"/>
        <w:rPr>
          <w:lang w:val="es-ES"/>
        </w:rPr>
      </w:pPr>
      <w:r w:rsidRPr="00082325">
        <w:rPr>
          <w:lang w:val="es-ES"/>
        </w:rPr>
        <w:t>considerando</w:t>
      </w:r>
    </w:p>
    <w:p w14:paraId="20759AC9" w14:textId="77777777" w:rsidR="00082325" w:rsidRPr="00082325" w:rsidRDefault="00082325" w:rsidP="00082325">
      <w:pPr>
        <w:rPr>
          <w:lang w:val="es-ES"/>
        </w:rPr>
      </w:pPr>
      <w:r w:rsidRPr="00082325">
        <w:rPr>
          <w:i/>
          <w:iCs/>
          <w:lang w:val="es-ES"/>
        </w:rPr>
        <w:t>a)</w:t>
      </w:r>
      <w:r w:rsidRPr="00082325">
        <w:rPr>
          <w:lang w:val="es-ES"/>
        </w:rPr>
        <w:tab/>
        <w:t>la Resolución 30 (Rev. Busán, 2014) de la Conferencia de Plenipotenciarios, relativa a las medidas especiales en favor de los países menos adelantados, los pequeños Estados insulares en desarrollo, los países en desarrollo sin litoral y los países con economías en transición;</w:t>
      </w:r>
    </w:p>
    <w:p w14:paraId="5ABFD893" w14:textId="77777777" w:rsidR="00082325" w:rsidRPr="00082325" w:rsidRDefault="00082325" w:rsidP="00082325">
      <w:pPr>
        <w:rPr>
          <w:lang w:val="es-ES"/>
        </w:rPr>
      </w:pPr>
      <w:r w:rsidRPr="00082325">
        <w:rPr>
          <w:i/>
          <w:iCs/>
          <w:lang w:val="es-ES"/>
        </w:rPr>
        <w:t>b)</w:t>
      </w:r>
      <w:r w:rsidRPr="00082325">
        <w:rPr>
          <w:lang w:val="es-ES"/>
        </w:rPr>
        <w:tab/>
        <w:t>que en virtud del Plan Estratégico de la Unión para 2016-2019, el Sector de Normalización de las Telecomunicaciones de la UIT (UIT-T) ha de "proporcionar apoyo y asistencia a los países en desarrollo en la reducción de la brecha en materia de normalización por lo que se refiere a asuntos relacionados con la normalización, infraestructuras y aplicaciones de las redes de información y comunicación, y los correspondientes materiales de capacitación para la creación de capacidades, teniendo en cuenta las características del entorno de las telecomunicaciones de los países en desarrollo";</w:t>
      </w:r>
    </w:p>
    <w:p w14:paraId="0CE46B27" w14:textId="77777777" w:rsidR="00082325" w:rsidRPr="00082325" w:rsidRDefault="00082325" w:rsidP="00082325">
      <w:pPr>
        <w:rPr>
          <w:lang w:val="es-ES"/>
        </w:rPr>
      </w:pPr>
      <w:r w:rsidRPr="00082325">
        <w:rPr>
          <w:i/>
          <w:iCs/>
          <w:lang w:val="es-ES"/>
        </w:rPr>
        <w:t>c)</w:t>
      </w:r>
      <w:r w:rsidRPr="00082325">
        <w:rPr>
          <w:lang w:val="es-ES"/>
        </w:rPr>
        <w:tab/>
        <w:t>que varios sectores industriales, entre ellos los relativos a la energía, el transporte, la sanidad, la agricultura, la gestión de catástrofes, la seguridad pública y las redes domésticas, dependerán de redes y tecnologías de comunicaciones incipientes;</w:t>
      </w:r>
    </w:p>
    <w:p w14:paraId="31EF724A" w14:textId="77777777" w:rsidR="00082325" w:rsidRPr="00082325" w:rsidRDefault="00082325" w:rsidP="00082325">
      <w:pPr>
        <w:rPr>
          <w:lang w:val="es-ES"/>
        </w:rPr>
      </w:pPr>
      <w:r w:rsidRPr="00082325">
        <w:rPr>
          <w:i/>
          <w:iCs/>
          <w:lang w:val="es-ES"/>
        </w:rPr>
        <w:t>d)</w:t>
      </w:r>
      <w:r w:rsidRPr="00082325">
        <w:rPr>
          <w:lang w:val="es-ES"/>
        </w:rPr>
        <w:tab/>
        <w:t>que en la Resolución 1353 del Consejo de la UIT se reconoce que las telecomunicaciones/TIC son componentes esenciales para que los países desarrollados y los países en desarrollo alcancen un desarrollo sostenible, y se encarga al Secretario General, en colaboración con los Directores de las Oficinas, que identifique las nuevas actividades que debe emprender la UIT para ayudar a los países en desarrollo a lograr el desarrollo sostenible a través de las telecomunicaciones y las TIC,</w:t>
      </w:r>
    </w:p>
    <w:p w14:paraId="06B44A47" w14:textId="77777777" w:rsidR="00082325" w:rsidRPr="00082325" w:rsidRDefault="00082325" w:rsidP="00082325">
      <w:pPr>
        <w:pStyle w:val="Call"/>
        <w:rPr>
          <w:lang w:val="es-ES"/>
        </w:rPr>
      </w:pPr>
      <w:r w:rsidRPr="00082325">
        <w:rPr>
          <w:lang w:val="es-ES"/>
        </w:rPr>
        <w:t>teniendo en cuenta</w:t>
      </w:r>
    </w:p>
    <w:p w14:paraId="4D922D81" w14:textId="77777777" w:rsidR="00082325" w:rsidRPr="00082325" w:rsidRDefault="00082325" w:rsidP="00082325">
      <w:pPr>
        <w:rPr>
          <w:lang w:val="es-ES"/>
        </w:rPr>
      </w:pPr>
      <w:r w:rsidRPr="00082325">
        <w:rPr>
          <w:lang w:val="es-ES"/>
        </w:rPr>
        <w:t>el mandato de la secretaría de Smart Africa, que está en consonancia con los objetivos de la Unión para países en desarrollo,</w:t>
      </w:r>
    </w:p>
    <w:p w14:paraId="7BE8920A" w14:textId="77777777" w:rsidR="00082325" w:rsidRPr="00082325" w:rsidRDefault="00082325" w:rsidP="00082325">
      <w:pPr>
        <w:pStyle w:val="Call"/>
        <w:rPr>
          <w:lang w:val="es-ES"/>
        </w:rPr>
      </w:pPr>
      <w:r w:rsidRPr="00082325">
        <w:rPr>
          <w:lang w:val="es-ES"/>
        </w:rPr>
        <w:t>reconociendo</w:t>
      </w:r>
    </w:p>
    <w:p w14:paraId="24378438" w14:textId="77777777" w:rsidR="00082325" w:rsidRPr="00082325" w:rsidRDefault="00082325" w:rsidP="00082325">
      <w:pPr>
        <w:rPr>
          <w:lang w:val="es-ES"/>
        </w:rPr>
      </w:pPr>
      <w:r w:rsidRPr="00082325">
        <w:rPr>
          <w:i/>
          <w:iCs/>
          <w:lang w:val="es-ES"/>
        </w:rPr>
        <w:t>a)</w:t>
      </w:r>
      <w:r w:rsidRPr="00082325">
        <w:rPr>
          <w:lang w:val="es-ES"/>
        </w:rPr>
        <w:tab/>
        <w:t>que los Estados miembros, organizaciones asociadas y asociados del sector privado de Smart Africa que ejecutan diversos proyectos necesitan normas;</w:t>
      </w:r>
    </w:p>
    <w:p w14:paraId="00D8121E" w14:textId="77777777" w:rsidR="00082325" w:rsidRPr="00082325" w:rsidRDefault="00082325" w:rsidP="00082325">
      <w:pPr>
        <w:rPr>
          <w:lang w:val="es-ES"/>
        </w:rPr>
      </w:pPr>
      <w:r w:rsidRPr="00082325">
        <w:rPr>
          <w:i/>
          <w:iCs/>
          <w:lang w:val="es-ES"/>
        </w:rPr>
        <w:t>b)</w:t>
      </w:r>
      <w:r w:rsidRPr="00082325">
        <w:rPr>
          <w:lang w:val="es-ES"/>
        </w:rPr>
        <w:tab/>
        <w:t>que el UIT-T es responsable de los trabajos de normalización relativos a tecnologías incipientes,</w:t>
      </w:r>
    </w:p>
    <w:p w14:paraId="7C3BBE18" w14:textId="77777777" w:rsidR="00082325" w:rsidRPr="00082325" w:rsidRDefault="00082325" w:rsidP="00082325">
      <w:pPr>
        <w:pStyle w:val="Call"/>
        <w:rPr>
          <w:lang w:val="es-ES"/>
        </w:rPr>
      </w:pPr>
      <w:r w:rsidRPr="00082325">
        <w:rPr>
          <w:lang w:val="es-ES"/>
        </w:rPr>
        <w:lastRenderedPageBreak/>
        <w:t>resuelve invitar a las Comisiones de Estudio del Sector de Normalización de Telecomunicaciones de la UIT</w:t>
      </w:r>
    </w:p>
    <w:p w14:paraId="1AF89D93" w14:textId="77777777" w:rsidR="00082325" w:rsidRPr="00082325" w:rsidRDefault="00082325" w:rsidP="00082325">
      <w:pPr>
        <w:rPr>
          <w:lang w:val="es-ES"/>
        </w:rPr>
      </w:pPr>
      <w:r w:rsidRPr="00082325">
        <w:rPr>
          <w:lang w:val="es-ES"/>
        </w:rPr>
        <w:t>1</w:t>
      </w:r>
      <w:r w:rsidRPr="00082325">
        <w:rPr>
          <w:lang w:val="es-ES"/>
        </w:rPr>
        <w:tab/>
        <w:t>a elaborar Recomendaciones del UIT-T destinadas a aplicar tecnologías incipientes, teniendo particularmente en cuenta a los países en desarrollo;</w:t>
      </w:r>
    </w:p>
    <w:p w14:paraId="4EC1E359" w14:textId="77777777" w:rsidR="00082325" w:rsidRPr="00082325" w:rsidRDefault="00082325" w:rsidP="00082325">
      <w:pPr>
        <w:rPr>
          <w:lang w:val="es-ES"/>
        </w:rPr>
      </w:pPr>
      <w:r w:rsidRPr="00082325">
        <w:rPr>
          <w:lang w:val="es-ES"/>
        </w:rPr>
        <w:t>2</w:t>
      </w:r>
      <w:r w:rsidRPr="00082325">
        <w:rPr>
          <w:lang w:val="es-ES"/>
        </w:rPr>
        <w:tab/>
        <w:t>a colaborar con la oficina de Smart Africa en lo que respecta a normas relacionadas con tecnologías incipientes, insistiendo particularmente en casos y posibilidades de utilización en países en desarrollo mediante reuniones, foros, talleres, etc. regionales,</w:t>
      </w:r>
    </w:p>
    <w:p w14:paraId="7F3BAA17" w14:textId="77777777" w:rsidR="00082325" w:rsidRPr="00082325" w:rsidRDefault="00082325" w:rsidP="00082325">
      <w:pPr>
        <w:pStyle w:val="Call"/>
        <w:rPr>
          <w:lang w:val="es-ES"/>
        </w:rPr>
      </w:pPr>
      <w:r w:rsidRPr="00082325">
        <w:rPr>
          <w:lang w:val="es-ES"/>
        </w:rPr>
        <w:t>encarga al Director de la Oficina de Normalización de las Telecomunicaciones en colaboración con el Director de la Oficina de Desarrollo de las Telecomunicaciones</w:t>
      </w:r>
    </w:p>
    <w:p w14:paraId="2EF92F9D" w14:textId="77777777" w:rsidR="00082325" w:rsidRPr="00082325" w:rsidRDefault="00082325" w:rsidP="00082325">
      <w:pPr>
        <w:rPr>
          <w:lang w:val="es-ES"/>
        </w:rPr>
      </w:pPr>
      <w:r w:rsidRPr="00082325">
        <w:rPr>
          <w:lang w:val="es-ES"/>
        </w:rPr>
        <w:t>1</w:t>
      </w:r>
      <w:r w:rsidRPr="00082325">
        <w:rPr>
          <w:lang w:val="es-ES"/>
        </w:rPr>
        <w:tab/>
        <w:t>que establezca mecanismos de colaboración y cooperación entre las Comisiones de Estudio del UIT</w:t>
      </w:r>
      <w:r w:rsidRPr="00082325">
        <w:rPr>
          <w:lang w:val="es-ES"/>
        </w:rPr>
        <w:noBreakHyphen/>
        <w:t>T y la oficina de Smart Africa a fin de coordinar y facilitar la elaboración de normas;</w:t>
      </w:r>
    </w:p>
    <w:p w14:paraId="28A46C3C" w14:textId="77777777" w:rsidR="00082325" w:rsidRPr="00082325" w:rsidRDefault="00082325" w:rsidP="00082325">
      <w:pPr>
        <w:rPr>
          <w:lang w:val="es-ES"/>
        </w:rPr>
      </w:pPr>
      <w:r w:rsidRPr="00082325">
        <w:rPr>
          <w:lang w:val="es-ES"/>
        </w:rPr>
        <w:t>2</w:t>
      </w:r>
      <w:r w:rsidRPr="00082325">
        <w:rPr>
          <w:lang w:val="es-ES"/>
        </w:rPr>
        <w:tab/>
        <w:t>que siga apoyando al Manifiesto Smart Africa de conformidad con la Resolución 195 (Busán, 2014);</w:t>
      </w:r>
    </w:p>
    <w:p w14:paraId="46D8F73D" w14:textId="77777777" w:rsidR="00082325" w:rsidRPr="00082325" w:rsidRDefault="00082325" w:rsidP="00082325">
      <w:pPr>
        <w:rPr>
          <w:lang w:val="es-ES"/>
        </w:rPr>
      </w:pPr>
      <w:r w:rsidRPr="00082325">
        <w:rPr>
          <w:lang w:val="es-ES"/>
        </w:rPr>
        <w:t>3</w:t>
      </w:r>
      <w:r w:rsidRPr="00082325">
        <w:rPr>
          <w:lang w:val="es-ES"/>
        </w:rPr>
        <w:tab/>
        <w:t>que preste asistencia a Smart Africa y a los Grupos de Trabajo Regionales dentro del presupuesto asignado con el fin de apoyar proyectos piloto destinados a acelerar la aplicación de normas y Recomendaciones de la UIT;</w:t>
      </w:r>
    </w:p>
    <w:p w14:paraId="0C91B6E8" w14:textId="77777777" w:rsidR="00082325" w:rsidRPr="00082325" w:rsidRDefault="00082325" w:rsidP="00082325">
      <w:pPr>
        <w:rPr>
          <w:lang w:val="es-ES"/>
        </w:rPr>
      </w:pPr>
      <w:r w:rsidRPr="00082325">
        <w:rPr>
          <w:lang w:val="es-ES"/>
        </w:rPr>
        <w:t>4</w:t>
      </w:r>
      <w:r w:rsidRPr="00082325">
        <w:rPr>
          <w:lang w:val="es-ES"/>
        </w:rPr>
        <w:tab/>
        <w:t>que intensifique la formación y oriente a los Estados miembros, organizaciones asociadas y asociados del sector privado de Smart Africa en su adopción de normas del UIT-T.</w:t>
      </w:r>
    </w:p>
    <w:p w14:paraId="4D228A4B" w14:textId="77777777" w:rsidR="00082325" w:rsidRPr="00082325" w:rsidRDefault="00082325" w:rsidP="00082325">
      <w:pPr>
        <w:rPr>
          <w:lang w:val="es-ES"/>
        </w:rPr>
      </w:pPr>
    </w:p>
    <w:p w14:paraId="37421D9A" w14:textId="77777777" w:rsidR="009C3A66" w:rsidRDefault="009C3A66" w:rsidP="00EC0141">
      <w:pPr>
        <w:rPr>
          <w:lang w:val="es-ES"/>
        </w:rPr>
      </w:pPr>
    </w:p>
    <w:p w14:paraId="55626B80" w14:textId="77777777" w:rsidR="005F3155" w:rsidRDefault="005F3155" w:rsidP="00EC0141">
      <w:pPr>
        <w:rPr>
          <w:lang w:val="es-ES"/>
        </w:rPr>
      </w:pPr>
    </w:p>
    <w:p w14:paraId="6331687B" w14:textId="77777777" w:rsidR="005F3155" w:rsidRDefault="005F3155" w:rsidP="00EC0141">
      <w:pPr>
        <w:rPr>
          <w:lang w:val="es-ES"/>
        </w:rPr>
      </w:pPr>
    </w:p>
    <w:p w14:paraId="32232C7D" w14:textId="77777777" w:rsidR="005F3155" w:rsidRDefault="005F3155" w:rsidP="00EC0141">
      <w:pPr>
        <w:rPr>
          <w:lang w:val="es-ES"/>
        </w:rPr>
      </w:pPr>
    </w:p>
    <w:p w14:paraId="61F03F1F" w14:textId="77777777" w:rsidR="005F3155" w:rsidRDefault="005F3155" w:rsidP="00EC0141">
      <w:pPr>
        <w:rPr>
          <w:lang w:val="es-ES"/>
        </w:rPr>
      </w:pPr>
    </w:p>
    <w:p w14:paraId="12D93F08" w14:textId="77777777" w:rsidR="005F3155" w:rsidRDefault="005F3155" w:rsidP="00EC0141">
      <w:pPr>
        <w:rPr>
          <w:lang w:val="es-ES"/>
        </w:rPr>
      </w:pPr>
    </w:p>
    <w:p w14:paraId="4A89F828" w14:textId="77777777" w:rsidR="005F3155" w:rsidRDefault="005F3155" w:rsidP="00EC0141">
      <w:pPr>
        <w:rPr>
          <w:lang w:val="es-ES"/>
        </w:rPr>
      </w:pPr>
    </w:p>
    <w:p w14:paraId="70924911" w14:textId="77777777" w:rsidR="005F3155" w:rsidRDefault="005F3155" w:rsidP="00EC0141">
      <w:pPr>
        <w:rPr>
          <w:lang w:val="es-ES"/>
        </w:rPr>
      </w:pPr>
    </w:p>
    <w:p w14:paraId="2D7A0EDB" w14:textId="77777777" w:rsidR="005F3155" w:rsidRDefault="005F3155" w:rsidP="00EC0141">
      <w:pPr>
        <w:rPr>
          <w:lang w:val="es-ES"/>
        </w:rPr>
      </w:pPr>
    </w:p>
    <w:p w14:paraId="458AF5D1" w14:textId="77777777" w:rsidR="005F3155" w:rsidRDefault="005F3155" w:rsidP="00EC0141">
      <w:pPr>
        <w:rPr>
          <w:lang w:val="es-ES"/>
        </w:rPr>
      </w:pPr>
    </w:p>
    <w:p w14:paraId="304DD67D" w14:textId="77777777" w:rsidR="005F3155" w:rsidRDefault="005F3155" w:rsidP="00EC0141">
      <w:pPr>
        <w:rPr>
          <w:lang w:val="es-ES"/>
        </w:rPr>
      </w:pPr>
    </w:p>
    <w:p w14:paraId="609E7902" w14:textId="77777777" w:rsidR="005F3155" w:rsidRDefault="005F3155" w:rsidP="00EC0141">
      <w:pPr>
        <w:rPr>
          <w:lang w:val="es-ES"/>
        </w:rPr>
      </w:pPr>
    </w:p>
    <w:p w14:paraId="0B3E4CBC" w14:textId="77777777" w:rsidR="005F3155" w:rsidRDefault="005F3155" w:rsidP="00EC0141">
      <w:pPr>
        <w:rPr>
          <w:lang w:val="es-ES"/>
        </w:rPr>
      </w:pPr>
    </w:p>
    <w:p w14:paraId="7BF4A928" w14:textId="77777777" w:rsidR="005F3155" w:rsidRDefault="005F3155" w:rsidP="00EC0141">
      <w:pPr>
        <w:rPr>
          <w:lang w:val="es-ES"/>
        </w:rPr>
      </w:pPr>
    </w:p>
    <w:p w14:paraId="143E9730" w14:textId="77777777" w:rsidR="005F3155" w:rsidRDefault="005F3155" w:rsidP="00EC0141">
      <w:pPr>
        <w:rPr>
          <w:lang w:val="es-ES"/>
        </w:rPr>
      </w:pPr>
    </w:p>
    <w:p w14:paraId="5120F558" w14:textId="77777777" w:rsidR="005F3155" w:rsidRPr="009C3A66" w:rsidRDefault="005F3155" w:rsidP="00EC0141">
      <w:pPr>
        <w:rPr>
          <w:lang w:val="es-ES"/>
        </w:rPr>
      </w:pPr>
    </w:p>
    <w:p w14:paraId="272C6E02" w14:textId="77777777" w:rsidR="002A37D9" w:rsidRPr="009C3A66" w:rsidRDefault="002A37D9" w:rsidP="00EC0141">
      <w:pPr>
        <w:rPr>
          <w:lang w:val="es-ES"/>
        </w:rPr>
      </w:pPr>
    </w:p>
    <w:p w14:paraId="5196721E" w14:textId="77777777" w:rsidR="00E03ABC" w:rsidRPr="009C3A66" w:rsidRDefault="00E03ABC" w:rsidP="00EC0141">
      <w:pPr>
        <w:rPr>
          <w:lang w:val="es-ES"/>
        </w:rPr>
      </w:pPr>
    </w:p>
    <w:sectPr w:rsidR="00E03ABC" w:rsidRPr="009C3A66" w:rsidSect="007267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FA209" w14:textId="77777777" w:rsidR="002F389D" w:rsidRDefault="002F389D">
      <w:r>
        <w:separator/>
      </w:r>
    </w:p>
  </w:endnote>
  <w:endnote w:type="continuationSeparator" w:id="0">
    <w:p w14:paraId="430E30E4" w14:textId="77777777" w:rsidR="002F389D" w:rsidRDefault="002F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6D25D78A" w:rsidR="00C72AF4" w:rsidRPr="00D50046" w:rsidRDefault="00D50046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A12A2">
      <w:rPr>
        <w:b w:val="0"/>
        <w:noProof/>
        <w:lang w:val="en-US"/>
      </w:rPr>
      <w:t>26</w:t>
    </w:r>
    <w:r>
      <w:rPr>
        <w:b w:val="0"/>
      </w:rPr>
      <w:fldChar w:fldCharType="end"/>
    </w:r>
    <w:r>
      <w:rPr>
        <w:lang w:val="en-US"/>
      </w:rPr>
      <w:tab/>
    </w:r>
    <w:r w:rsidR="00EC0141">
      <w:rPr>
        <w:lang w:val="en-US"/>
      </w:rPr>
      <w:t xml:space="preserve">AMNT-16 – Resolución </w:t>
    </w:r>
    <w:r w:rsidR="00EC0141">
      <w:fldChar w:fldCharType="begin"/>
    </w:r>
    <w:r w:rsidR="00EC0141">
      <w:rPr>
        <w:lang w:val="en-US"/>
      </w:rPr>
      <w:instrText>styleref href</w:instrText>
    </w:r>
    <w:r w:rsidR="00EC0141">
      <w:fldChar w:fldCharType="separate"/>
    </w:r>
    <w:r w:rsidR="00670E22">
      <w:rPr>
        <w:noProof/>
        <w:lang w:val="en-US"/>
      </w:rPr>
      <w:t>86</w:t>
    </w:r>
    <w:r w:rsidR="00EC0141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4311164B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WTSA-16 – Resolution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670E22">
      <w:rPr>
        <w:noProof/>
        <w:lang w:val="en-US"/>
      </w:rPr>
      <w:t>86</w:t>
    </w:r>
    <w: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48036E99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2A37D9">
      <w:rPr>
        <w:lang w:val="en-US"/>
      </w:rPr>
      <w:t>AMNT</w:t>
    </w:r>
    <w:r>
      <w:rPr>
        <w:lang w:val="en-US"/>
      </w:rPr>
      <w:t>-</w:t>
    </w:r>
    <w:r w:rsidR="007245FB">
      <w:rPr>
        <w:lang w:val="en-US"/>
      </w:rPr>
      <w:t>16</w:t>
    </w:r>
    <w:r>
      <w:rPr>
        <w:lang w:val="en-US"/>
      </w:rPr>
      <w:t xml:space="preserve"> – </w:t>
    </w:r>
    <w:r w:rsidR="00347EE0">
      <w:rPr>
        <w:lang w:val="en-US"/>
      </w:rPr>
      <w:t>Resolución</w:t>
    </w:r>
    <w:r>
      <w:rPr>
        <w:lang w:val="en-US"/>
      </w:rPr>
      <w:t xml:space="preserve">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670E22">
      <w:rPr>
        <w:noProof/>
        <w:lang w:val="en-US"/>
      </w:rPr>
      <w:t>86</w:t>
    </w:r>
    <w: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15</w:t>
    </w:r>
    <w:r w:rsidRPr="00B73379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A5B38" w14:textId="77777777" w:rsidR="002F389D" w:rsidRDefault="002F389D">
      <w:r>
        <w:t>____________________</w:t>
      </w:r>
    </w:p>
  </w:footnote>
  <w:footnote w:type="continuationSeparator" w:id="0">
    <w:p w14:paraId="4DB8CC61" w14:textId="77777777" w:rsidR="002F389D" w:rsidRDefault="002F389D">
      <w:r>
        <w:continuationSeparator/>
      </w:r>
    </w:p>
  </w:footnote>
  <w:footnote w:id="1">
    <w:p w14:paraId="412038EF" w14:textId="77777777" w:rsidR="00082325" w:rsidRPr="00F43495" w:rsidRDefault="00082325" w:rsidP="00082325">
      <w:pPr>
        <w:pStyle w:val="FootnoteText"/>
        <w:rPr>
          <w:lang w:val="es-ES"/>
        </w:rPr>
      </w:pPr>
      <w:r w:rsidRPr="00082325">
        <w:rPr>
          <w:rStyle w:val="FootnoteReference"/>
          <w:lang w:val="es-ES"/>
        </w:rPr>
        <w:t>1</w:t>
      </w:r>
      <w:r>
        <w:rPr>
          <w:lang w:val="es-ES"/>
        </w:rPr>
        <w:tab/>
      </w:r>
      <w:r w:rsidRPr="00082325">
        <w:rPr>
          <w:lang w:val="es-ES"/>
        </w:rPr>
        <w:t>Este término comprende los países menos adelantados, los pequeños Estados insulares en desarrollo, los países en desarrollo sin litoral y los países con economías en transición</w:t>
      </w:r>
      <w:r w:rsidRPr="00082325">
        <w:rPr>
          <w:color w:val="000000" w:themeColor="text1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7B45"/>
    <w:rsid w:val="00023463"/>
    <w:rsid w:val="0003503D"/>
    <w:rsid w:val="00051442"/>
    <w:rsid w:val="00082325"/>
    <w:rsid w:val="000B071B"/>
    <w:rsid w:val="000B47CD"/>
    <w:rsid w:val="000B5A36"/>
    <w:rsid w:val="000C22AE"/>
    <w:rsid w:val="000D378F"/>
    <w:rsid w:val="000D3CE4"/>
    <w:rsid w:val="000D5219"/>
    <w:rsid w:val="000D6DAE"/>
    <w:rsid w:val="000E4393"/>
    <w:rsid w:val="00117D80"/>
    <w:rsid w:val="001309FB"/>
    <w:rsid w:val="001762A1"/>
    <w:rsid w:val="001A6AF5"/>
    <w:rsid w:val="001B4A76"/>
    <w:rsid w:val="001B5A76"/>
    <w:rsid w:val="001C5240"/>
    <w:rsid w:val="001C604C"/>
    <w:rsid w:val="001F3813"/>
    <w:rsid w:val="00200C3A"/>
    <w:rsid w:val="0021580A"/>
    <w:rsid w:val="002178BA"/>
    <w:rsid w:val="002204D5"/>
    <w:rsid w:val="002210D5"/>
    <w:rsid w:val="00227040"/>
    <w:rsid w:val="00237B40"/>
    <w:rsid w:val="002462EF"/>
    <w:rsid w:val="00246C17"/>
    <w:rsid w:val="00256336"/>
    <w:rsid w:val="002742C3"/>
    <w:rsid w:val="002A37D9"/>
    <w:rsid w:val="002C182C"/>
    <w:rsid w:val="002D5607"/>
    <w:rsid w:val="002E1B7B"/>
    <w:rsid w:val="002E6A20"/>
    <w:rsid w:val="002F389D"/>
    <w:rsid w:val="00331B2F"/>
    <w:rsid w:val="003374BB"/>
    <w:rsid w:val="00347EE0"/>
    <w:rsid w:val="0035222D"/>
    <w:rsid w:val="0038237B"/>
    <w:rsid w:val="003C3FD9"/>
    <w:rsid w:val="003D116F"/>
    <w:rsid w:val="003D7A8C"/>
    <w:rsid w:val="003F293E"/>
    <w:rsid w:val="00401308"/>
    <w:rsid w:val="00423BC5"/>
    <w:rsid w:val="00444012"/>
    <w:rsid w:val="004568D2"/>
    <w:rsid w:val="004612A7"/>
    <w:rsid w:val="00462F6A"/>
    <w:rsid w:val="00464568"/>
    <w:rsid w:val="00467305"/>
    <w:rsid w:val="0048772A"/>
    <w:rsid w:val="004A1F7E"/>
    <w:rsid w:val="004A58A4"/>
    <w:rsid w:val="004B7CB1"/>
    <w:rsid w:val="004F2E56"/>
    <w:rsid w:val="00501F47"/>
    <w:rsid w:val="00504D1F"/>
    <w:rsid w:val="00514AB2"/>
    <w:rsid w:val="00524FB2"/>
    <w:rsid w:val="00532120"/>
    <w:rsid w:val="0053765D"/>
    <w:rsid w:val="00551B43"/>
    <w:rsid w:val="005569CA"/>
    <w:rsid w:val="00562EF2"/>
    <w:rsid w:val="00574CFF"/>
    <w:rsid w:val="005A48CF"/>
    <w:rsid w:val="005C4AC6"/>
    <w:rsid w:val="005D1D45"/>
    <w:rsid w:val="005F3155"/>
    <w:rsid w:val="00601999"/>
    <w:rsid w:val="00611CD0"/>
    <w:rsid w:val="00623DDD"/>
    <w:rsid w:val="00631549"/>
    <w:rsid w:val="006425B4"/>
    <w:rsid w:val="00653C1B"/>
    <w:rsid w:val="00661781"/>
    <w:rsid w:val="00665F6E"/>
    <w:rsid w:val="006678D7"/>
    <w:rsid w:val="00670E22"/>
    <w:rsid w:val="006824D9"/>
    <w:rsid w:val="00684F2B"/>
    <w:rsid w:val="00693D4F"/>
    <w:rsid w:val="00697D23"/>
    <w:rsid w:val="006B0459"/>
    <w:rsid w:val="006B5987"/>
    <w:rsid w:val="006E13C5"/>
    <w:rsid w:val="00706D36"/>
    <w:rsid w:val="00707551"/>
    <w:rsid w:val="007116DC"/>
    <w:rsid w:val="0071403C"/>
    <w:rsid w:val="00717E4B"/>
    <w:rsid w:val="00720F3C"/>
    <w:rsid w:val="007245FB"/>
    <w:rsid w:val="00726747"/>
    <w:rsid w:val="0074102F"/>
    <w:rsid w:val="0074356A"/>
    <w:rsid w:val="00751B39"/>
    <w:rsid w:val="007550BF"/>
    <w:rsid w:val="00760D05"/>
    <w:rsid w:val="00780423"/>
    <w:rsid w:val="00781E25"/>
    <w:rsid w:val="00783EB8"/>
    <w:rsid w:val="00791F4B"/>
    <w:rsid w:val="007958DD"/>
    <w:rsid w:val="007E0240"/>
    <w:rsid w:val="007F32A3"/>
    <w:rsid w:val="008075CD"/>
    <w:rsid w:val="00837339"/>
    <w:rsid w:val="00845E8E"/>
    <w:rsid w:val="00851E30"/>
    <w:rsid w:val="00875146"/>
    <w:rsid w:val="0088751E"/>
    <w:rsid w:val="00893BDD"/>
    <w:rsid w:val="008968B6"/>
    <w:rsid w:val="008B4CF6"/>
    <w:rsid w:val="008C7FC3"/>
    <w:rsid w:val="008D6D8D"/>
    <w:rsid w:val="00901958"/>
    <w:rsid w:val="009055E3"/>
    <w:rsid w:val="00905B41"/>
    <w:rsid w:val="00916468"/>
    <w:rsid w:val="0092650E"/>
    <w:rsid w:val="00931C08"/>
    <w:rsid w:val="00931EE1"/>
    <w:rsid w:val="009330E7"/>
    <w:rsid w:val="00934946"/>
    <w:rsid w:val="009423EF"/>
    <w:rsid w:val="0095090C"/>
    <w:rsid w:val="00965A02"/>
    <w:rsid w:val="00974C0C"/>
    <w:rsid w:val="009755D7"/>
    <w:rsid w:val="009C2357"/>
    <w:rsid w:val="009C3A66"/>
    <w:rsid w:val="009D10A5"/>
    <w:rsid w:val="009D26AE"/>
    <w:rsid w:val="009E1DCF"/>
    <w:rsid w:val="009F7009"/>
    <w:rsid w:val="00A01A91"/>
    <w:rsid w:val="00A07A58"/>
    <w:rsid w:val="00A24E9A"/>
    <w:rsid w:val="00A26B1A"/>
    <w:rsid w:val="00A3085D"/>
    <w:rsid w:val="00A4766C"/>
    <w:rsid w:val="00A65D98"/>
    <w:rsid w:val="00A83D3D"/>
    <w:rsid w:val="00AA1264"/>
    <w:rsid w:val="00AA2D89"/>
    <w:rsid w:val="00AC4AF1"/>
    <w:rsid w:val="00AE4C26"/>
    <w:rsid w:val="00B150A9"/>
    <w:rsid w:val="00B23929"/>
    <w:rsid w:val="00B241C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74BB8"/>
    <w:rsid w:val="00B92804"/>
    <w:rsid w:val="00BB34EA"/>
    <w:rsid w:val="00BC13B0"/>
    <w:rsid w:val="00BC24A5"/>
    <w:rsid w:val="00BE58E6"/>
    <w:rsid w:val="00BF610E"/>
    <w:rsid w:val="00C12E70"/>
    <w:rsid w:val="00C32F69"/>
    <w:rsid w:val="00C41D83"/>
    <w:rsid w:val="00C42785"/>
    <w:rsid w:val="00C64078"/>
    <w:rsid w:val="00C65CFB"/>
    <w:rsid w:val="00C706FC"/>
    <w:rsid w:val="00C72AF4"/>
    <w:rsid w:val="00CD10C2"/>
    <w:rsid w:val="00CD3865"/>
    <w:rsid w:val="00CE767E"/>
    <w:rsid w:val="00CF024D"/>
    <w:rsid w:val="00D20887"/>
    <w:rsid w:val="00D26ECC"/>
    <w:rsid w:val="00D27855"/>
    <w:rsid w:val="00D4292A"/>
    <w:rsid w:val="00D457B6"/>
    <w:rsid w:val="00D50046"/>
    <w:rsid w:val="00D54881"/>
    <w:rsid w:val="00D66950"/>
    <w:rsid w:val="00D76D88"/>
    <w:rsid w:val="00D8497D"/>
    <w:rsid w:val="00D86FEE"/>
    <w:rsid w:val="00D94D9E"/>
    <w:rsid w:val="00DA3784"/>
    <w:rsid w:val="00DA7D60"/>
    <w:rsid w:val="00DB2AF8"/>
    <w:rsid w:val="00DB5592"/>
    <w:rsid w:val="00DE48B4"/>
    <w:rsid w:val="00DF0E0C"/>
    <w:rsid w:val="00E03ABC"/>
    <w:rsid w:val="00E154E2"/>
    <w:rsid w:val="00E20918"/>
    <w:rsid w:val="00E300EC"/>
    <w:rsid w:val="00E51820"/>
    <w:rsid w:val="00E56BAB"/>
    <w:rsid w:val="00E67297"/>
    <w:rsid w:val="00E758D6"/>
    <w:rsid w:val="00E82452"/>
    <w:rsid w:val="00E83C1C"/>
    <w:rsid w:val="00E96B11"/>
    <w:rsid w:val="00E96C27"/>
    <w:rsid w:val="00EA12A2"/>
    <w:rsid w:val="00EA2A26"/>
    <w:rsid w:val="00EB3556"/>
    <w:rsid w:val="00EC0141"/>
    <w:rsid w:val="00ED650C"/>
    <w:rsid w:val="00EE1126"/>
    <w:rsid w:val="00EE2FE2"/>
    <w:rsid w:val="00EE4B7A"/>
    <w:rsid w:val="00F0099E"/>
    <w:rsid w:val="00F12607"/>
    <w:rsid w:val="00F15F98"/>
    <w:rsid w:val="00F34748"/>
    <w:rsid w:val="00F4281C"/>
    <w:rsid w:val="00F46491"/>
    <w:rsid w:val="00F576B9"/>
    <w:rsid w:val="00F67E96"/>
    <w:rsid w:val="00F7649F"/>
    <w:rsid w:val="00F86840"/>
    <w:rsid w:val="00F93FB5"/>
    <w:rsid w:val="00FA70B7"/>
    <w:rsid w:val="00FB7576"/>
    <w:rsid w:val="00FD23A9"/>
    <w:rsid w:val="00FE715C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uiPriority w:val="99"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240"/>
      <w:ind w:left="794"/>
      <w:jc w:val="left"/>
    </w:pPr>
    <w:rPr>
      <w:i/>
    </w:rPr>
  </w:style>
  <w:style w:type="character" w:customStyle="1" w:styleId="CallChar">
    <w:name w:val="Call Char"/>
    <w:link w:val="Call"/>
    <w:rsid w:val="00E03ABC"/>
    <w:rPr>
      <w:i/>
      <w:sz w:val="22"/>
      <w:lang w:val="fr-FR" w:eastAsia="en-US" w:bidi="ar-SA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</w:style>
  <w:style w:type="paragraph" w:customStyle="1" w:styleId="Resref">
    <w:name w:val="Res_ref"/>
    <w:basedOn w:val="Recref"/>
    <w:next w:val="Resdate"/>
    <w:qFormat/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8497D"/>
    <w:rPr>
      <w:caps/>
      <w:sz w:val="28"/>
      <w:lang w:val="fr-FR" w:eastAsia="en-US" w:bidi="ar-SA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sz w:val="24"/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sz w:val="24"/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sz w:val="24"/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sz w:val="24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4A58A4"/>
    <w:pPr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  <w:rPr>
      <w:sz w:val="24"/>
    </w:r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sz w:val="24"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paragraph" w:customStyle="1" w:styleId="AppendixNo">
    <w:name w:val="Appendix_No"/>
    <w:basedOn w:val="Normal"/>
    <w:next w:val="Normal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6336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56336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56336"/>
    <w:rPr>
      <w:rFonts w:ascii="Times New Roman" w:hAnsi="Times New Roman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13</TotalTime>
  <Pages>4</Pages>
  <Words>866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Resolución 86 – Facilitar la aplicación del Manifiesto Smart Africa</vt:lpstr>
    </vt:vector>
  </TitlesOfParts>
  <Company>ITU</Company>
  <LinksUpToDate>false</LinksUpToDate>
  <CharactersWithSpaces>5782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86 – Facilitar la aplicación del Manifiesto Smart Africa</dc:title>
  <dc:subject>ASAMBLEA MUNDIAL DE NORMALIZACIÓN DE LAS TELECOMUNICACIONES</dc:subject>
  <dc:creator>ITU-T</dc:creator>
  <cp:keywords/>
  <dc:description/>
  <cp:lastModifiedBy>Saez Grau, Ricardo</cp:lastModifiedBy>
  <cp:revision>17</cp:revision>
  <cp:lastPrinted>2024-11-27T13:59:00Z</cp:lastPrinted>
  <dcterms:created xsi:type="dcterms:W3CDTF">2024-11-21T16:03:00Z</dcterms:created>
  <dcterms:modified xsi:type="dcterms:W3CDTF">2024-11-27T13:59:00Z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