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48" w:type="dxa"/>
        <w:tblLayout w:type="fixed"/>
        <w:tblLook w:val="0000" w:firstRow="0" w:lastRow="0" w:firstColumn="0" w:lastColumn="0" w:noHBand="0" w:noVBand="0"/>
      </w:tblPr>
      <w:tblGrid>
        <w:gridCol w:w="1418"/>
        <w:gridCol w:w="10"/>
        <w:gridCol w:w="2508"/>
        <w:gridCol w:w="2041"/>
        <w:gridCol w:w="3971"/>
      </w:tblGrid>
      <w:tr w:rsidR="004E489E">
        <w:trPr>
          <w:trHeight w:hRule="exact" w:val="1418"/>
        </w:trPr>
        <w:tc>
          <w:tcPr>
            <w:tcW w:w="1428" w:type="dxa"/>
            <w:gridSpan w:val="2"/>
          </w:tcPr>
          <w:p w:rsidR="004E489E" w:rsidRDefault="00935D28">
            <w:r>
              <w:rPr>
                <w:noProof/>
                <w:lang w:val="en-US" w:eastAsia="zh-CN"/>
              </w:rPr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column">
                    <wp:posOffset>-982980</wp:posOffset>
                  </wp:positionH>
                  <wp:positionV relativeFrom="paragraph">
                    <wp:posOffset>-688975</wp:posOffset>
                  </wp:positionV>
                  <wp:extent cx="1609090" cy="10803890"/>
                  <wp:effectExtent l="0" t="0" r="0" b="0"/>
                  <wp:wrapNone/>
                  <wp:docPr id="23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090" cy="10803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E489E" w:rsidRDefault="004E489E">
            <w:pPr>
              <w:spacing w:before="0"/>
              <w:rPr>
                <w:bCs/>
                <w:sz w:val="16"/>
              </w:rPr>
            </w:pPr>
          </w:p>
        </w:tc>
        <w:tc>
          <w:tcPr>
            <w:tcW w:w="8520" w:type="dxa"/>
            <w:gridSpan w:val="3"/>
          </w:tcPr>
          <w:p w:rsidR="004E489E" w:rsidRDefault="004E489E">
            <w:pPr>
              <w:spacing w:before="0"/>
              <w:rPr>
                <w:rFonts w:ascii="Arial" w:hAnsi="Arial" w:cs="Arial"/>
                <w:b/>
                <w:bCs/>
                <w:spacing w:val="70"/>
              </w:rPr>
            </w:pPr>
          </w:p>
          <w:p w:rsidR="004E489E" w:rsidRDefault="004E489E">
            <w:pPr>
              <w:spacing w:before="284"/>
              <w:rPr>
                <w:rFonts w:ascii="Arial" w:hAnsi="Arial" w:cs="Arial"/>
                <w:b/>
                <w:bCs/>
                <w:spacing w:val="72"/>
              </w:rPr>
            </w:pPr>
            <w:r>
              <w:rPr>
                <w:rFonts w:ascii="Arial" w:hAnsi="Arial" w:cs="Arial"/>
                <w:b/>
                <w:bCs/>
                <w:color w:val="808080"/>
                <w:spacing w:val="72"/>
                <w:lang w:val="fr-CH"/>
              </w:rPr>
              <w:t>Union internationale des télécommunications</w:t>
            </w:r>
          </w:p>
        </w:tc>
      </w:tr>
      <w:tr w:rsidR="004E489E">
        <w:trPr>
          <w:trHeight w:hRule="exact" w:val="992"/>
        </w:trPr>
        <w:tc>
          <w:tcPr>
            <w:tcW w:w="1428" w:type="dxa"/>
            <w:gridSpan w:val="2"/>
          </w:tcPr>
          <w:p w:rsidR="004E489E" w:rsidRDefault="004E489E">
            <w:pPr>
              <w:spacing w:before="0"/>
            </w:pPr>
          </w:p>
        </w:tc>
        <w:tc>
          <w:tcPr>
            <w:tcW w:w="8520" w:type="dxa"/>
            <w:gridSpan w:val="3"/>
          </w:tcPr>
          <w:p w:rsidR="004E489E" w:rsidRDefault="004E489E"/>
        </w:tc>
      </w:tr>
      <w:tr w:rsidR="004E489E">
        <w:tblPrEx>
          <w:tblCellMar>
            <w:left w:w="85" w:type="dxa"/>
            <w:right w:w="85" w:type="dxa"/>
          </w:tblCellMar>
        </w:tblPrEx>
        <w:trPr>
          <w:gridBefore w:val="2"/>
          <w:wBefore w:w="1428" w:type="dxa"/>
        </w:trPr>
        <w:tc>
          <w:tcPr>
            <w:tcW w:w="2508" w:type="dxa"/>
          </w:tcPr>
          <w:p w:rsidR="004E489E" w:rsidRDefault="004E489E">
            <w:pPr>
              <w:rPr>
                <w:b/>
                <w:sz w:val="18"/>
              </w:rPr>
            </w:pPr>
            <w:bookmarkStart w:id="0" w:name="dnumf" w:colFirst="1" w:colLast="1"/>
            <w:r>
              <w:rPr>
                <w:rFonts w:ascii="Arial" w:hAnsi="Arial"/>
                <w:b/>
                <w:spacing w:val="40"/>
                <w:sz w:val="72"/>
              </w:rPr>
              <w:t>UIT-T</w:t>
            </w:r>
          </w:p>
        </w:tc>
        <w:tc>
          <w:tcPr>
            <w:tcW w:w="6012" w:type="dxa"/>
            <w:gridSpan w:val="2"/>
          </w:tcPr>
          <w:p w:rsidR="004E489E" w:rsidRPr="004E489E" w:rsidRDefault="004E489E">
            <w:pPr>
              <w:spacing w:before="240"/>
              <w:jc w:val="right"/>
              <w:rPr>
                <w:rFonts w:ascii="Arial" w:hAnsi="Arial" w:cs="Arial"/>
                <w:b/>
                <w:sz w:val="60"/>
              </w:rPr>
            </w:pPr>
          </w:p>
        </w:tc>
      </w:tr>
      <w:tr w:rsidR="004E489E">
        <w:tblPrEx>
          <w:tblCellMar>
            <w:left w:w="85" w:type="dxa"/>
            <w:right w:w="85" w:type="dxa"/>
          </w:tblCellMar>
        </w:tblPrEx>
        <w:trPr>
          <w:gridBefore w:val="2"/>
          <w:wBefore w:w="1428" w:type="dxa"/>
          <w:trHeight w:val="974"/>
        </w:trPr>
        <w:tc>
          <w:tcPr>
            <w:tcW w:w="4549" w:type="dxa"/>
            <w:gridSpan w:val="2"/>
          </w:tcPr>
          <w:p w:rsidR="004E489E" w:rsidRDefault="004E489E">
            <w:pPr>
              <w:jc w:val="left"/>
              <w:rPr>
                <w:b/>
                <w:sz w:val="18"/>
              </w:rPr>
            </w:pPr>
            <w:bookmarkStart w:id="1" w:name="ddatef" w:colFirst="1" w:colLast="1"/>
            <w:bookmarkEnd w:id="0"/>
            <w:r>
              <w:rPr>
                <w:rFonts w:ascii="Arial" w:hAnsi="Arial"/>
                <w:sz w:val="20"/>
              </w:rPr>
              <w:t>SECTEUR  DE  LA  NORMALISATION</w:t>
            </w:r>
            <w:r>
              <w:rPr>
                <w:rFonts w:ascii="Arial" w:hAnsi="Arial" w:cs="Arial"/>
                <w:sz w:val="20"/>
              </w:rPr>
              <w:br/>
            </w:r>
            <w:r>
              <w:rPr>
                <w:rFonts w:ascii="Arial" w:hAnsi="Arial"/>
                <w:sz w:val="20"/>
              </w:rPr>
              <w:t>DES  TÉLÉCOMMUNICATIONS</w:t>
            </w:r>
            <w:r>
              <w:rPr>
                <w:rFonts w:ascii="Arial" w:hAnsi="Arial"/>
                <w:sz w:val="20"/>
              </w:rPr>
              <w:br/>
              <w:t>DE  L'UIT</w:t>
            </w:r>
          </w:p>
        </w:tc>
        <w:tc>
          <w:tcPr>
            <w:tcW w:w="3971" w:type="dxa"/>
          </w:tcPr>
          <w:p w:rsidR="004E489E" w:rsidRPr="004E489E" w:rsidRDefault="004E489E" w:rsidP="004E489E">
            <w:pPr>
              <w:spacing w:before="0"/>
              <w:jc w:val="right"/>
              <w:rPr>
                <w:rFonts w:ascii="Arial" w:hAnsi="Arial" w:cs="Arial"/>
                <w:sz w:val="28"/>
              </w:rPr>
            </w:pPr>
            <w:r w:rsidRPr="004E489E">
              <w:rPr>
                <w:rFonts w:ascii="Arial" w:hAnsi="Arial" w:cs="Arial"/>
                <w:sz w:val="28"/>
              </w:rPr>
              <w:t xml:space="preserve">   </w:t>
            </w:r>
          </w:p>
        </w:tc>
      </w:tr>
      <w:tr w:rsidR="004E489E">
        <w:trPr>
          <w:cantSplit/>
          <w:trHeight w:hRule="exact" w:val="3402"/>
        </w:trPr>
        <w:tc>
          <w:tcPr>
            <w:tcW w:w="1418" w:type="dxa"/>
          </w:tcPr>
          <w:p w:rsidR="004E489E" w:rsidRDefault="004E489E">
            <w:pPr>
              <w:tabs>
                <w:tab w:val="right" w:pos="9639"/>
              </w:tabs>
              <w:rPr>
                <w:rFonts w:ascii="Arial" w:hAnsi="Arial"/>
                <w:sz w:val="18"/>
              </w:rPr>
            </w:pPr>
            <w:bookmarkStart w:id="2" w:name="dsecf" w:colFirst="1" w:colLast="1"/>
            <w:bookmarkEnd w:id="1"/>
          </w:p>
        </w:tc>
        <w:tc>
          <w:tcPr>
            <w:tcW w:w="8530" w:type="dxa"/>
            <w:gridSpan w:val="4"/>
            <w:tcBorders>
              <w:bottom w:val="single" w:sz="12" w:space="0" w:color="auto"/>
            </w:tcBorders>
            <w:vAlign w:val="bottom"/>
          </w:tcPr>
          <w:p w:rsidR="00FD0746" w:rsidRDefault="00311F37" w:rsidP="00FD0746">
            <w:pPr>
              <w:tabs>
                <w:tab w:val="right" w:pos="9639"/>
              </w:tabs>
              <w:jc w:val="left"/>
              <w:rPr>
                <w:rFonts w:ascii="Arial" w:hAnsi="Arial"/>
                <w:sz w:val="32"/>
                <w:lang w:val="fr-CH"/>
              </w:rPr>
            </w:pPr>
            <w:r w:rsidRPr="00311F37">
              <w:rPr>
                <w:rFonts w:ascii="Arial" w:hAnsi="Arial"/>
                <w:sz w:val="32"/>
              </w:rPr>
              <w:t>ASSEMBLÉE</w:t>
            </w:r>
            <w:r w:rsidRPr="00311F37">
              <w:rPr>
                <w:rFonts w:ascii="Arial" w:hAnsi="Arial"/>
                <w:sz w:val="32"/>
                <w:lang w:val="fr-CH"/>
              </w:rPr>
              <w:t xml:space="preserve"> MONDIALE DE NORMALISATION DES TÉLÉCOMMUNICATIONS</w:t>
            </w:r>
            <w:r w:rsidRPr="00EB6BEB">
              <w:rPr>
                <w:rFonts w:ascii="Arial" w:hAnsi="Arial"/>
                <w:sz w:val="32"/>
                <w:lang w:val="fr-CH"/>
              </w:rPr>
              <w:t xml:space="preserve"> </w:t>
            </w:r>
          </w:p>
          <w:p w:rsidR="004E489E" w:rsidRPr="00EB6BEB" w:rsidRDefault="00AF2D68" w:rsidP="00FD0746">
            <w:pPr>
              <w:tabs>
                <w:tab w:val="right" w:pos="9639"/>
              </w:tabs>
              <w:jc w:val="left"/>
              <w:rPr>
                <w:rFonts w:ascii="Arial" w:hAnsi="Arial" w:cs="Arial"/>
                <w:sz w:val="32"/>
                <w:lang w:val="fr-CH"/>
              </w:rPr>
            </w:pPr>
            <w:r>
              <w:rPr>
                <w:rFonts w:ascii="Arial" w:hAnsi="Arial"/>
                <w:sz w:val="32"/>
                <w:lang w:val="fr-CH"/>
              </w:rPr>
              <w:t>Hammamet</w:t>
            </w:r>
            <w:r w:rsidR="00EB6BEB" w:rsidRPr="00EB6BEB">
              <w:rPr>
                <w:rFonts w:ascii="Arial" w:hAnsi="Arial"/>
                <w:sz w:val="32"/>
                <w:lang w:val="fr-CH"/>
              </w:rPr>
              <w:t>, 2</w:t>
            </w:r>
            <w:r>
              <w:rPr>
                <w:rFonts w:ascii="Arial" w:hAnsi="Arial"/>
                <w:sz w:val="32"/>
                <w:lang w:val="fr-CH"/>
              </w:rPr>
              <w:t xml:space="preserve">5 octobre </w:t>
            </w:r>
            <w:r w:rsidR="00000F14">
              <w:rPr>
                <w:rFonts w:ascii="Arial" w:hAnsi="Arial"/>
                <w:sz w:val="32"/>
                <w:lang w:val="fr-CH"/>
              </w:rPr>
              <w:t>–</w:t>
            </w:r>
            <w:r>
              <w:rPr>
                <w:rFonts w:ascii="Arial" w:hAnsi="Arial"/>
                <w:sz w:val="32"/>
                <w:lang w:val="fr-CH"/>
              </w:rPr>
              <w:t xml:space="preserve"> 3</w:t>
            </w:r>
            <w:r w:rsidR="00EB6BEB" w:rsidRPr="00EB6BEB">
              <w:rPr>
                <w:rFonts w:ascii="Arial" w:hAnsi="Arial"/>
                <w:sz w:val="32"/>
                <w:lang w:val="fr-CH"/>
              </w:rPr>
              <w:t xml:space="preserve"> novembre 201</w:t>
            </w:r>
            <w:r>
              <w:rPr>
                <w:rFonts w:ascii="Arial" w:hAnsi="Arial"/>
                <w:sz w:val="32"/>
                <w:lang w:val="fr-CH"/>
              </w:rPr>
              <w:t>6</w:t>
            </w:r>
          </w:p>
          <w:p w:rsidR="004E489E" w:rsidRPr="004E489E" w:rsidRDefault="004E489E" w:rsidP="004E489E">
            <w:pPr>
              <w:tabs>
                <w:tab w:val="right" w:pos="9639"/>
              </w:tabs>
              <w:jc w:val="left"/>
              <w:rPr>
                <w:rFonts w:ascii="Arial" w:hAnsi="Arial" w:cs="Arial"/>
                <w:sz w:val="32"/>
              </w:rPr>
            </w:pPr>
          </w:p>
        </w:tc>
      </w:tr>
      <w:tr w:rsidR="004E489E">
        <w:trPr>
          <w:cantSplit/>
          <w:trHeight w:hRule="exact" w:val="4536"/>
        </w:trPr>
        <w:tc>
          <w:tcPr>
            <w:tcW w:w="1418" w:type="dxa"/>
          </w:tcPr>
          <w:p w:rsidR="004E489E" w:rsidRDefault="004E489E">
            <w:pPr>
              <w:tabs>
                <w:tab w:val="right" w:pos="9639"/>
              </w:tabs>
              <w:rPr>
                <w:rFonts w:ascii="Arial" w:hAnsi="Arial"/>
                <w:sz w:val="18"/>
              </w:rPr>
            </w:pPr>
            <w:bookmarkStart w:id="3" w:name="c1titf" w:colFirst="1" w:colLast="1"/>
            <w:bookmarkEnd w:id="2"/>
          </w:p>
        </w:tc>
        <w:tc>
          <w:tcPr>
            <w:tcW w:w="8530" w:type="dxa"/>
            <w:gridSpan w:val="4"/>
          </w:tcPr>
          <w:p w:rsidR="004E489E" w:rsidRPr="00D43879" w:rsidRDefault="00AC6AA3" w:rsidP="007A304D">
            <w:pPr>
              <w:tabs>
                <w:tab w:val="right" w:pos="9639"/>
              </w:tabs>
              <w:jc w:val="left"/>
              <w:rPr>
                <w:rFonts w:ascii="Arial" w:hAnsi="Arial"/>
                <w:b/>
                <w:bCs/>
                <w:sz w:val="36"/>
                <w:lang w:val="fr-CH"/>
              </w:rPr>
            </w:pPr>
            <w:r>
              <w:rPr>
                <w:rFonts w:ascii="Arial" w:hAnsi="Arial"/>
                <w:b/>
                <w:bCs/>
                <w:sz w:val="36"/>
                <w:lang w:val="fr-CH"/>
              </w:rPr>
              <w:t xml:space="preserve">Résolution </w:t>
            </w:r>
            <w:r w:rsidR="007A304D">
              <w:rPr>
                <w:rFonts w:ascii="Arial" w:hAnsi="Arial"/>
                <w:b/>
                <w:bCs/>
                <w:sz w:val="36"/>
                <w:lang w:val="fr-CH"/>
              </w:rPr>
              <w:t xml:space="preserve">85 – </w:t>
            </w:r>
            <w:r w:rsidR="007A304D" w:rsidRPr="007A304D">
              <w:rPr>
                <w:rFonts w:asciiTheme="minorBidi" w:hAnsiTheme="minorBidi" w:cstheme="minorBidi"/>
                <w:b/>
                <w:bCs/>
                <w:sz w:val="36"/>
                <w:szCs w:val="36"/>
              </w:rPr>
              <w:t>Renforcement et diversification des ressources du Secteur de la normalisation des télécommunications de l'UIT</w:t>
            </w:r>
          </w:p>
        </w:tc>
      </w:tr>
      <w:bookmarkEnd w:id="3"/>
      <w:tr w:rsidR="004E489E">
        <w:trPr>
          <w:cantSplit/>
          <w:trHeight w:hRule="exact" w:val="1418"/>
        </w:trPr>
        <w:tc>
          <w:tcPr>
            <w:tcW w:w="1418" w:type="dxa"/>
          </w:tcPr>
          <w:p w:rsidR="004E489E" w:rsidRDefault="004E489E">
            <w:pPr>
              <w:tabs>
                <w:tab w:val="right" w:pos="9639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8530" w:type="dxa"/>
            <w:gridSpan w:val="4"/>
            <w:vAlign w:val="bottom"/>
          </w:tcPr>
          <w:p w:rsidR="004E489E" w:rsidRDefault="004E489E" w:rsidP="00A8419C">
            <w:pPr>
              <w:tabs>
                <w:tab w:val="right" w:pos="9639"/>
              </w:tabs>
              <w:spacing w:before="0"/>
              <w:jc w:val="left"/>
              <w:rPr>
                <w:rFonts w:ascii="Arial" w:hAnsi="Arial" w:cs="Arial"/>
                <w:sz w:val="32"/>
              </w:rPr>
            </w:pPr>
            <w:bookmarkStart w:id="4" w:name="dnum2f"/>
            <w:bookmarkEnd w:id="4"/>
          </w:p>
          <w:p w:rsidR="004E489E" w:rsidRPr="004E489E" w:rsidRDefault="004E489E" w:rsidP="004E489E">
            <w:pPr>
              <w:tabs>
                <w:tab w:val="right" w:pos="9639"/>
              </w:tabs>
              <w:spacing w:before="60"/>
              <w:jc w:val="left"/>
              <w:rPr>
                <w:rFonts w:ascii="Arial" w:hAnsi="Arial" w:cs="Arial"/>
                <w:sz w:val="32"/>
              </w:rPr>
            </w:pPr>
          </w:p>
        </w:tc>
      </w:tr>
    </w:tbl>
    <w:p w:rsidR="004E489E" w:rsidRDefault="00EB6BEB" w:rsidP="00A8419C">
      <w:pPr>
        <w:spacing w:before="0"/>
        <w:jc w:val="right"/>
      </w:pPr>
      <w:r>
        <w:rPr>
          <w:noProof/>
          <w:lang w:val="en-US" w:eastAsia="zh-CN"/>
        </w:rPr>
        <w:drawing>
          <wp:inline distT="0" distB="0" distL="0" distR="0" wp14:anchorId="0BFBFE90" wp14:editId="5D6195F4">
            <wp:extent cx="664845" cy="735965"/>
            <wp:effectExtent l="0" t="0" r="1905" b="6985"/>
            <wp:docPr id="238" name="Picture 24" descr="sigleITU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sigleITU_lar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" cy="73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89E" w:rsidRDefault="004E489E">
      <w:pPr>
        <w:spacing w:before="80"/>
        <w:jc w:val="left"/>
        <w:rPr>
          <w:i/>
          <w:sz w:val="20"/>
        </w:rPr>
      </w:pPr>
      <w:bookmarkStart w:id="5" w:name="c2topf"/>
      <w:bookmarkEnd w:id="5"/>
    </w:p>
    <w:p w:rsidR="00A8419C" w:rsidRDefault="00A8419C">
      <w:pPr>
        <w:spacing w:before="480"/>
        <w:jc w:val="center"/>
        <w:sectPr w:rsidR="00A8419C" w:rsidSect="00F51075">
          <w:headerReference w:type="even" r:id="rId10"/>
          <w:footerReference w:type="first" r:id="rId11"/>
          <w:type w:val="oddPage"/>
          <w:pgSz w:w="11907" w:h="16834" w:code="9"/>
          <w:pgMar w:top="1089" w:right="1089" w:bottom="284" w:left="1089" w:header="284" w:footer="284" w:gutter="0"/>
          <w:paperSrc w:first="15" w:other="15"/>
          <w:cols w:space="720"/>
          <w:docGrid w:linePitch="326"/>
        </w:sectPr>
      </w:pPr>
      <w:bookmarkStart w:id="6" w:name="irecnof"/>
      <w:bookmarkEnd w:id="6"/>
    </w:p>
    <w:p w:rsidR="004E489E" w:rsidRDefault="004E489E">
      <w:pPr>
        <w:spacing w:before="480"/>
        <w:jc w:val="center"/>
      </w:pPr>
      <w:r>
        <w:lastRenderedPageBreak/>
        <w:t>AVANT-PROPOS</w:t>
      </w:r>
    </w:p>
    <w:p w:rsidR="005303E1" w:rsidRPr="005303E1" w:rsidRDefault="005303E1" w:rsidP="005303E1">
      <w:pPr>
        <w:rPr>
          <w:sz w:val="20"/>
        </w:rPr>
      </w:pPr>
      <w:bookmarkStart w:id="7" w:name="iitextf"/>
      <w:r w:rsidRPr="005303E1">
        <w:rPr>
          <w:sz w:val="20"/>
        </w:rPr>
        <w:t>L'Union internationale des télécommunications (UIT) est une institution spécialisée des Nations Unies dans le domaine des télé</w:t>
      </w:r>
      <w:r w:rsidRPr="005303E1">
        <w:rPr>
          <w:sz w:val="20"/>
        </w:rPr>
        <w:softHyphen/>
        <w:t>com</w:t>
      </w:r>
      <w:r w:rsidRPr="005303E1">
        <w:rPr>
          <w:sz w:val="20"/>
        </w:rPr>
        <w:softHyphen/>
        <w:t>mu</w:t>
      </w:r>
      <w:r w:rsidRPr="005303E1">
        <w:rPr>
          <w:sz w:val="20"/>
        </w:rPr>
        <w:softHyphen/>
        <w:t>ni</w:t>
      </w:r>
      <w:r w:rsidRPr="005303E1">
        <w:rPr>
          <w:sz w:val="20"/>
        </w:rPr>
        <w:softHyphen/>
        <w:t>ca</w:t>
      </w:r>
      <w:r w:rsidRPr="005303E1">
        <w:rPr>
          <w:sz w:val="20"/>
        </w:rPr>
        <w:softHyphen/>
        <w:t>tions et des technologies de l'information et de la communication (ICT). Le Secteur de la normalisation des télécommunications (UIT-T) est un organe permanent de l'UIT. Il est chargé de l'étude des questions techniques, d'exploitation et de tarification, et émet à ce sujet des Recommandations en vue de la normalisation des télé</w:t>
      </w:r>
      <w:r w:rsidRPr="005303E1">
        <w:rPr>
          <w:sz w:val="20"/>
        </w:rPr>
        <w:softHyphen/>
        <w:t>com</w:t>
      </w:r>
      <w:r w:rsidRPr="005303E1">
        <w:rPr>
          <w:sz w:val="20"/>
        </w:rPr>
        <w:softHyphen/>
        <w:t>mu</w:t>
      </w:r>
      <w:r w:rsidRPr="005303E1">
        <w:rPr>
          <w:sz w:val="20"/>
        </w:rPr>
        <w:softHyphen/>
        <w:t>ni</w:t>
      </w:r>
      <w:r w:rsidRPr="005303E1">
        <w:rPr>
          <w:sz w:val="20"/>
        </w:rPr>
        <w:softHyphen/>
        <w:t>ca</w:t>
      </w:r>
      <w:r w:rsidRPr="005303E1">
        <w:rPr>
          <w:sz w:val="20"/>
        </w:rPr>
        <w:softHyphen/>
        <w:t>tions à l'échelle mondiale.</w:t>
      </w:r>
    </w:p>
    <w:p w:rsidR="005303E1" w:rsidRPr="005303E1" w:rsidRDefault="005303E1" w:rsidP="005303E1">
      <w:pPr>
        <w:rPr>
          <w:sz w:val="20"/>
        </w:rPr>
      </w:pPr>
      <w:r w:rsidRPr="005303E1">
        <w:rPr>
          <w:sz w:val="20"/>
        </w:rPr>
        <w:t>L'Assemblée mondiale de normalisation des télécommunications (AMNT), qui se réunit tous les quatre ans, détermine les thèmes d'étude à traiter par les Commissions d'études de l'UIT</w:t>
      </w:r>
      <w:r w:rsidRPr="005303E1">
        <w:rPr>
          <w:sz w:val="20"/>
        </w:rPr>
        <w:noBreakHyphen/>
        <w:t>T, lesquelles élaborent en retour des Recommandations sur ces thèmes.</w:t>
      </w:r>
    </w:p>
    <w:p w:rsidR="005303E1" w:rsidRPr="005303E1" w:rsidRDefault="005303E1" w:rsidP="005303E1">
      <w:pPr>
        <w:rPr>
          <w:sz w:val="20"/>
        </w:rPr>
      </w:pPr>
      <w:r w:rsidRPr="005303E1">
        <w:rPr>
          <w:sz w:val="20"/>
        </w:rPr>
        <w:t>L'approbation des Recommandations par les Membres de l'UIT</w:t>
      </w:r>
      <w:r w:rsidRPr="005303E1">
        <w:rPr>
          <w:sz w:val="20"/>
        </w:rPr>
        <w:noBreakHyphen/>
        <w:t>T s'effectue selon la procédure définie dans la Résolution 1 de l'AMNT.</w:t>
      </w:r>
    </w:p>
    <w:p w:rsidR="004E489E" w:rsidRDefault="005303E1" w:rsidP="005303E1">
      <w:r w:rsidRPr="005303E1">
        <w:rPr>
          <w:sz w:val="20"/>
        </w:rPr>
        <w:t>Dans certains secteurs des technologies de l'information qui correspondent à la sphère de compétence de l'UIT-T, les normes nécessaires se préparent en collaboration avec l'ISO et la CEI.</w:t>
      </w:r>
    </w:p>
    <w:bookmarkEnd w:id="7"/>
    <w:p w:rsidR="004E489E" w:rsidRDefault="004E489E">
      <w:pPr>
        <w:jc w:val="center"/>
      </w:pPr>
    </w:p>
    <w:p w:rsidR="004E489E" w:rsidRDefault="004E489E">
      <w:pPr>
        <w:jc w:val="center"/>
      </w:pPr>
    </w:p>
    <w:p w:rsidR="004E489E" w:rsidRDefault="004E489E">
      <w:pPr>
        <w:jc w:val="center"/>
      </w:pPr>
    </w:p>
    <w:p w:rsidR="00311F37" w:rsidRDefault="00311F37">
      <w:pPr>
        <w:jc w:val="center"/>
      </w:pPr>
    </w:p>
    <w:p w:rsidR="00311F37" w:rsidRDefault="00311F37">
      <w:pPr>
        <w:jc w:val="center"/>
      </w:pPr>
    </w:p>
    <w:p w:rsidR="00311F37" w:rsidRDefault="00311F37">
      <w:pPr>
        <w:jc w:val="center"/>
      </w:pPr>
    </w:p>
    <w:p w:rsidR="00311F37" w:rsidRDefault="00311F37">
      <w:pPr>
        <w:jc w:val="center"/>
      </w:pPr>
    </w:p>
    <w:p w:rsidR="00311F37" w:rsidRDefault="00311F37">
      <w:pPr>
        <w:jc w:val="center"/>
      </w:pPr>
    </w:p>
    <w:p w:rsidR="00311F37" w:rsidRDefault="00311F37">
      <w:pPr>
        <w:jc w:val="center"/>
      </w:pPr>
    </w:p>
    <w:p w:rsidR="00311F37" w:rsidRDefault="00311F37">
      <w:pPr>
        <w:jc w:val="center"/>
      </w:pPr>
    </w:p>
    <w:p w:rsidR="00311F37" w:rsidRDefault="00311F37">
      <w:pPr>
        <w:jc w:val="center"/>
      </w:pPr>
    </w:p>
    <w:p w:rsidR="00311F37" w:rsidRDefault="00311F37">
      <w:pPr>
        <w:jc w:val="center"/>
      </w:pPr>
    </w:p>
    <w:p w:rsidR="00311F37" w:rsidRDefault="00311F37">
      <w:pPr>
        <w:jc w:val="center"/>
      </w:pPr>
    </w:p>
    <w:p w:rsidR="00311F37" w:rsidRDefault="00311F37">
      <w:pPr>
        <w:jc w:val="center"/>
      </w:pPr>
    </w:p>
    <w:p w:rsidR="00311F37" w:rsidRDefault="00311F37">
      <w:pPr>
        <w:jc w:val="center"/>
      </w:pPr>
    </w:p>
    <w:p w:rsidR="00311F37" w:rsidRDefault="00311F37">
      <w:pPr>
        <w:jc w:val="center"/>
      </w:pPr>
    </w:p>
    <w:p w:rsidR="00311F37" w:rsidRDefault="00311F37">
      <w:pPr>
        <w:jc w:val="center"/>
      </w:pPr>
    </w:p>
    <w:p w:rsidR="00311F37" w:rsidRDefault="00311F37">
      <w:pPr>
        <w:jc w:val="center"/>
      </w:pPr>
    </w:p>
    <w:p w:rsidR="00311F37" w:rsidRDefault="00311F37">
      <w:pPr>
        <w:jc w:val="center"/>
      </w:pPr>
    </w:p>
    <w:p w:rsidR="00311F37" w:rsidRDefault="00311F37">
      <w:pPr>
        <w:jc w:val="center"/>
      </w:pPr>
    </w:p>
    <w:p w:rsidR="00311F37" w:rsidRDefault="00311F37">
      <w:pPr>
        <w:jc w:val="center"/>
      </w:pPr>
    </w:p>
    <w:p w:rsidR="00311F37" w:rsidRDefault="00311F37">
      <w:pPr>
        <w:jc w:val="center"/>
      </w:pPr>
    </w:p>
    <w:p w:rsidR="00927BFB" w:rsidRDefault="00927BFB">
      <w:pPr>
        <w:jc w:val="center"/>
      </w:pPr>
    </w:p>
    <w:p w:rsidR="00927BFB" w:rsidRDefault="00927BFB">
      <w:pPr>
        <w:jc w:val="center"/>
      </w:pPr>
    </w:p>
    <w:p w:rsidR="004E489E" w:rsidRDefault="004E489E" w:rsidP="00AF2D68">
      <w:pPr>
        <w:jc w:val="center"/>
      </w:pPr>
      <w:r>
        <w:rPr>
          <w:rFonts w:ascii="Symbol" w:hAnsi="Symbol"/>
        </w:rPr>
        <w:t></w:t>
      </w:r>
      <w:r>
        <w:t>  UIT  </w:t>
      </w:r>
      <w:bookmarkStart w:id="8" w:name="iiannef"/>
      <w:bookmarkEnd w:id="8"/>
      <w:r w:rsidR="001055F6">
        <w:t>20</w:t>
      </w:r>
      <w:r w:rsidR="00EB6BEB">
        <w:t>1</w:t>
      </w:r>
      <w:r w:rsidR="00AF2D68">
        <w:t>6</w:t>
      </w:r>
    </w:p>
    <w:p w:rsidR="00AE3ADA" w:rsidRPr="00311F37" w:rsidRDefault="00EB6BEB" w:rsidP="00311F37">
      <w:pPr>
        <w:tabs>
          <w:tab w:val="clear" w:pos="794"/>
          <w:tab w:val="clear" w:pos="1191"/>
          <w:tab w:val="clear" w:pos="1588"/>
          <w:tab w:val="clear" w:pos="1985"/>
        </w:tabs>
        <w:overflowPunct/>
        <w:textAlignment w:val="auto"/>
      </w:pPr>
      <w:r w:rsidRPr="00E83AC8">
        <w:rPr>
          <w:sz w:val="20"/>
        </w:rPr>
        <w:t>Tous droits réservés. Aucune partie de cette publication ne peut être reproduite, par quelque procédé que ce soit, sans l'accord écrit préalable de l'UIT</w:t>
      </w:r>
      <w:r w:rsidRPr="00E83AC8">
        <w:rPr>
          <w:sz w:val="20"/>
          <w:lang w:val="fr-CH"/>
        </w:rPr>
        <w:t>.</w:t>
      </w:r>
    </w:p>
    <w:p w:rsidR="00A8419C" w:rsidRDefault="00A8419C" w:rsidP="004A196C">
      <w:pPr>
        <w:pStyle w:val="ResNo"/>
        <w:jc w:val="center"/>
        <w:rPr>
          <w:b w:val="0"/>
          <w:bCs/>
        </w:rPr>
        <w:sectPr w:rsidR="00A8419C" w:rsidSect="008A66E0">
          <w:headerReference w:type="even" r:id="rId12"/>
          <w:footerReference w:type="default" r:id="rId13"/>
          <w:type w:val="evenPage"/>
          <w:pgSz w:w="11907" w:h="16834" w:code="9"/>
          <w:pgMar w:top="1134" w:right="1134" w:bottom="1134" w:left="1134" w:header="567" w:footer="567" w:gutter="0"/>
          <w:paperSrc w:first="15" w:other="15"/>
          <w:cols w:space="720"/>
          <w:docGrid w:linePitch="326"/>
        </w:sectPr>
      </w:pPr>
      <w:bookmarkStart w:id="9" w:name="p1rectextf"/>
      <w:bookmarkEnd w:id="9"/>
    </w:p>
    <w:p w:rsidR="007A304D" w:rsidRPr="007A304D" w:rsidRDefault="007A304D" w:rsidP="007A304D">
      <w:pPr>
        <w:pStyle w:val="ResNo"/>
        <w:jc w:val="center"/>
        <w:rPr>
          <w:b w:val="0"/>
          <w:bCs/>
        </w:rPr>
      </w:pPr>
      <w:r w:rsidRPr="007A304D">
        <w:rPr>
          <w:b w:val="0"/>
          <w:bCs/>
        </w:rPr>
        <w:lastRenderedPageBreak/>
        <w:t>RÉSOLUTION 85 (Hammamet, 2016)</w:t>
      </w:r>
    </w:p>
    <w:p w:rsidR="007A304D" w:rsidRPr="009E47FF" w:rsidRDefault="007A304D" w:rsidP="007A304D">
      <w:pPr>
        <w:pStyle w:val="Restitle"/>
      </w:pPr>
      <w:r w:rsidRPr="009E47FF">
        <w:t xml:space="preserve">Renforcement et diversification des ressources du Secteur </w:t>
      </w:r>
      <w:r w:rsidRPr="009E47FF">
        <w:br/>
        <w:t>de la normalisation des télécommunications de l'UIT</w:t>
      </w:r>
    </w:p>
    <w:p w:rsidR="007A304D" w:rsidRPr="009E47FF" w:rsidRDefault="007A304D" w:rsidP="007A304D">
      <w:pPr>
        <w:pStyle w:val="Resref"/>
      </w:pPr>
      <w:r w:rsidRPr="009E47FF">
        <w:t>(Hammamet, 2016)</w:t>
      </w:r>
    </w:p>
    <w:p w:rsidR="007A304D" w:rsidRPr="009E47FF" w:rsidRDefault="007A304D" w:rsidP="007A304D">
      <w:pPr>
        <w:pStyle w:val="Normalaftertitle0"/>
        <w:rPr>
          <w:lang w:val="fr-FR"/>
        </w:rPr>
      </w:pPr>
      <w:r w:rsidRPr="009E47FF">
        <w:rPr>
          <w:lang w:val="fr-FR"/>
        </w:rPr>
        <w:t>L'Assemblée mondiale de normalisation des télécommunications (Hammamet, 2016),</w:t>
      </w:r>
    </w:p>
    <w:p w:rsidR="007A304D" w:rsidRPr="009E47FF" w:rsidRDefault="007A304D" w:rsidP="007A304D">
      <w:pPr>
        <w:pStyle w:val="Call"/>
      </w:pPr>
      <w:r w:rsidRPr="009E47FF">
        <w:t>considérant</w:t>
      </w:r>
    </w:p>
    <w:p w:rsidR="007A304D" w:rsidRPr="009E47FF" w:rsidRDefault="007A304D" w:rsidP="007A304D">
      <w:r w:rsidRPr="009E47FF">
        <w:rPr>
          <w:i/>
          <w:iCs/>
        </w:rPr>
        <w:t>a)</w:t>
      </w:r>
      <w:r w:rsidRPr="009E47FF">
        <w:tab/>
        <w:t>l'article 28 de la Constitution de l'UIT et l'article 33 de la Convention de l'UIT relatifs aux finances de l'Union;</w:t>
      </w:r>
    </w:p>
    <w:p w:rsidR="007A304D" w:rsidRPr="009E47FF" w:rsidRDefault="007A304D" w:rsidP="007A304D">
      <w:r w:rsidRPr="009E47FF">
        <w:rPr>
          <w:i/>
          <w:iCs/>
        </w:rPr>
        <w:t>b)</w:t>
      </w:r>
      <w:r w:rsidRPr="009E47FF">
        <w:tab/>
        <w:t>la Résolution 158 (Rév. Busan, 2014) de la Conférence de plénipotentiaires, par laquelle le Secrétaire général a été chargé d'étudier de nouvelles mesures susceptibles de générer des recettes supplémentaires pour l'Union;</w:t>
      </w:r>
    </w:p>
    <w:p w:rsidR="007A304D" w:rsidRPr="009E47FF" w:rsidRDefault="007A304D" w:rsidP="00E8715B">
      <w:r w:rsidRPr="009E47FF">
        <w:rPr>
          <w:i/>
          <w:iCs/>
        </w:rPr>
        <w:t>c)</w:t>
      </w:r>
      <w:r w:rsidRPr="009E47FF">
        <w:tab/>
        <w:t xml:space="preserve">la Résolution 34 (Rév. </w:t>
      </w:r>
      <w:r w:rsidR="00E8715B">
        <w:t>Dubai</w:t>
      </w:r>
      <w:r w:rsidRPr="009E47FF">
        <w:t>, 201</w:t>
      </w:r>
      <w:r w:rsidR="00E8715B">
        <w:t>2</w:t>
      </w:r>
      <w:r w:rsidRPr="009E47FF">
        <w:t>) de l'Assemblée mondiale de normalisation des télécommunications, relative aux contributions volontaires;</w:t>
      </w:r>
    </w:p>
    <w:p w:rsidR="007A304D" w:rsidRPr="009E47FF" w:rsidRDefault="007A304D" w:rsidP="007A304D">
      <w:r w:rsidRPr="009E47FF">
        <w:rPr>
          <w:i/>
          <w:iCs/>
        </w:rPr>
        <w:t>d)</w:t>
      </w:r>
      <w:r w:rsidRPr="009E47FF">
        <w:tab/>
        <w:t xml:space="preserve">la Résolution 44 (Rév. Hammamet, 2016) de la </w:t>
      </w:r>
      <w:r>
        <w:t>présente Assemblée</w:t>
      </w:r>
      <w:r w:rsidRPr="009E47FF">
        <w:t>, relative à la réduction de l'écart en matière de normalisation entre pays en développement</w:t>
      </w:r>
      <w:r w:rsidRPr="009E47FF">
        <w:rPr>
          <w:rStyle w:val="FootnoteReference"/>
        </w:rPr>
        <w:footnoteReference w:customMarkFollows="1" w:id="1"/>
        <w:t>1</w:t>
      </w:r>
      <w:r w:rsidRPr="009E47FF">
        <w:t xml:space="preserve"> et pays développés, qui décrit l'origine des fonds qui seront réunis pour réduire l'écart en matière de normalisation,</w:t>
      </w:r>
    </w:p>
    <w:p w:rsidR="007A304D" w:rsidRPr="009E47FF" w:rsidRDefault="007A304D" w:rsidP="007A304D">
      <w:pPr>
        <w:pStyle w:val="Call"/>
      </w:pPr>
      <w:r w:rsidRPr="009E47FF">
        <w:t>notant</w:t>
      </w:r>
    </w:p>
    <w:p w:rsidR="007A304D" w:rsidRPr="009E47FF" w:rsidRDefault="007A304D" w:rsidP="007A304D">
      <w:r w:rsidRPr="009E47FF">
        <w:rPr>
          <w:i/>
          <w:iCs/>
        </w:rPr>
        <w:t>a)</w:t>
      </w:r>
      <w:r w:rsidRPr="009E47FF">
        <w:tab/>
        <w:t xml:space="preserve">les délibérations du Conseil de l'UIT à sa session de 2016 concernant les ressources internationales de numérotage (INR) et l'identification d'autres sources de recettes possibles pour l'UIT-T, au cours desquelles le Secrétariat a indiqué qu'il serait difficile de présenter un budget équilibré pour la période 2018-2019, à moins que de nouvelles sources </w:t>
      </w:r>
      <w:r>
        <w:t>de recettes soient identifiées;</w:t>
      </w:r>
    </w:p>
    <w:p w:rsidR="007A304D" w:rsidRPr="009E47FF" w:rsidRDefault="007A304D" w:rsidP="007A304D">
      <w:r w:rsidRPr="009E47FF">
        <w:rPr>
          <w:i/>
          <w:iCs/>
        </w:rPr>
        <w:t>b)</w:t>
      </w:r>
      <w:r w:rsidRPr="009E47FF">
        <w:tab/>
        <w:t>que le Conseil à sa session de 2016 a recommandé qu'une étude identifiant toutes les sources de recettes possibles pour l'Union, y compris mais non exclusivement les ressources INR, lui soit présentée à sa session de 2017,</w:t>
      </w:r>
    </w:p>
    <w:p w:rsidR="007A304D" w:rsidRPr="009E47FF" w:rsidRDefault="007A304D" w:rsidP="007A304D">
      <w:pPr>
        <w:pStyle w:val="Call"/>
      </w:pPr>
      <w:r w:rsidRPr="009E47FF">
        <w:t>constatant</w:t>
      </w:r>
    </w:p>
    <w:p w:rsidR="007A304D" w:rsidRPr="009E47FF" w:rsidRDefault="007A304D" w:rsidP="007A304D">
      <w:r w:rsidRPr="009E47FF">
        <w:rPr>
          <w:i/>
          <w:iCs/>
        </w:rPr>
        <w:t>a)</w:t>
      </w:r>
      <w:r w:rsidRPr="009E47FF">
        <w:tab/>
        <w:t>que, même si les travaux et les activités de l'UIT-T sont toujours plus nombreux, les ressources allouées à ce Secteur pourraient s'avérer insuffisantes pour couvrir entièrement tous les travaux ainsi que toutes les activités et études qu'il mène;</w:t>
      </w:r>
    </w:p>
    <w:p w:rsidR="007A304D" w:rsidRPr="00241B81" w:rsidRDefault="007A304D" w:rsidP="007A304D">
      <w:r w:rsidRPr="009E47FF">
        <w:rPr>
          <w:i/>
          <w:iCs/>
        </w:rPr>
        <w:t>b)</w:t>
      </w:r>
      <w:r w:rsidRPr="009E47FF">
        <w:tab/>
        <w:t>que les recettes de l'Union, qui s'appuient sur les contributions versées par les Etats Membres et les Membres des Secteurs, n'ont cessé de diminuer;</w:t>
      </w:r>
    </w:p>
    <w:p w:rsidR="007A304D" w:rsidRPr="009E47FF" w:rsidRDefault="007A304D" w:rsidP="007A304D">
      <w:r w:rsidRPr="009E47FF">
        <w:rPr>
          <w:i/>
          <w:iCs/>
        </w:rPr>
        <w:t>c)</w:t>
      </w:r>
      <w:r w:rsidRPr="009E47FF">
        <w:tab/>
        <w:t>qu'il faut accroître les recettes de l'UIT-T en élargissant et en diversifiant les sources de recettes,</w:t>
      </w:r>
    </w:p>
    <w:p w:rsidR="007A304D" w:rsidRPr="009E47FF" w:rsidRDefault="007A304D" w:rsidP="007A304D">
      <w:pPr>
        <w:pStyle w:val="Call"/>
      </w:pPr>
      <w:r w:rsidRPr="009E47FF">
        <w:t>décide de charger le Directeur du Bureau de la normalisation des télécommunications</w:t>
      </w:r>
    </w:p>
    <w:p w:rsidR="007A304D" w:rsidRPr="009E47FF" w:rsidRDefault="007A304D" w:rsidP="007A304D">
      <w:r w:rsidRPr="009E47FF">
        <w:t xml:space="preserve">de participer à l'étude visée au point </w:t>
      </w:r>
      <w:r w:rsidRPr="009E47FF">
        <w:rPr>
          <w:i/>
          <w:iCs/>
        </w:rPr>
        <w:t>b)</w:t>
      </w:r>
      <w:r w:rsidRPr="009E47FF">
        <w:t xml:space="preserve"> du </w:t>
      </w:r>
      <w:r w:rsidRPr="009E47FF">
        <w:rPr>
          <w:i/>
          <w:iCs/>
        </w:rPr>
        <w:t>notant ci-dessus</w:t>
      </w:r>
      <w:r w:rsidRPr="009E47FF">
        <w:t>, concernant de nouvelles mesures susceptibles de générer des recettes supplémentaires pour l'UIT-T, y compris des recettes pouvant provenir des ressources INR et des tests de co</w:t>
      </w:r>
      <w:r>
        <w:t>nformité et d'interopérabilité.</w:t>
      </w:r>
    </w:p>
    <w:p w:rsidR="00AF2D68" w:rsidRDefault="00AF2D68" w:rsidP="00AF2D68">
      <w:pPr>
        <w:rPr>
          <w:lang w:val="fr-CH"/>
        </w:rPr>
      </w:pPr>
      <w:bookmarkStart w:id="10" w:name="_GoBack"/>
      <w:bookmarkEnd w:id="10"/>
    </w:p>
    <w:p w:rsidR="00AF2D68" w:rsidRPr="007A304D" w:rsidRDefault="00AF2D68" w:rsidP="007A304D">
      <w:pPr>
        <w:rPr>
          <w:iCs/>
          <w:lang w:val="fr-CH"/>
        </w:rPr>
      </w:pPr>
    </w:p>
    <w:sectPr w:rsidR="00AF2D68" w:rsidRPr="007A304D" w:rsidSect="007A304D">
      <w:headerReference w:type="even" r:id="rId14"/>
      <w:headerReference w:type="default" r:id="rId15"/>
      <w:footerReference w:type="even" r:id="rId16"/>
      <w:footerReference w:type="default" r:id="rId17"/>
      <w:footerReference w:type="first" r:id="rId18"/>
      <w:footnotePr>
        <w:pos w:val="beneathText"/>
      </w:footnotePr>
      <w:pgSz w:w="11907" w:h="16834" w:code="9"/>
      <w:pgMar w:top="1134" w:right="1134" w:bottom="1134" w:left="1134" w:header="567" w:footer="567" w:gutter="0"/>
      <w:paperSrc w:first="15" w:other="15"/>
      <w:pgNumType w:start="1"/>
      <w:cols w:space="720"/>
      <w:vAlign w:val="both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7E66" w:rsidRDefault="00997E66">
      <w:r>
        <w:separator/>
      </w:r>
    </w:p>
  </w:endnote>
  <w:endnote w:type="continuationSeparator" w:id="0">
    <w:p w:rsidR="00997E66" w:rsidRDefault="00997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2D68" w:rsidRDefault="00AF2D68" w:rsidP="00AF2D68">
    <w:pPr>
      <w:pStyle w:val="FooterQP"/>
      <w:rPr>
        <w:b w:val="0"/>
        <w:lang w:val="en-US"/>
      </w:rPr>
    </w:pPr>
    <w:r>
      <w:rPr>
        <w:b w:val="0"/>
        <w:lang w:val="en-US"/>
      </w:rPr>
      <w:fldChar w:fldCharType="begin"/>
    </w:r>
    <w:r>
      <w:rPr>
        <w:b w:val="0"/>
        <w:lang w:val="en-US"/>
      </w:rPr>
      <w:instrText xml:space="preserve"> PAGE  \* MERGEFORMAT </w:instrText>
    </w:r>
    <w:r>
      <w:rPr>
        <w:b w:val="0"/>
        <w:lang w:val="en-US"/>
      </w:rPr>
      <w:fldChar w:fldCharType="separate"/>
    </w:r>
    <w:r>
      <w:rPr>
        <w:b w:val="0"/>
        <w:noProof/>
        <w:lang w:val="en-US"/>
      </w:rPr>
      <w:t>3</w:t>
    </w:r>
    <w:r>
      <w:rPr>
        <w:b w:val="0"/>
        <w:lang w:val="en-US"/>
      </w:rPr>
      <w:fldChar w:fldCharType="end"/>
    </w:r>
    <w:r>
      <w:tab/>
      <w:t>AMNT</w:t>
    </w:r>
    <w:r>
      <w:rPr>
        <w:lang w:val="en-US"/>
      </w:rPr>
      <w:t>-12 – Résolution 1</w:t>
    </w:r>
    <w:r>
      <w:rPr>
        <w:lang w:val="en-US"/>
      </w:rPr>
      <w:tab/>
    </w:r>
  </w:p>
  <w:p w:rsidR="00AF2D68" w:rsidRDefault="00AF2D6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9C" w:rsidRDefault="00A8419C" w:rsidP="00A8419C">
    <w:pPr>
      <w:pStyle w:val="FooterQP"/>
      <w:rPr>
        <w:b w:val="0"/>
        <w:lang w:val="en-US"/>
      </w:rPr>
    </w:pPr>
    <w:r>
      <w:tab/>
    </w:r>
    <w:r>
      <w:tab/>
      <w:t>AMNT</w:t>
    </w:r>
    <w:r>
      <w:rPr>
        <w:lang w:val="en-US"/>
      </w:rPr>
      <w:t>-12 – Résolution 1</w:t>
    </w:r>
    <w:r>
      <w:rPr>
        <w:lang w:val="en-US"/>
      </w:rPr>
      <w:tab/>
    </w:r>
    <w:r>
      <w:rPr>
        <w:b w:val="0"/>
        <w:lang w:val="en-US"/>
      </w:rPr>
      <w:fldChar w:fldCharType="begin"/>
    </w:r>
    <w:r>
      <w:rPr>
        <w:b w:val="0"/>
        <w:lang w:val="en-US"/>
      </w:rPr>
      <w:instrText xml:space="preserve"> PAGE  \* MERGEFORMAT </w:instrText>
    </w:r>
    <w:r>
      <w:rPr>
        <w:b w:val="0"/>
        <w:lang w:val="en-US"/>
      </w:rPr>
      <w:fldChar w:fldCharType="separate"/>
    </w:r>
    <w:r w:rsidR="00F51075">
      <w:rPr>
        <w:b w:val="0"/>
        <w:noProof/>
        <w:lang w:val="en-US"/>
      </w:rPr>
      <w:t>3</w:t>
    </w:r>
    <w:r>
      <w:rPr>
        <w:b w:val="0"/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9C" w:rsidRDefault="00A8419C" w:rsidP="000D211D">
    <w:pPr>
      <w:pStyle w:val="FooterQP"/>
      <w:rPr>
        <w:b w:val="0"/>
        <w:lang w:val="en-US"/>
      </w:rPr>
    </w:pPr>
    <w:r>
      <w:rPr>
        <w:b w:val="0"/>
        <w:lang w:val="en-US"/>
      </w:rPr>
      <w:fldChar w:fldCharType="begin"/>
    </w:r>
    <w:r>
      <w:rPr>
        <w:b w:val="0"/>
        <w:lang w:val="en-US"/>
      </w:rPr>
      <w:instrText xml:space="preserve"> PAGE  \* MERGEFORMAT </w:instrText>
    </w:r>
    <w:r>
      <w:rPr>
        <w:b w:val="0"/>
        <w:lang w:val="en-US"/>
      </w:rPr>
      <w:fldChar w:fldCharType="separate"/>
    </w:r>
    <w:r w:rsidR="007A304D">
      <w:rPr>
        <w:b w:val="0"/>
        <w:noProof/>
        <w:lang w:val="en-US"/>
      </w:rPr>
      <w:t>2</w:t>
    </w:r>
    <w:r>
      <w:rPr>
        <w:b w:val="0"/>
        <w:lang w:val="en-US"/>
      </w:rPr>
      <w:fldChar w:fldCharType="end"/>
    </w:r>
    <w:r>
      <w:tab/>
      <w:t>AMNT</w:t>
    </w:r>
    <w:r>
      <w:rPr>
        <w:lang w:val="en-US"/>
      </w:rPr>
      <w:t>-</w:t>
    </w:r>
    <w:r w:rsidR="00F51075">
      <w:rPr>
        <w:lang w:val="en-US"/>
      </w:rPr>
      <w:t>1</w:t>
    </w:r>
    <w:r w:rsidR="000D211D">
      <w:rPr>
        <w:lang w:val="en-US"/>
      </w:rPr>
      <w:t>6</w:t>
    </w:r>
    <w:r>
      <w:rPr>
        <w:lang w:val="en-US"/>
      </w:rPr>
      <w:t xml:space="preserve"> – Résolution 1</w:t>
    </w:r>
    <w:r>
      <w:rPr>
        <w:lang w:val="en-US"/>
      </w:rPr>
      <w:tab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9C" w:rsidRDefault="00A8419C" w:rsidP="00F51075">
    <w:pPr>
      <w:pStyle w:val="FooterQP"/>
      <w:rPr>
        <w:b w:val="0"/>
        <w:lang w:val="en-US"/>
      </w:rPr>
    </w:pPr>
    <w:r>
      <w:tab/>
    </w:r>
    <w:r>
      <w:tab/>
      <w:t>AMNT</w:t>
    </w:r>
    <w:r>
      <w:rPr>
        <w:lang w:val="en-US"/>
      </w:rPr>
      <w:t>-</w:t>
    </w:r>
    <w:r w:rsidR="00F51075">
      <w:rPr>
        <w:lang w:val="en-US"/>
      </w:rPr>
      <w:t>12</w:t>
    </w:r>
    <w:r>
      <w:rPr>
        <w:lang w:val="en-US"/>
      </w:rPr>
      <w:t xml:space="preserve"> – Résolution 1</w:t>
    </w:r>
    <w:r>
      <w:rPr>
        <w:lang w:val="en-US"/>
      </w:rPr>
      <w:tab/>
    </w:r>
    <w:r>
      <w:rPr>
        <w:b w:val="0"/>
        <w:lang w:val="en-US"/>
      </w:rPr>
      <w:fldChar w:fldCharType="begin"/>
    </w:r>
    <w:r>
      <w:rPr>
        <w:b w:val="0"/>
        <w:lang w:val="en-US"/>
      </w:rPr>
      <w:instrText xml:space="preserve"> PAGE  \* MERGEFORMAT </w:instrText>
    </w:r>
    <w:r>
      <w:rPr>
        <w:b w:val="0"/>
        <w:lang w:val="en-US"/>
      </w:rPr>
      <w:fldChar w:fldCharType="separate"/>
    </w:r>
    <w:r w:rsidR="00AF2D68">
      <w:rPr>
        <w:b w:val="0"/>
        <w:noProof/>
        <w:lang w:val="en-US"/>
      </w:rPr>
      <w:t>27</w:t>
    </w:r>
    <w:r>
      <w:rPr>
        <w:b w:val="0"/>
        <w:lang w:val="en-US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2D68" w:rsidRPr="00AF2D68" w:rsidRDefault="00AF2D68" w:rsidP="007A304D">
    <w:pPr>
      <w:pStyle w:val="FooterQP"/>
      <w:rPr>
        <w:b w:val="0"/>
        <w:lang w:val="en-US"/>
      </w:rPr>
    </w:pPr>
    <w:r>
      <w:tab/>
    </w:r>
    <w:r>
      <w:tab/>
      <w:t>AMNT</w:t>
    </w:r>
    <w:r>
      <w:rPr>
        <w:lang w:val="en-US"/>
      </w:rPr>
      <w:t xml:space="preserve">-16 – Résolution </w:t>
    </w:r>
    <w:r w:rsidR="007A304D">
      <w:rPr>
        <w:lang w:val="en-US"/>
      </w:rPr>
      <w:t>85</w:t>
    </w:r>
    <w:r>
      <w:rPr>
        <w:lang w:val="en-US"/>
      </w:rPr>
      <w:tab/>
    </w:r>
    <w:r>
      <w:rPr>
        <w:b w:val="0"/>
        <w:lang w:val="en-US"/>
      </w:rPr>
      <w:fldChar w:fldCharType="begin"/>
    </w:r>
    <w:r>
      <w:rPr>
        <w:b w:val="0"/>
        <w:lang w:val="en-US"/>
      </w:rPr>
      <w:instrText xml:space="preserve"> PAGE  \* MERGEFORMAT </w:instrText>
    </w:r>
    <w:r>
      <w:rPr>
        <w:b w:val="0"/>
        <w:lang w:val="en-US"/>
      </w:rPr>
      <w:fldChar w:fldCharType="separate"/>
    </w:r>
    <w:r w:rsidR="00E8715B">
      <w:rPr>
        <w:b w:val="0"/>
        <w:noProof/>
        <w:lang w:val="en-US"/>
      </w:rPr>
      <w:t>1</w:t>
    </w:r>
    <w:r>
      <w:rPr>
        <w:b w:val="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7E66" w:rsidRDefault="00997E66">
      <w:r>
        <w:t>____________________</w:t>
      </w:r>
    </w:p>
  </w:footnote>
  <w:footnote w:type="continuationSeparator" w:id="0">
    <w:p w:rsidR="00997E66" w:rsidRDefault="00997E66">
      <w:r>
        <w:continuationSeparator/>
      </w:r>
    </w:p>
  </w:footnote>
  <w:footnote w:id="1">
    <w:p w:rsidR="007A304D" w:rsidRPr="00042C5E" w:rsidRDefault="007A304D" w:rsidP="007A304D">
      <w:pPr>
        <w:pStyle w:val="FootnoteText"/>
      </w:pPr>
      <w:r w:rsidRPr="00042C5E">
        <w:rPr>
          <w:rStyle w:val="FootnoteReference"/>
        </w:rPr>
        <w:t>1</w:t>
      </w:r>
      <w:r w:rsidRPr="00042C5E">
        <w:tab/>
      </w:r>
      <w:r>
        <w:t>Par</w:t>
      </w:r>
      <w:r>
        <w:rPr>
          <w:lang w:val="fr-CH"/>
        </w:rPr>
        <w:t xml:space="preserve"> pays en développement, on entend aussi les pays les moins avancés,</w:t>
      </w:r>
      <w:r w:rsidRPr="001064E8">
        <w:rPr>
          <w:lang w:val="fr-CH"/>
        </w:rPr>
        <w:t xml:space="preserve"> </w:t>
      </w:r>
      <w:r>
        <w:rPr>
          <w:lang w:val="fr-CH"/>
        </w:rPr>
        <w:t>les petits Etats insulaires en développement, les pays en développement sans littoral et les pays dont l'économie est en transition.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1075" w:rsidRDefault="00F51075">
    <w:pPr>
      <w:pStyle w:val="Header"/>
    </w:pP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775E81" wp14:editId="2A713456">
              <wp:simplePos x="0" y="0"/>
              <wp:positionH relativeFrom="column">
                <wp:posOffset>-548640</wp:posOffset>
              </wp:positionH>
              <wp:positionV relativeFrom="paragraph">
                <wp:posOffset>375920</wp:posOffset>
              </wp:positionV>
              <wp:extent cx="518795" cy="6318885"/>
              <wp:effectExtent l="0" t="0" r="0" b="5715"/>
              <wp:wrapNone/>
              <wp:docPr id="10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8795" cy="6318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1075" w:rsidRPr="008B3C20" w:rsidRDefault="00F51075" w:rsidP="00F51075">
                          <w:pPr>
                            <w:pStyle w:val="FooterQP"/>
                            <w:rPr>
                              <w:lang w:val="fr-CH"/>
                            </w:rPr>
                          </w:pPr>
                          <w:r w:rsidRPr="002D6EB1">
                            <w:rPr>
                              <w:b w:val="0"/>
                            </w:rPr>
                            <w:fldChar w:fldCharType="begin"/>
                          </w:r>
                          <w:r w:rsidRPr="008B3C20">
                            <w:rPr>
                              <w:b w:val="0"/>
                              <w:lang w:val="fr-CH"/>
                            </w:rPr>
                            <w:instrText xml:space="preserve"> PAGE  \* MERGEFORMAT </w:instrText>
                          </w:r>
                          <w:r w:rsidRPr="002D6EB1">
                            <w:rPr>
                              <w:b w:val="0"/>
                            </w:rPr>
                            <w:fldChar w:fldCharType="separate"/>
                          </w:r>
                          <w:r w:rsidR="00C42B10">
                            <w:rPr>
                              <w:b w:val="0"/>
                              <w:noProof/>
                              <w:lang w:val="fr-CH"/>
                            </w:rPr>
                            <w:t>2</w:t>
                          </w:r>
                          <w:r w:rsidRPr="002D6EB1">
                            <w:rPr>
                              <w:b w:val="0"/>
                            </w:rPr>
                            <w:fldChar w:fldCharType="end"/>
                          </w:r>
                          <w:r w:rsidRPr="008B3C20">
                            <w:rPr>
                              <w:b w:val="0"/>
                              <w:lang w:val="fr-CH"/>
                            </w:rPr>
                            <w:t xml:space="preserve">           </w:t>
                          </w:r>
                          <w:r w:rsidRPr="008B3C20">
                            <w:rPr>
                              <w:lang w:val="fr-CH"/>
                            </w:rPr>
                            <w:t xml:space="preserve">AMNT-12 – Actes – Partie </w:t>
                          </w:r>
                          <w:r>
                            <w:rPr>
                              <w:lang w:val="fr-CH"/>
                            </w:rPr>
                            <w:t>1</w:t>
                          </w:r>
                          <w:r w:rsidRPr="008B3C20">
                            <w:rPr>
                              <w:lang w:val="fr-CH"/>
                            </w:rPr>
                            <w:t xml:space="preserve"> – Résolution</w:t>
                          </w:r>
                          <w:r>
                            <w:rPr>
                              <w:lang w:val="fr-CH"/>
                            </w:rPr>
                            <w:t xml:space="preserve"> 1</w:t>
                          </w:r>
                          <w:r w:rsidRPr="008B3C20">
                            <w:rPr>
                              <w:lang w:val="fr-CH"/>
                            </w:rPr>
                            <w:t xml:space="preserve">      </w:t>
                          </w:r>
                        </w:p>
                      </w:txbxContent>
                    </wps:txbx>
                    <wps:bodyPr rot="0" vert="ea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775E8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-43.2pt;margin-top:29.6pt;width:40.85pt;height:49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" stroked="f">
              <v:textbox style="layout-flow:vertical-ideographic">
                <w:txbxContent>
                  <w:p w:rsidR="00F51075" w:rsidRPr="008B3C20" w:rsidRDefault="00F51075" w:rsidP="00F51075">
                    <w:pPr>
                      <w:pStyle w:val="FooterQP"/>
                      <w:rPr>
                        <w:lang w:val="fr-CH"/>
                      </w:rPr>
                    </w:pPr>
                    <w:r w:rsidRPr="002D6EB1">
                      <w:rPr>
                        <w:b w:val="0"/>
                      </w:rPr>
                      <w:fldChar w:fldCharType="begin"/>
                    </w:r>
                    <w:r w:rsidRPr="008B3C20">
                      <w:rPr>
                        <w:b w:val="0"/>
                        <w:lang w:val="fr-CH"/>
                      </w:rPr>
                      <w:instrText xml:space="preserve"> PAGE  \* MERGEFORMAT </w:instrText>
                    </w:r>
                    <w:r w:rsidRPr="002D6EB1">
                      <w:rPr>
                        <w:b w:val="0"/>
                      </w:rPr>
                      <w:fldChar w:fldCharType="separate"/>
                    </w:r>
                    <w:r w:rsidR="00C42B10">
                      <w:rPr>
                        <w:b w:val="0"/>
                        <w:noProof/>
                        <w:lang w:val="fr-CH"/>
                      </w:rPr>
                      <w:t>2</w:t>
                    </w:r>
                    <w:r w:rsidRPr="002D6EB1">
                      <w:rPr>
                        <w:b w:val="0"/>
                      </w:rPr>
                      <w:fldChar w:fldCharType="end"/>
                    </w:r>
                    <w:r w:rsidRPr="008B3C20">
                      <w:rPr>
                        <w:b w:val="0"/>
                        <w:lang w:val="fr-CH"/>
                      </w:rPr>
                      <w:t xml:space="preserve">           </w:t>
                    </w:r>
                    <w:r w:rsidRPr="008B3C20">
                      <w:rPr>
                        <w:lang w:val="fr-CH"/>
                      </w:rPr>
                      <w:t xml:space="preserve">AMNT-12 – Actes – Partie </w:t>
                    </w:r>
                    <w:r>
                      <w:rPr>
                        <w:lang w:val="fr-CH"/>
                      </w:rPr>
                      <w:t>1</w:t>
                    </w:r>
                    <w:r w:rsidRPr="008B3C20">
                      <w:rPr>
                        <w:lang w:val="fr-CH"/>
                      </w:rPr>
                      <w:t xml:space="preserve"> – Résolution</w:t>
                    </w:r>
                    <w:r>
                      <w:rPr>
                        <w:lang w:val="fr-CH"/>
                      </w:rPr>
                      <w:t xml:space="preserve"> 1</w:t>
                    </w:r>
                    <w:r w:rsidRPr="008B3C20">
                      <w:rPr>
                        <w:lang w:val="fr-CH"/>
                      </w:rPr>
                      <w:t xml:space="preserve">      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2B10" w:rsidRDefault="00C42B1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2B10" w:rsidRDefault="00C42B10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2B10" w:rsidRDefault="00C42B1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55C92"/>
    <w:multiLevelType w:val="hybridMultilevel"/>
    <w:tmpl w:val="4F98DD66"/>
    <w:lvl w:ilvl="0" w:tplc="C6BA6F22">
      <w:start w:val="1"/>
      <w:numFmt w:val="bullet"/>
      <w:lvlText w:val=""/>
      <w:lvlJc w:val="left"/>
      <w:pPr>
        <w:tabs>
          <w:tab w:val="num" w:pos="794"/>
        </w:tabs>
        <w:ind w:left="794" w:hanging="79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65863"/>
    <w:multiLevelType w:val="hybridMultilevel"/>
    <w:tmpl w:val="36527874"/>
    <w:lvl w:ilvl="0" w:tplc="07B88C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72F17"/>
    <w:multiLevelType w:val="hybridMultilevel"/>
    <w:tmpl w:val="9CFAC4A6"/>
    <w:lvl w:ilvl="0" w:tplc="78B2D2D6">
      <w:start w:val="1"/>
      <w:numFmt w:val="bullet"/>
      <w:lvlText w:val=""/>
      <w:lvlJc w:val="left"/>
      <w:pPr>
        <w:tabs>
          <w:tab w:val="num" w:pos="794"/>
        </w:tabs>
        <w:ind w:left="794" w:hanging="79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43B86"/>
    <w:multiLevelType w:val="hybridMultilevel"/>
    <w:tmpl w:val="650253C0"/>
    <w:lvl w:ilvl="0" w:tplc="BF7A34CE">
      <w:start w:val="1"/>
      <w:numFmt w:val="bullet"/>
      <w:lvlText w:val=""/>
      <w:lvlJc w:val="left"/>
      <w:pPr>
        <w:tabs>
          <w:tab w:val="num" w:pos="794"/>
        </w:tabs>
        <w:ind w:left="794" w:hanging="79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0B4AA1"/>
    <w:multiLevelType w:val="hybridMultilevel"/>
    <w:tmpl w:val="958E07B2"/>
    <w:lvl w:ilvl="0" w:tplc="FD449DC6">
      <w:start w:val="1"/>
      <w:numFmt w:val="bullet"/>
      <w:lvlText w:val=""/>
      <w:lvlJc w:val="left"/>
      <w:pPr>
        <w:tabs>
          <w:tab w:val="num" w:pos="794"/>
        </w:tabs>
        <w:ind w:left="794" w:hanging="79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62240D"/>
    <w:multiLevelType w:val="hybridMultilevel"/>
    <w:tmpl w:val="7C0C7DA2"/>
    <w:lvl w:ilvl="0" w:tplc="1E56376A">
      <w:start w:val="1"/>
      <w:numFmt w:val="bullet"/>
      <w:lvlText w:val=""/>
      <w:lvlJc w:val="left"/>
      <w:pPr>
        <w:tabs>
          <w:tab w:val="num" w:pos="794"/>
        </w:tabs>
        <w:ind w:left="794" w:hanging="79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223EB4"/>
    <w:multiLevelType w:val="hybridMultilevel"/>
    <w:tmpl w:val="76225E68"/>
    <w:lvl w:ilvl="0" w:tplc="0C26801C">
      <w:start w:val="10"/>
      <w:numFmt w:val="decimal"/>
      <w:lvlText w:val="%1."/>
      <w:lvlJc w:val="left"/>
      <w:pPr>
        <w:tabs>
          <w:tab w:val="num" w:pos="794"/>
        </w:tabs>
        <w:ind w:left="794" w:hanging="794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221169D"/>
    <w:multiLevelType w:val="hybridMultilevel"/>
    <w:tmpl w:val="83B2AF3A"/>
    <w:lvl w:ilvl="0" w:tplc="0980CDD6">
      <w:start w:val="1"/>
      <w:numFmt w:val="lowerLetter"/>
      <w:lvlText w:val="%1)"/>
      <w:lvlJc w:val="left"/>
      <w:pPr>
        <w:tabs>
          <w:tab w:val="num" w:pos="794"/>
        </w:tabs>
        <w:ind w:left="794" w:hanging="794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65E14E5"/>
    <w:multiLevelType w:val="hybridMultilevel"/>
    <w:tmpl w:val="A60EF316"/>
    <w:lvl w:ilvl="0" w:tplc="1048F9A8">
      <w:start w:val="1"/>
      <w:numFmt w:val="decimal"/>
      <w:lvlText w:val="(%1)"/>
      <w:lvlJc w:val="left"/>
      <w:pPr>
        <w:tabs>
          <w:tab w:val="num" w:pos="794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666495E"/>
    <w:multiLevelType w:val="hybridMultilevel"/>
    <w:tmpl w:val="A8347968"/>
    <w:lvl w:ilvl="0" w:tplc="1BDC0ED6">
      <w:start w:val="1"/>
      <w:numFmt w:val="lowerLetter"/>
      <w:lvlText w:val="%1)"/>
      <w:lvlJc w:val="left"/>
      <w:pPr>
        <w:tabs>
          <w:tab w:val="num" w:pos="794"/>
        </w:tabs>
      </w:pPr>
      <w:rPr>
        <w:rFonts w:cs="Times New Roman" w:hint="default"/>
      </w:rPr>
    </w:lvl>
    <w:lvl w:ilvl="1" w:tplc="62E0906E">
      <w:start w:val="1"/>
      <w:numFmt w:val="bullet"/>
      <w:lvlText w:val=""/>
      <w:lvlJc w:val="left"/>
      <w:pPr>
        <w:tabs>
          <w:tab w:val="num" w:pos="624"/>
        </w:tabs>
        <w:ind w:left="1418" w:hanging="624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68F0686"/>
    <w:multiLevelType w:val="hybridMultilevel"/>
    <w:tmpl w:val="D3AE4562"/>
    <w:lvl w:ilvl="0" w:tplc="BD38B312">
      <w:start w:val="1"/>
      <w:numFmt w:val="bullet"/>
      <w:lvlText w:val=""/>
      <w:lvlJc w:val="left"/>
      <w:pPr>
        <w:tabs>
          <w:tab w:val="num" w:pos="794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297E7B"/>
    <w:multiLevelType w:val="hybridMultilevel"/>
    <w:tmpl w:val="1DE084F4"/>
    <w:lvl w:ilvl="0" w:tplc="80DAD0F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A356F5"/>
    <w:multiLevelType w:val="hybridMultilevel"/>
    <w:tmpl w:val="6C463346"/>
    <w:lvl w:ilvl="0" w:tplc="78B2D2D6">
      <w:start w:val="1"/>
      <w:numFmt w:val="bullet"/>
      <w:lvlText w:val=""/>
      <w:lvlJc w:val="left"/>
      <w:pPr>
        <w:tabs>
          <w:tab w:val="num" w:pos="794"/>
        </w:tabs>
        <w:ind w:left="794" w:hanging="79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9F2E23"/>
    <w:multiLevelType w:val="hybridMultilevel"/>
    <w:tmpl w:val="653E5502"/>
    <w:lvl w:ilvl="0" w:tplc="FD449DC6">
      <w:start w:val="1"/>
      <w:numFmt w:val="bullet"/>
      <w:lvlText w:val=""/>
      <w:lvlJc w:val="left"/>
      <w:pPr>
        <w:tabs>
          <w:tab w:val="num" w:pos="794"/>
        </w:tabs>
        <w:ind w:left="794" w:hanging="79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513A0A"/>
    <w:multiLevelType w:val="hybridMultilevel"/>
    <w:tmpl w:val="A5146B26"/>
    <w:lvl w:ilvl="0" w:tplc="067E600E">
      <w:start w:val="1"/>
      <w:numFmt w:val="decimal"/>
      <w:lvlText w:val="%1."/>
      <w:lvlJc w:val="left"/>
      <w:pPr>
        <w:tabs>
          <w:tab w:val="num" w:pos="794"/>
        </w:tabs>
        <w:ind w:left="794" w:hanging="794"/>
      </w:pPr>
      <w:rPr>
        <w:rFonts w:cs="Times New Roman" w:hint="default"/>
      </w:rPr>
    </w:lvl>
    <w:lvl w:ilvl="1" w:tplc="54B4FFA8">
      <w:start w:val="1"/>
      <w:numFmt w:val="lowerLetter"/>
      <w:lvlText w:val="%2)"/>
      <w:lvlJc w:val="left"/>
      <w:pPr>
        <w:tabs>
          <w:tab w:val="num" w:pos="624"/>
        </w:tabs>
        <w:ind w:left="1418" w:hanging="624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6FE3C42"/>
    <w:multiLevelType w:val="hybridMultilevel"/>
    <w:tmpl w:val="3E84E102"/>
    <w:lvl w:ilvl="0" w:tplc="1BDC0ED6">
      <w:start w:val="1"/>
      <w:numFmt w:val="lowerLetter"/>
      <w:lvlText w:val="%1)"/>
      <w:lvlJc w:val="left"/>
      <w:pPr>
        <w:tabs>
          <w:tab w:val="num" w:pos="794"/>
        </w:tabs>
      </w:pPr>
      <w:rPr>
        <w:rFonts w:cs="Times New Roman" w:hint="default"/>
      </w:rPr>
    </w:lvl>
    <w:lvl w:ilvl="1" w:tplc="5A6AF25C">
      <w:start w:val="1"/>
      <w:numFmt w:val="bullet"/>
      <w:lvlText w:val=""/>
      <w:lvlJc w:val="left"/>
      <w:pPr>
        <w:tabs>
          <w:tab w:val="num" w:pos="624"/>
        </w:tabs>
        <w:ind w:left="624" w:firstLine="17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70C6A34"/>
    <w:multiLevelType w:val="hybridMultilevel"/>
    <w:tmpl w:val="4EB614DC"/>
    <w:lvl w:ilvl="0" w:tplc="59E4F08A">
      <w:start w:val="1"/>
      <w:numFmt w:val="bullet"/>
      <w:lvlText w:val=""/>
      <w:lvlJc w:val="left"/>
      <w:pPr>
        <w:tabs>
          <w:tab w:val="num" w:pos="794"/>
        </w:tabs>
        <w:ind w:left="794" w:hanging="79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27331B"/>
    <w:multiLevelType w:val="hybridMultilevel"/>
    <w:tmpl w:val="A94A011E"/>
    <w:lvl w:ilvl="0" w:tplc="1E56376A">
      <w:start w:val="1"/>
      <w:numFmt w:val="bullet"/>
      <w:lvlText w:val=""/>
      <w:lvlJc w:val="left"/>
      <w:pPr>
        <w:tabs>
          <w:tab w:val="num" w:pos="794"/>
        </w:tabs>
        <w:ind w:left="794" w:hanging="79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245179"/>
    <w:multiLevelType w:val="hybridMultilevel"/>
    <w:tmpl w:val="86DAB9DE"/>
    <w:lvl w:ilvl="0" w:tplc="4710A22A">
      <w:start w:val="1"/>
      <w:numFmt w:val="lowerLetter"/>
      <w:lvlText w:val="%1)"/>
      <w:lvlJc w:val="left"/>
      <w:pPr>
        <w:tabs>
          <w:tab w:val="num" w:pos="794"/>
        </w:tabs>
        <w:ind w:left="794" w:hanging="794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2C97628"/>
    <w:multiLevelType w:val="multilevel"/>
    <w:tmpl w:val="51C44DD6"/>
    <w:lvl w:ilvl="0">
      <w:start w:val="6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743F7651"/>
    <w:multiLevelType w:val="hybridMultilevel"/>
    <w:tmpl w:val="B00419DC"/>
    <w:lvl w:ilvl="0" w:tplc="07B88C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BE4B30"/>
    <w:multiLevelType w:val="hybridMultilevel"/>
    <w:tmpl w:val="AC5262AC"/>
    <w:lvl w:ilvl="0" w:tplc="1810954C">
      <w:start w:val="1"/>
      <w:numFmt w:val="bullet"/>
      <w:lvlText w:val=""/>
      <w:lvlJc w:val="left"/>
      <w:pPr>
        <w:tabs>
          <w:tab w:val="num" w:pos="794"/>
        </w:tabs>
        <w:ind w:left="794" w:hanging="79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C7343D"/>
    <w:multiLevelType w:val="hybridMultilevel"/>
    <w:tmpl w:val="7F16036A"/>
    <w:lvl w:ilvl="0" w:tplc="80DAD0F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491345"/>
    <w:multiLevelType w:val="hybridMultilevel"/>
    <w:tmpl w:val="03701896"/>
    <w:lvl w:ilvl="0" w:tplc="90FA4456">
      <w:start w:val="1"/>
      <w:numFmt w:val="decimal"/>
      <w:lvlText w:val="%1."/>
      <w:lvlJc w:val="left"/>
      <w:pPr>
        <w:tabs>
          <w:tab w:val="num" w:pos="794"/>
        </w:tabs>
        <w:ind w:left="794" w:hanging="794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D253C79"/>
    <w:multiLevelType w:val="hybridMultilevel"/>
    <w:tmpl w:val="82A47640"/>
    <w:lvl w:ilvl="0" w:tplc="80DAD0F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5"/>
  </w:num>
  <w:num w:numId="3">
    <w:abstractNumId w:val="9"/>
  </w:num>
  <w:num w:numId="4">
    <w:abstractNumId w:val="18"/>
  </w:num>
  <w:num w:numId="5">
    <w:abstractNumId w:val="14"/>
  </w:num>
  <w:num w:numId="6">
    <w:abstractNumId w:val="6"/>
  </w:num>
  <w:num w:numId="7">
    <w:abstractNumId w:val="23"/>
  </w:num>
  <w:num w:numId="8">
    <w:abstractNumId w:val="0"/>
  </w:num>
  <w:num w:numId="9">
    <w:abstractNumId w:val="20"/>
  </w:num>
  <w:num w:numId="10">
    <w:abstractNumId w:val="8"/>
  </w:num>
  <w:num w:numId="11">
    <w:abstractNumId w:val="1"/>
  </w:num>
  <w:num w:numId="12">
    <w:abstractNumId w:val="10"/>
  </w:num>
  <w:num w:numId="13">
    <w:abstractNumId w:val="16"/>
  </w:num>
  <w:num w:numId="14">
    <w:abstractNumId w:val="3"/>
  </w:num>
  <w:num w:numId="15">
    <w:abstractNumId w:val="5"/>
  </w:num>
  <w:num w:numId="16">
    <w:abstractNumId w:val="17"/>
  </w:num>
  <w:num w:numId="17">
    <w:abstractNumId w:val="7"/>
  </w:num>
  <w:num w:numId="18">
    <w:abstractNumId w:val="13"/>
  </w:num>
  <w:num w:numId="19">
    <w:abstractNumId w:val="4"/>
  </w:num>
  <w:num w:numId="20">
    <w:abstractNumId w:val="11"/>
  </w:num>
  <w:num w:numId="21">
    <w:abstractNumId w:val="24"/>
  </w:num>
  <w:num w:numId="22">
    <w:abstractNumId w:val="22"/>
  </w:num>
  <w:num w:numId="23">
    <w:abstractNumId w:val="2"/>
  </w:num>
  <w:num w:numId="24">
    <w:abstractNumId w:val="12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evenAndOddHeader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89E"/>
    <w:rsid w:val="00000F14"/>
    <w:rsid w:val="00016113"/>
    <w:rsid w:val="00022334"/>
    <w:rsid w:val="00034872"/>
    <w:rsid w:val="000B79FF"/>
    <w:rsid w:val="000C20AB"/>
    <w:rsid w:val="000D211D"/>
    <w:rsid w:val="000D3895"/>
    <w:rsid w:val="000F00AF"/>
    <w:rsid w:val="000F2D02"/>
    <w:rsid w:val="000F3A4D"/>
    <w:rsid w:val="001055F6"/>
    <w:rsid w:val="00123BBC"/>
    <w:rsid w:val="00135E39"/>
    <w:rsid w:val="00142260"/>
    <w:rsid w:val="00146B46"/>
    <w:rsid w:val="001509F1"/>
    <w:rsid w:val="001911E3"/>
    <w:rsid w:val="001A3FCC"/>
    <w:rsid w:val="001A58B6"/>
    <w:rsid w:val="001B490B"/>
    <w:rsid w:val="001B4BEB"/>
    <w:rsid w:val="001C347A"/>
    <w:rsid w:val="001C7878"/>
    <w:rsid w:val="001C7973"/>
    <w:rsid w:val="001D1339"/>
    <w:rsid w:val="001D6630"/>
    <w:rsid w:val="001E2EFA"/>
    <w:rsid w:val="001E7E95"/>
    <w:rsid w:val="002031ED"/>
    <w:rsid w:val="002167B8"/>
    <w:rsid w:val="00217791"/>
    <w:rsid w:val="00243C77"/>
    <w:rsid w:val="00274849"/>
    <w:rsid w:val="0028794F"/>
    <w:rsid w:val="002923F1"/>
    <w:rsid w:val="002952C6"/>
    <w:rsid w:val="002C3A8D"/>
    <w:rsid w:val="002C7353"/>
    <w:rsid w:val="002E2CFB"/>
    <w:rsid w:val="002F08F4"/>
    <w:rsid w:val="002F55D0"/>
    <w:rsid w:val="00311192"/>
    <w:rsid w:val="00311F37"/>
    <w:rsid w:val="0031393D"/>
    <w:rsid w:val="0035602D"/>
    <w:rsid w:val="00372E35"/>
    <w:rsid w:val="0039710E"/>
    <w:rsid w:val="003A55FD"/>
    <w:rsid w:val="003B42BC"/>
    <w:rsid w:val="003E424C"/>
    <w:rsid w:val="00436471"/>
    <w:rsid w:val="0045738E"/>
    <w:rsid w:val="004A196C"/>
    <w:rsid w:val="004A2271"/>
    <w:rsid w:val="004B2A84"/>
    <w:rsid w:val="004B4ADF"/>
    <w:rsid w:val="004E489E"/>
    <w:rsid w:val="005303E1"/>
    <w:rsid w:val="00532E38"/>
    <w:rsid w:val="005363D3"/>
    <w:rsid w:val="00542D7C"/>
    <w:rsid w:val="00555BC4"/>
    <w:rsid w:val="005939B4"/>
    <w:rsid w:val="00594048"/>
    <w:rsid w:val="005C3A2B"/>
    <w:rsid w:val="00605426"/>
    <w:rsid w:val="00670808"/>
    <w:rsid w:val="006734F6"/>
    <w:rsid w:val="006D34A0"/>
    <w:rsid w:val="006E0DB1"/>
    <w:rsid w:val="006F6569"/>
    <w:rsid w:val="007175CA"/>
    <w:rsid w:val="00736828"/>
    <w:rsid w:val="0074364C"/>
    <w:rsid w:val="0075696E"/>
    <w:rsid w:val="00762D2E"/>
    <w:rsid w:val="00770007"/>
    <w:rsid w:val="007A304D"/>
    <w:rsid w:val="007E0A86"/>
    <w:rsid w:val="0080529A"/>
    <w:rsid w:val="00814657"/>
    <w:rsid w:val="008225FB"/>
    <w:rsid w:val="00832238"/>
    <w:rsid w:val="00840DD3"/>
    <w:rsid w:val="00890C03"/>
    <w:rsid w:val="00895013"/>
    <w:rsid w:val="008968B6"/>
    <w:rsid w:val="008A4C14"/>
    <w:rsid w:val="008A66E0"/>
    <w:rsid w:val="008B1654"/>
    <w:rsid w:val="008B5637"/>
    <w:rsid w:val="008B7A32"/>
    <w:rsid w:val="009051DF"/>
    <w:rsid w:val="00905B9E"/>
    <w:rsid w:val="00913010"/>
    <w:rsid w:val="00913BDA"/>
    <w:rsid w:val="00925FF7"/>
    <w:rsid w:val="00927BFB"/>
    <w:rsid w:val="009356AD"/>
    <w:rsid w:val="00935D28"/>
    <w:rsid w:val="00970ECA"/>
    <w:rsid w:val="00997E66"/>
    <w:rsid w:val="009B173B"/>
    <w:rsid w:val="009B27D0"/>
    <w:rsid w:val="009F107E"/>
    <w:rsid w:val="00A20553"/>
    <w:rsid w:val="00A25654"/>
    <w:rsid w:val="00A4754F"/>
    <w:rsid w:val="00A81CCC"/>
    <w:rsid w:val="00A8419C"/>
    <w:rsid w:val="00A937E0"/>
    <w:rsid w:val="00AC622B"/>
    <w:rsid w:val="00AC6AA3"/>
    <w:rsid w:val="00AE3ADA"/>
    <w:rsid w:val="00AE7F0A"/>
    <w:rsid w:val="00AF2D68"/>
    <w:rsid w:val="00B62C56"/>
    <w:rsid w:val="00B758AA"/>
    <w:rsid w:val="00B9040E"/>
    <w:rsid w:val="00BD71E4"/>
    <w:rsid w:val="00C25EAA"/>
    <w:rsid w:val="00C26282"/>
    <w:rsid w:val="00C31070"/>
    <w:rsid w:val="00C36D4E"/>
    <w:rsid w:val="00C42B10"/>
    <w:rsid w:val="00C50F7A"/>
    <w:rsid w:val="00C97C18"/>
    <w:rsid w:val="00CA53FC"/>
    <w:rsid w:val="00CB2074"/>
    <w:rsid w:val="00CF559F"/>
    <w:rsid w:val="00D43879"/>
    <w:rsid w:val="00D70EE6"/>
    <w:rsid w:val="00D77498"/>
    <w:rsid w:val="00D819A4"/>
    <w:rsid w:val="00D833C9"/>
    <w:rsid w:val="00D84836"/>
    <w:rsid w:val="00DD5C3D"/>
    <w:rsid w:val="00DF1309"/>
    <w:rsid w:val="00E143D1"/>
    <w:rsid w:val="00E15C07"/>
    <w:rsid w:val="00E17E4E"/>
    <w:rsid w:val="00E213F4"/>
    <w:rsid w:val="00E60FAB"/>
    <w:rsid w:val="00E64849"/>
    <w:rsid w:val="00E80E40"/>
    <w:rsid w:val="00E8715B"/>
    <w:rsid w:val="00EB67B3"/>
    <w:rsid w:val="00EB6BEB"/>
    <w:rsid w:val="00EC12B6"/>
    <w:rsid w:val="00EE6B43"/>
    <w:rsid w:val="00F05524"/>
    <w:rsid w:val="00F23C79"/>
    <w:rsid w:val="00F37CBC"/>
    <w:rsid w:val="00F51075"/>
    <w:rsid w:val="00F60B83"/>
    <w:rsid w:val="00F6120B"/>
    <w:rsid w:val="00FA7344"/>
    <w:rsid w:val="00FD0746"/>
    <w:rsid w:val="00FD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5:docId w15:val="{A70AB52D-C090-4794-9B77-4C5E8F133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5FF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 New Roman" w:hAnsi="Times New Roman"/>
      <w:sz w:val="22"/>
      <w:lang w:val="fr-FR" w:eastAsia="en-US"/>
    </w:rPr>
  </w:style>
  <w:style w:type="paragraph" w:styleId="Heading1">
    <w:name w:val="heading 1"/>
    <w:basedOn w:val="Normal"/>
    <w:next w:val="Normal"/>
    <w:qFormat/>
    <w:rsid w:val="00925FF7"/>
    <w:pPr>
      <w:keepNext/>
      <w:keepLines/>
      <w:spacing w:before="360"/>
      <w:ind w:left="794" w:hanging="794"/>
      <w:jc w:val="left"/>
      <w:outlineLvl w:val="0"/>
    </w:pPr>
    <w:rPr>
      <w:rFonts w:ascii="Times New Roman Bold" w:hAnsi="Times New Roman Bold" w:cs="Times New Roman Bold"/>
      <w:b/>
      <w:sz w:val="24"/>
    </w:rPr>
  </w:style>
  <w:style w:type="paragraph" w:styleId="Heading2">
    <w:name w:val="heading 2"/>
    <w:basedOn w:val="Heading1"/>
    <w:next w:val="Normal"/>
    <w:qFormat/>
    <w:rsid w:val="00123BBC"/>
    <w:pPr>
      <w:spacing w:before="240"/>
      <w:outlineLvl w:val="1"/>
    </w:pPr>
  </w:style>
  <w:style w:type="paragraph" w:styleId="Heading3">
    <w:name w:val="heading 3"/>
    <w:basedOn w:val="Heading1"/>
    <w:next w:val="Normal"/>
    <w:qFormat/>
    <w:rsid w:val="00123BBC"/>
    <w:pPr>
      <w:spacing w:before="160"/>
      <w:outlineLvl w:val="2"/>
    </w:pPr>
  </w:style>
  <w:style w:type="paragraph" w:styleId="Heading4">
    <w:name w:val="heading 4"/>
    <w:basedOn w:val="Heading3"/>
    <w:next w:val="Normal"/>
    <w:qFormat/>
    <w:rsid w:val="00123BBC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123BBC"/>
    <w:pPr>
      <w:outlineLvl w:val="4"/>
    </w:pPr>
  </w:style>
  <w:style w:type="paragraph" w:styleId="Heading6">
    <w:name w:val="heading 6"/>
    <w:basedOn w:val="Heading4"/>
    <w:next w:val="Normal"/>
    <w:qFormat/>
    <w:rsid w:val="00123BBC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123BBC"/>
    <w:pPr>
      <w:outlineLvl w:val="6"/>
    </w:pPr>
  </w:style>
  <w:style w:type="paragraph" w:styleId="Heading8">
    <w:name w:val="heading 8"/>
    <w:basedOn w:val="Heading6"/>
    <w:next w:val="Normal"/>
    <w:qFormat/>
    <w:rsid w:val="00123BBC"/>
    <w:pPr>
      <w:outlineLvl w:val="7"/>
    </w:pPr>
  </w:style>
  <w:style w:type="paragraph" w:styleId="Heading9">
    <w:name w:val="heading 9"/>
    <w:basedOn w:val="Heading6"/>
    <w:next w:val="Normal"/>
    <w:qFormat/>
    <w:rsid w:val="00123BB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123BBC"/>
  </w:style>
  <w:style w:type="paragraph" w:styleId="TOC4">
    <w:name w:val="toc 4"/>
    <w:basedOn w:val="TOC3"/>
    <w:semiHidden/>
    <w:rsid w:val="00123BBC"/>
  </w:style>
  <w:style w:type="paragraph" w:styleId="TOC3">
    <w:name w:val="toc 3"/>
    <w:basedOn w:val="TOC2"/>
    <w:semiHidden/>
    <w:rsid w:val="00123BBC"/>
  </w:style>
  <w:style w:type="paragraph" w:styleId="TOC2">
    <w:name w:val="toc 2"/>
    <w:basedOn w:val="TOC1"/>
    <w:semiHidden/>
    <w:rsid w:val="00123BBC"/>
    <w:pPr>
      <w:spacing w:before="80"/>
      <w:ind w:left="1531" w:hanging="851"/>
    </w:pPr>
  </w:style>
  <w:style w:type="paragraph" w:styleId="TOC1">
    <w:name w:val="toc 1"/>
    <w:basedOn w:val="Normal"/>
    <w:semiHidden/>
    <w:rsid w:val="00123BBC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123BBC"/>
  </w:style>
  <w:style w:type="paragraph" w:styleId="TOC6">
    <w:name w:val="toc 6"/>
    <w:basedOn w:val="TOC4"/>
    <w:semiHidden/>
    <w:rsid w:val="00123BBC"/>
  </w:style>
  <w:style w:type="paragraph" w:styleId="TOC5">
    <w:name w:val="toc 5"/>
    <w:basedOn w:val="TOC4"/>
    <w:semiHidden/>
    <w:rsid w:val="00123BBC"/>
  </w:style>
  <w:style w:type="paragraph" w:styleId="Footer">
    <w:name w:val="footer"/>
    <w:basedOn w:val="Normal"/>
    <w:rsid w:val="00123BBC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aliases w:val="h,Header/Footer"/>
    <w:basedOn w:val="Normal"/>
    <w:rsid w:val="00123BBC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character" w:styleId="FootnoteReference">
    <w:name w:val="footnote reference"/>
    <w:aliases w:val="Appel note de bas de p,Footnote Reference/"/>
    <w:basedOn w:val="DefaultParagraphFont"/>
    <w:uiPriority w:val="99"/>
    <w:rsid w:val="00123BBC"/>
    <w:rPr>
      <w:rFonts w:cs="Times New Roman"/>
      <w:position w:val="6"/>
      <w:sz w:val="18"/>
    </w:rPr>
  </w:style>
  <w:style w:type="paragraph" w:styleId="FootnoteText">
    <w:name w:val="footnote text"/>
    <w:aliases w:val="ALTS FOOTNOTE,Footnote Text Char1,Footnote Text Char Char1,Footnote Text Char4 Char Char,Footnote Text Char1 Char1 Char1 Char,Footnote Text Char Char1 Char1 Char Char,Footnote Text Char1 Char1 Char1 Char Char Char1,DNV-FT,footnote text"/>
    <w:basedOn w:val="Note"/>
    <w:link w:val="FootnoteTextChar"/>
    <w:uiPriority w:val="99"/>
    <w:rsid w:val="00925FF7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link w:val="NoteChar"/>
    <w:rsid w:val="00925FF7"/>
    <w:pPr>
      <w:spacing w:before="80"/>
    </w:pPr>
    <w:rPr>
      <w:sz w:val="20"/>
    </w:rPr>
  </w:style>
  <w:style w:type="paragraph" w:customStyle="1" w:styleId="enumlev1">
    <w:name w:val="enumlev1"/>
    <w:basedOn w:val="Normal"/>
    <w:link w:val="enumlev1Char"/>
    <w:rsid w:val="00123BBC"/>
    <w:pPr>
      <w:spacing w:before="80"/>
      <w:ind w:left="794" w:hanging="794"/>
    </w:pPr>
  </w:style>
  <w:style w:type="paragraph" w:customStyle="1" w:styleId="enumlev2">
    <w:name w:val="enumlev2"/>
    <w:basedOn w:val="enumlev1"/>
    <w:rsid w:val="00123BBC"/>
    <w:pPr>
      <w:ind w:left="1191" w:hanging="397"/>
    </w:pPr>
  </w:style>
  <w:style w:type="paragraph" w:customStyle="1" w:styleId="enumlev3">
    <w:name w:val="enumlev3"/>
    <w:basedOn w:val="enumlev2"/>
    <w:rsid w:val="00123BBC"/>
    <w:pPr>
      <w:ind w:left="1588"/>
    </w:pPr>
  </w:style>
  <w:style w:type="paragraph" w:customStyle="1" w:styleId="Equation">
    <w:name w:val="Equation"/>
    <w:basedOn w:val="Normal"/>
    <w:rsid w:val="00123BBC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123BBC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123BBC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123BBC"/>
  </w:style>
  <w:style w:type="paragraph" w:customStyle="1" w:styleId="Chaptitle">
    <w:name w:val="Chap_title"/>
    <w:basedOn w:val="Normal"/>
    <w:next w:val="Normalaftertitle"/>
    <w:rsid w:val="00123BBC"/>
    <w:pPr>
      <w:keepNext/>
      <w:keepLines/>
      <w:spacing w:before="240"/>
      <w:jc w:val="center"/>
    </w:pPr>
    <w:rPr>
      <w:b/>
      <w:sz w:val="28"/>
    </w:rPr>
  </w:style>
  <w:style w:type="character" w:styleId="PageNumber">
    <w:name w:val="page number"/>
    <w:basedOn w:val="DefaultParagraphFont"/>
    <w:rsid w:val="00123BBC"/>
    <w:rPr>
      <w:rFonts w:cs="Times New Roman"/>
    </w:rPr>
  </w:style>
  <w:style w:type="paragraph" w:customStyle="1" w:styleId="Reftitle">
    <w:name w:val="Ref_title"/>
    <w:basedOn w:val="Normal"/>
    <w:next w:val="Reftext"/>
    <w:rsid w:val="00123BBC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123BBC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123BBC"/>
    <w:pPr>
      <w:jc w:val="left"/>
    </w:pPr>
  </w:style>
  <w:style w:type="paragraph" w:customStyle="1" w:styleId="Formal">
    <w:name w:val="Formal"/>
    <w:basedOn w:val="ASN1"/>
    <w:rsid w:val="00123BBC"/>
    <w:rPr>
      <w:b w:val="0"/>
    </w:rPr>
  </w:style>
  <w:style w:type="paragraph" w:customStyle="1" w:styleId="AnnexNoTitle">
    <w:name w:val="Annex_NoTitle"/>
    <w:basedOn w:val="Normal"/>
    <w:next w:val="Normalaftertitle"/>
    <w:rsid w:val="00123BBC"/>
    <w:pPr>
      <w:keepNext/>
      <w:keepLines/>
      <w:spacing w:before="720"/>
      <w:jc w:val="center"/>
    </w:pPr>
    <w:rPr>
      <w:b/>
      <w:sz w:val="28"/>
    </w:rPr>
  </w:style>
  <w:style w:type="character" w:customStyle="1" w:styleId="Appdef">
    <w:name w:val="App_def"/>
    <w:basedOn w:val="DefaultParagraphFont"/>
    <w:rsid w:val="00123BBC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123BBC"/>
    <w:rPr>
      <w:rFonts w:cs="Times New Roman"/>
    </w:rPr>
  </w:style>
  <w:style w:type="paragraph" w:customStyle="1" w:styleId="AppendixNoTitle">
    <w:name w:val="Appendix_NoTitle"/>
    <w:basedOn w:val="AnnexNoTitle"/>
    <w:next w:val="Normalaftertitle"/>
    <w:rsid w:val="00123BBC"/>
  </w:style>
  <w:style w:type="character" w:customStyle="1" w:styleId="Artdef">
    <w:name w:val="Art_def"/>
    <w:basedOn w:val="DefaultParagraphFont"/>
    <w:rsid w:val="00123BBC"/>
    <w:rPr>
      <w:rFonts w:ascii="Times New Roman" w:hAnsi="Times New Roman" w:cs="Times New Roman"/>
      <w:b/>
    </w:rPr>
  </w:style>
  <w:style w:type="paragraph" w:customStyle="1" w:styleId="Artheading">
    <w:name w:val="Art_heading"/>
    <w:basedOn w:val="Normal"/>
    <w:next w:val="Normalaftertitle"/>
    <w:rsid w:val="00123BBC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123BBC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123BBC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  <w:rsid w:val="00123BBC"/>
    <w:rPr>
      <w:rFonts w:cs="Times New Roman"/>
    </w:rPr>
  </w:style>
  <w:style w:type="paragraph" w:customStyle="1" w:styleId="Call">
    <w:name w:val="Call"/>
    <w:basedOn w:val="Normal"/>
    <w:next w:val="Normal"/>
    <w:link w:val="CallChar"/>
    <w:rsid w:val="00123BBC"/>
    <w:pPr>
      <w:keepNext/>
      <w:keepLines/>
      <w:spacing w:before="16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123BBC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Equationlegend">
    <w:name w:val="Equation_legend"/>
    <w:basedOn w:val="Normal"/>
    <w:rsid w:val="00123BBC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123BBC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123BBC"/>
    <w:pPr>
      <w:keepNext/>
      <w:keepLines/>
      <w:spacing w:before="240" w:after="120"/>
      <w:jc w:val="center"/>
    </w:pPr>
  </w:style>
  <w:style w:type="paragraph" w:customStyle="1" w:styleId="FigureNoTitle">
    <w:name w:val="Figure_NoTitle"/>
    <w:basedOn w:val="Normal"/>
    <w:next w:val="Normalaftertitle"/>
    <w:rsid w:val="00123BBC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123BBC"/>
    <w:pPr>
      <w:keepLines/>
      <w:spacing w:before="240" w:after="120"/>
      <w:jc w:val="center"/>
    </w:pPr>
  </w:style>
  <w:style w:type="paragraph" w:customStyle="1" w:styleId="FirstFooter">
    <w:name w:val="FirstFooter"/>
    <w:basedOn w:val="Footer"/>
    <w:rsid w:val="00123BBC"/>
    <w:pPr>
      <w:tabs>
        <w:tab w:val="clear" w:pos="5954"/>
        <w:tab w:val="clear" w:pos="9639"/>
      </w:tabs>
      <w:overflowPunct/>
      <w:autoSpaceDE/>
      <w:autoSpaceDN/>
      <w:adjustRightInd/>
      <w:spacing w:before="40"/>
      <w:jc w:val="left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link w:val="FooterQPChar"/>
    <w:uiPriority w:val="99"/>
    <w:rsid w:val="00123BBC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123BBC"/>
    <w:pPr>
      <w:keepNext/>
      <w:spacing w:before="160"/>
      <w:jc w:val="left"/>
    </w:pPr>
    <w:rPr>
      <w:b/>
    </w:rPr>
  </w:style>
  <w:style w:type="paragraph" w:customStyle="1" w:styleId="Headingi">
    <w:name w:val="Heading_i"/>
    <w:basedOn w:val="Normal"/>
    <w:next w:val="Normal"/>
    <w:rsid w:val="00123BBC"/>
    <w:pPr>
      <w:keepNext/>
      <w:spacing w:before="160"/>
      <w:jc w:val="left"/>
    </w:pPr>
    <w:rPr>
      <w:i/>
    </w:rPr>
  </w:style>
  <w:style w:type="paragraph" w:styleId="Index2">
    <w:name w:val="index 2"/>
    <w:basedOn w:val="Normal"/>
    <w:next w:val="Normal"/>
    <w:semiHidden/>
    <w:rsid w:val="00123BBC"/>
    <w:pPr>
      <w:ind w:left="284"/>
      <w:jc w:val="left"/>
    </w:pPr>
  </w:style>
  <w:style w:type="paragraph" w:styleId="Index3">
    <w:name w:val="index 3"/>
    <w:basedOn w:val="Normal"/>
    <w:next w:val="Normal"/>
    <w:semiHidden/>
    <w:rsid w:val="00123BBC"/>
    <w:pPr>
      <w:ind w:left="567"/>
      <w:jc w:val="left"/>
    </w:pPr>
  </w:style>
  <w:style w:type="paragraph" w:customStyle="1" w:styleId="PartNo">
    <w:name w:val="Part_No"/>
    <w:basedOn w:val="Normal"/>
    <w:next w:val="Partref"/>
    <w:rsid w:val="00123BBC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123BBC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123BBC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"/>
    <w:rsid w:val="00123BBC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123BBC"/>
  </w:style>
  <w:style w:type="paragraph" w:customStyle="1" w:styleId="RecNo">
    <w:name w:val="Rec_No"/>
    <w:basedOn w:val="Normal"/>
    <w:next w:val="Rectitle"/>
    <w:rsid w:val="00123BBC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123BBC"/>
    <w:pPr>
      <w:keepNext/>
      <w:keepLines/>
      <w:spacing w:before="360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123BBC"/>
  </w:style>
  <w:style w:type="paragraph" w:customStyle="1" w:styleId="Questiontitle">
    <w:name w:val="Question_title"/>
    <w:basedOn w:val="Rectitle"/>
    <w:next w:val="Questionref"/>
    <w:rsid w:val="00123BBC"/>
  </w:style>
  <w:style w:type="paragraph" w:customStyle="1" w:styleId="Questionref">
    <w:name w:val="Question_ref"/>
    <w:basedOn w:val="Recref"/>
    <w:next w:val="Questiondate"/>
    <w:rsid w:val="00123BBC"/>
  </w:style>
  <w:style w:type="paragraph" w:customStyle="1" w:styleId="Recref">
    <w:name w:val="Rec_ref"/>
    <w:basedOn w:val="Normal"/>
    <w:next w:val="Recdate"/>
    <w:rsid w:val="00123BBC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character" w:styleId="Hyperlink">
    <w:name w:val="Hyperlink"/>
    <w:basedOn w:val="DefaultParagraphFont"/>
    <w:rsid w:val="00123BBC"/>
    <w:rPr>
      <w:rFonts w:cs="Times New Roman"/>
      <w:color w:val="0000FF"/>
      <w:u w:val="single"/>
    </w:rPr>
  </w:style>
  <w:style w:type="paragraph" w:customStyle="1" w:styleId="Repdate">
    <w:name w:val="Rep_date"/>
    <w:basedOn w:val="Recdate"/>
    <w:next w:val="Normalaftertitle"/>
    <w:rsid w:val="00123BBC"/>
  </w:style>
  <w:style w:type="paragraph" w:customStyle="1" w:styleId="RepNo">
    <w:name w:val="Rep_No"/>
    <w:basedOn w:val="RecNo"/>
    <w:next w:val="Reptitle"/>
    <w:rsid w:val="00123BBC"/>
  </w:style>
  <w:style w:type="paragraph" w:customStyle="1" w:styleId="Reptitle">
    <w:name w:val="Rep_title"/>
    <w:basedOn w:val="Rectitle"/>
    <w:next w:val="Repref"/>
    <w:rsid w:val="00123BBC"/>
  </w:style>
  <w:style w:type="paragraph" w:customStyle="1" w:styleId="Repref">
    <w:name w:val="Rep_ref"/>
    <w:basedOn w:val="Recref"/>
    <w:next w:val="Repdate"/>
    <w:rsid w:val="00123BBC"/>
  </w:style>
  <w:style w:type="paragraph" w:customStyle="1" w:styleId="Resdate">
    <w:name w:val="Res_date"/>
    <w:basedOn w:val="Recdate"/>
    <w:next w:val="Normalaftertitle"/>
    <w:rsid w:val="00123BBC"/>
  </w:style>
  <w:style w:type="character" w:customStyle="1" w:styleId="Resdef">
    <w:name w:val="Res_def"/>
    <w:basedOn w:val="DefaultParagraphFont"/>
    <w:rsid w:val="00123BBC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Restitle"/>
    <w:rsid w:val="00123BBC"/>
  </w:style>
  <w:style w:type="paragraph" w:customStyle="1" w:styleId="Restitle">
    <w:name w:val="Res_title"/>
    <w:basedOn w:val="Rectitle"/>
    <w:next w:val="Resref"/>
    <w:link w:val="RestitleChar"/>
    <w:rsid w:val="00123BBC"/>
  </w:style>
  <w:style w:type="paragraph" w:customStyle="1" w:styleId="Resref">
    <w:name w:val="Res_ref"/>
    <w:basedOn w:val="Recref"/>
    <w:next w:val="Resdate"/>
    <w:qFormat/>
    <w:rsid w:val="00123BBC"/>
  </w:style>
  <w:style w:type="paragraph" w:customStyle="1" w:styleId="SectionNo">
    <w:name w:val="Section_No"/>
    <w:basedOn w:val="Normal"/>
    <w:next w:val="Sectiontitle"/>
    <w:rsid w:val="00123BBC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123BBC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123BBC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23BBC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23BBC"/>
    <w:rPr>
      <w:rFonts w:cs="Times New Roman"/>
      <w:b/>
      <w:color w:val="auto"/>
    </w:rPr>
  </w:style>
  <w:style w:type="paragraph" w:customStyle="1" w:styleId="Tablehead">
    <w:name w:val="Table_head"/>
    <w:basedOn w:val="Normal"/>
    <w:next w:val="Tabletext"/>
    <w:rsid w:val="00123BBC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</w:rPr>
  </w:style>
  <w:style w:type="paragraph" w:customStyle="1" w:styleId="Tabletext">
    <w:name w:val="Table_text"/>
    <w:basedOn w:val="Normal"/>
    <w:rsid w:val="00123BBC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</w:style>
  <w:style w:type="paragraph" w:customStyle="1" w:styleId="Tablelegend">
    <w:name w:val="Table_legend"/>
    <w:basedOn w:val="Normal"/>
    <w:rsid w:val="00123BBC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table" w:styleId="TableGrid">
    <w:name w:val="Table Grid"/>
    <w:basedOn w:val="TableNormal"/>
    <w:rsid w:val="004E489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NoTitle">
    <w:name w:val="Table_NoTitle"/>
    <w:basedOn w:val="Normal"/>
    <w:next w:val="Tablehead"/>
    <w:rsid w:val="00123BBC"/>
    <w:pPr>
      <w:keepNext/>
      <w:keepLines/>
      <w:spacing w:before="360" w:after="120"/>
      <w:jc w:val="center"/>
    </w:pPr>
    <w:rPr>
      <w:b/>
    </w:rPr>
  </w:style>
  <w:style w:type="paragraph" w:customStyle="1" w:styleId="Title1">
    <w:name w:val="Title 1"/>
    <w:basedOn w:val="Source"/>
    <w:next w:val="Title2"/>
    <w:rsid w:val="00123BBC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123BBC"/>
  </w:style>
  <w:style w:type="paragraph" w:customStyle="1" w:styleId="Title3">
    <w:name w:val="Title 3"/>
    <w:basedOn w:val="Title2"/>
    <w:next w:val="Title4"/>
    <w:rsid w:val="00123BBC"/>
    <w:rPr>
      <w:caps w:val="0"/>
    </w:rPr>
  </w:style>
  <w:style w:type="paragraph" w:customStyle="1" w:styleId="Title4">
    <w:name w:val="Title 4"/>
    <w:basedOn w:val="Title3"/>
    <w:next w:val="Heading1"/>
    <w:rsid w:val="00123BBC"/>
    <w:rPr>
      <w:b/>
    </w:rPr>
  </w:style>
  <w:style w:type="paragraph" w:customStyle="1" w:styleId="Section1">
    <w:name w:val="Section_1"/>
    <w:basedOn w:val="Normal"/>
    <w:next w:val="Normal"/>
    <w:rsid w:val="00123BBC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123BBC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Normalaftertitle">
    <w:name w:val="Normal_after_title"/>
    <w:basedOn w:val="Normal"/>
    <w:next w:val="Normal"/>
    <w:link w:val="NormalaftertitleChar"/>
    <w:rsid w:val="00123BBC"/>
    <w:pPr>
      <w:spacing w:before="360"/>
    </w:pPr>
  </w:style>
  <w:style w:type="character" w:styleId="EndnoteReference">
    <w:name w:val="endnote reference"/>
    <w:basedOn w:val="DefaultParagraphFont"/>
    <w:rsid w:val="00436471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rsid w:val="00436471"/>
    <w:rPr>
      <w:rFonts w:cs="Times New Roman"/>
      <w:sz w:val="16"/>
      <w:szCs w:val="16"/>
    </w:rPr>
  </w:style>
  <w:style w:type="paragraph" w:styleId="CommentText">
    <w:name w:val="annotation text"/>
    <w:basedOn w:val="Normal"/>
    <w:rsid w:val="00436471"/>
    <w:pPr>
      <w:jc w:val="left"/>
    </w:pPr>
    <w:rPr>
      <w:sz w:val="20"/>
    </w:rPr>
  </w:style>
  <w:style w:type="paragraph" w:styleId="BodyText">
    <w:name w:val="Body Text"/>
    <w:basedOn w:val="Normal"/>
    <w:rsid w:val="00436471"/>
    <w:pPr>
      <w:tabs>
        <w:tab w:val="clear" w:pos="1191"/>
        <w:tab w:val="clear" w:pos="1588"/>
        <w:tab w:val="left" w:pos="1418"/>
      </w:tabs>
      <w:suppressAutoHyphens/>
      <w:autoSpaceDN/>
      <w:adjustRightInd/>
      <w:spacing w:before="0" w:after="120"/>
      <w:jc w:val="left"/>
    </w:pPr>
    <w:rPr>
      <w:lang w:val="en-GB" w:eastAsia="ar-SA"/>
    </w:rPr>
  </w:style>
  <w:style w:type="paragraph" w:styleId="BodyTextIndent2">
    <w:name w:val="Body Text Indent 2"/>
    <w:basedOn w:val="Normal"/>
    <w:rsid w:val="00436471"/>
    <w:pPr>
      <w:tabs>
        <w:tab w:val="clear" w:pos="794"/>
        <w:tab w:val="clear" w:pos="1191"/>
        <w:tab w:val="clear" w:pos="1588"/>
        <w:tab w:val="clear" w:pos="1985"/>
        <w:tab w:val="left" w:pos="1418"/>
      </w:tabs>
      <w:overflowPunct/>
      <w:autoSpaceDE/>
      <w:autoSpaceDN/>
      <w:adjustRightInd/>
      <w:ind w:left="1400" w:hanging="700"/>
      <w:jc w:val="left"/>
      <w:textAlignment w:val="auto"/>
    </w:pPr>
    <w:rPr>
      <w:szCs w:val="24"/>
      <w:lang w:val="en-GB" w:eastAsia="de-DE"/>
    </w:rPr>
  </w:style>
  <w:style w:type="character" w:styleId="FollowedHyperlink">
    <w:name w:val="FollowedHyperlink"/>
    <w:basedOn w:val="DefaultParagraphFont"/>
    <w:rsid w:val="00436471"/>
    <w:rPr>
      <w:rFonts w:cs="Times New Roman"/>
      <w:color w:val="800080"/>
      <w:u w:val="single"/>
    </w:rPr>
  </w:style>
  <w:style w:type="character" w:customStyle="1" w:styleId="FootnoteTextChar">
    <w:name w:val="Footnote Text Char"/>
    <w:aliases w:val="ALTS FOOTNOTE Char,Footnote Text Char1 Char,Footnote Text Char Char1 Char,Footnote Text Char4 Char Char Char,Footnote Text Char1 Char1 Char1 Char Char,Footnote Text Char Char1 Char1 Char Char Char,DNV-FT Char,footnote text Char"/>
    <w:basedOn w:val="DefaultParagraphFont"/>
    <w:link w:val="FootnoteText"/>
    <w:uiPriority w:val="99"/>
    <w:locked/>
    <w:rsid w:val="00925FF7"/>
    <w:rPr>
      <w:rFonts w:ascii="Times New Roman" w:hAnsi="Times New Roman"/>
      <w:lang w:val="fr-FR" w:eastAsia="en-US"/>
    </w:rPr>
  </w:style>
  <w:style w:type="character" w:customStyle="1" w:styleId="NormalaftertitleChar">
    <w:name w:val="Normal_after_title Char"/>
    <w:basedOn w:val="DefaultParagraphFont"/>
    <w:link w:val="Normalaftertitle"/>
    <w:locked/>
    <w:rsid w:val="00EB6BEB"/>
    <w:rPr>
      <w:rFonts w:ascii="Times New Roman" w:hAnsi="Times New Roman"/>
      <w:sz w:val="24"/>
      <w:lang w:val="fr-FR" w:eastAsia="en-US"/>
    </w:rPr>
  </w:style>
  <w:style w:type="character" w:customStyle="1" w:styleId="enumlev1Char">
    <w:name w:val="enumlev1 Char"/>
    <w:link w:val="enumlev1"/>
    <w:uiPriority w:val="99"/>
    <w:rsid w:val="00EB6BEB"/>
    <w:rPr>
      <w:rFonts w:ascii="Times New Roman" w:hAnsi="Times New Roman"/>
      <w:sz w:val="24"/>
      <w:lang w:val="fr-FR" w:eastAsia="en-US"/>
    </w:rPr>
  </w:style>
  <w:style w:type="character" w:customStyle="1" w:styleId="CallChar">
    <w:name w:val="Call Char"/>
    <w:link w:val="Call"/>
    <w:rsid w:val="00EB6BEB"/>
    <w:rPr>
      <w:rFonts w:ascii="Times New Roman" w:hAnsi="Times New Roman"/>
      <w:i/>
      <w:sz w:val="24"/>
      <w:lang w:val="fr-FR" w:eastAsia="en-US"/>
    </w:rPr>
  </w:style>
  <w:style w:type="character" w:customStyle="1" w:styleId="RestitleChar">
    <w:name w:val="Res_title Char"/>
    <w:link w:val="Restitle"/>
    <w:rsid w:val="00EB6BEB"/>
    <w:rPr>
      <w:rFonts w:ascii="Times New Roman" w:hAnsi="Times New Roman"/>
      <w:b/>
      <w:sz w:val="28"/>
      <w:lang w:val="fr-FR" w:eastAsia="en-US"/>
    </w:rPr>
  </w:style>
  <w:style w:type="paragraph" w:customStyle="1" w:styleId="Normalaftertitle0">
    <w:name w:val="Normal after title"/>
    <w:basedOn w:val="Normal"/>
    <w:next w:val="Normal"/>
    <w:link w:val="NormalaftertitleChar0"/>
    <w:rsid w:val="00EB6BEB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80"/>
    </w:pPr>
    <w:rPr>
      <w:lang w:val="en-GB"/>
    </w:rPr>
  </w:style>
  <w:style w:type="character" w:customStyle="1" w:styleId="NormalaftertitleChar0">
    <w:name w:val="Normal after title Char"/>
    <w:link w:val="Normalaftertitle0"/>
    <w:locked/>
    <w:rsid w:val="00EB6BEB"/>
    <w:rPr>
      <w:rFonts w:ascii="Times New Roman" w:hAnsi="Times New Roman"/>
      <w:sz w:val="22"/>
      <w:lang w:val="en-GB" w:eastAsia="en-US"/>
    </w:rPr>
  </w:style>
  <w:style w:type="character" w:customStyle="1" w:styleId="NoteChar">
    <w:name w:val="Note Char"/>
    <w:basedOn w:val="DefaultParagraphFont"/>
    <w:link w:val="Note"/>
    <w:rsid w:val="00925FF7"/>
    <w:rPr>
      <w:rFonts w:ascii="Times New Roman" w:hAnsi="Times New Roman"/>
      <w:lang w:val="fr-FR" w:eastAsia="en-US"/>
    </w:rPr>
  </w:style>
  <w:style w:type="paragraph" w:customStyle="1" w:styleId="FigureNo">
    <w:name w:val="Figure_No"/>
    <w:basedOn w:val="Normal"/>
    <w:next w:val="Figuretitle"/>
    <w:rsid w:val="00EB6BEB"/>
    <w:pPr>
      <w:keepNext/>
      <w:keepLines/>
      <w:spacing w:before="480" w:after="120"/>
      <w:jc w:val="center"/>
    </w:pPr>
    <w:rPr>
      <w:caps/>
      <w:lang w:val="en-GB"/>
    </w:rPr>
  </w:style>
  <w:style w:type="paragraph" w:customStyle="1" w:styleId="Figuretitle">
    <w:name w:val="Figure_title"/>
    <w:basedOn w:val="Normal"/>
    <w:next w:val="Normal"/>
    <w:rsid w:val="00EB6BEB"/>
    <w:pPr>
      <w:keepLines/>
      <w:spacing w:before="0" w:after="480"/>
      <w:jc w:val="center"/>
    </w:pPr>
    <w:rPr>
      <w:rFonts w:ascii="Times New Roman Bold" w:hAnsi="Times New Roman Bold"/>
      <w:b/>
      <w:lang w:val="en-GB"/>
    </w:rPr>
  </w:style>
  <w:style w:type="paragraph" w:customStyle="1" w:styleId="AppendixNo">
    <w:name w:val="Appendix_No"/>
    <w:basedOn w:val="Normal"/>
    <w:next w:val="Normal"/>
    <w:rsid w:val="00EB6BEB"/>
    <w:pPr>
      <w:keepNext/>
      <w:keepLines/>
      <w:spacing w:before="480" w:after="80"/>
      <w:jc w:val="center"/>
    </w:pPr>
    <w:rPr>
      <w:caps/>
      <w:sz w:val="28"/>
      <w:lang w:val="en-GB"/>
    </w:rPr>
  </w:style>
  <w:style w:type="paragraph" w:customStyle="1" w:styleId="Appendixtitle">
    <w:name w:val="Appendix_title"/>
    <w:basedOn w:val="Normal"/>
    <w:next w:val="Normal"/>
    <w:rsid w:val="00EB6BE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  <w:lang w:val="en-GB"/>
    </w:rPr>
  </w:style>
  <w:style w:type="character" w:customStyle="1" w:styleId="FooterQPChar">
    <w:name w:val="Footer_QP Char"/>
    <w:link w:val="FooterQP"/>
    <w:uiPriority w:val="99"/>
    <w:rsid w:val="00F51075"/>
    <w:rPr>
      <w:rFonts w:ascii="Times New Roman" w:hAnsi="Times New Roman"/>
      <w:b/>
      <w:sz w:val="22"/>
      <w:lang w:val="fr-FR" w:eastAsia="en-US"/>
    </w:rPr>
  </w:style>
  <w:style w:type="paragraph" w:customStyle="1" w:styleId="Href">
    <w:name w:val="Href"/>
    <w:basedOn w:val="ResNo"/>
    <w:rsid w:val="008A66E0"/>
    <w:pPr>
      <w:jc w:val="center"/>
    </w:pPr>
    <w:rPr>
      <w:b w:val="0"/>
      <w:bCs/>
    </w:rPr>
  </w:style>
  <w:style w:type="character" w:customStyle="1" w:styleId="href0">
    <w:name w:val="href"/>
    <w:basedOn w:val="DefaultParagraphFont"/>
    <w:rsid w:val="008A66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rice\Application%20Data\Microsoft\Templates\QuickPub%20-%20ITU\QP-Piano\QPUBF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B8F5D-05F9-439A-8240-018511804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QPUBF.dot</Template>
  <TotalTime>6</TotalTime>
  <Pages>3</Pages>
  <Words>593</Words>
  <Characters>3582</Characters>
  <Application>Microsoft Office Word</Application>
  <DocSecurity>0</DocSecurity>
  <Lines>89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UIT-T Rec. E.802 (02/2007) Cadre et méthode de détermination et d'application</vt:lpstr>
    </vt:vector>
  </TitlesOfParts>
  <Company>ITU</Company>
  <LinksUpToDate>false</LinksUpToDate>
  <CharactersWithSpaces>4125</CharactersWithSpaces>
  <SharedDoc>false</SharedDoc>
  <HLinks>
    <vt:vector size="6" baseType="variant">
      <vt:variant>
        <vt:i4>5832781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UIT-T Rec. E.802 (02/2007) Cadre et méthode de détermination et d'application</dc:title>
  <dc:subject>SÉRIE E: EXPLOITATION GÉNÉRALE DU RÉSEAU, SERVICE TÉLÉPHONIQUE, EXPLOITATION DES SERVICES ET FACTEURS HUMAINS - Qualité de service: concepts, modèles, objectifs, planification de la sûreté de fonctionnement – Termes et définitions relatifs à la qualité de</dc:subject>
  <dc:creator>ITU-T</dc:creator>
  <cp:keywords>E.802,E,802</cp:keywords>
  <dc:description>Saved by MS-106344 at 14:06:18 on 06.12.2007</dc:description>
  <cp:lastModifiedBy>Gachet, Christelle</cp:lastModifiedBy>
  <cp:revision>5</cp:revision>
  <cp:lastPrinted>2007-12-06T12:04:00Z</cp:lastPrinted>
  <dcterms:created xsi:type="dcterms:W3CDTF">2016-12-15T13:13:00Z</dcterms:created>
  <dcterms:modified xsi:type="dcterms:W3CDTF">2016-12-16T08:28:00Z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E.802</vt:lpwstr>
  </property>
  <property fmtid="{D5CDD505-2E9C-101B-9397-08002B2CF9AE}" pid="3" name="docdate">
    <vt:lpwstr>8 février 2007</vt:lpwstr>
  </property>
  <property fmtid="{D5CDD505-2E9C-101B-9397-08002B2CF9AE}" pid="4" name="doctitle">
    <vt:lpwstr>Cadre et méthode de détermination et d'application</vt:lpwstr>
  </property>
  <property fmtid="{D5CDD505-2E9C-101B-9397-08002B2CF9AE}" pid="5" name="doctitle2">
    <vt:lpwstr>SÉRIE E: EXPLOITATION GÉNÉRALE DU RÉSEAU, SERVICE TÉLÉPHONIQUE, EXPLOITATION DES SERVICES ET FACTEURS HUMAINS Qualité de service: concepts, modèles, objectifs, planification de la sûreté de fonctionnement – Termes et définitions relatifs à la qualité des </vt:lpwstr>
  </property>
</Properties>
</file>