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D7C05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D7C05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BA5D17" w:rsidP="00EA4F4A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r w:rsidRPr="00BA5D1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BA5D1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85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BA5D1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</w:t>
            </w:r>
            <w:r w:rsidRPr="00BA5D1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决议</w:t>
            </w:r>
            <w:r w:rsidRPr="00BA5D1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BA5D17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实现国际</w:t>
            </w:r>
            <w:r w:rsidRPr="00BA5D17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电联电信标准化部门资源的增加和多元化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BA5D17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BA5D17">
      <w:pPr>
        <w:spacing w:before="360"/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842AC8" w:rsidRDefault="00842AC8" w:rsidP="00BA5D17">
      <w:pPr>
        <w:pStyle w:val="ResNo"/>
        <w:spacing w:before="0"/>
        <w:rPr>
          <w:lang w:eastAsia="zh-CN"/>
        </w:rPr>
      </w:pPr>
      <w:r w:rsidRPr="00BA5D17">
        <w:rPr>
          <w:rStyle w:val="href"/>
          <w:rFonts w:hint="eastAsia"/>
        </w:rPr>
        <w:lastRenderedPageBreak/>
        <w:t>第</w:t>
      </w:r>
      <w:r w:rsidRPr="00BA5D17">
        <w:rPr>
          <w:rStyle w:val="href"/>
        </w:rPr>
        <w:t>85</w:t>
      </w:r>
      <w:r w:rsidRPr="00BA5D17">
        <w:rPr>
          <w:rStyle w:val="href"/>
          <w:rFonts w:hint="eastAsia"/>
        </w:rPr>
        <w:t>号</w:t>
      </w:r>
      <w:r w:rsidRPr="00BA5D17">
        <w:rPr>
          <w:rStyle w:val="href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</w:p>
    <w:p w:rsidR="00842AC8" w:rsidRDefault="00842AC8" w:rsidP="00BA5D17">
      <w:pPr>
        <w:pStyle w:val="Restitle"/>
        <w:spacing w:before="240"/>
        <w:rPr>
          <w:lang w:eastAsia="zh-CN"/>
        </w:rPr>
      </w:pPr>
      <w:r>
        <w:rPr>
          <w:rFonts w:hint="eastAsia"/>
          <w:lang w:eastAsia="zh-CN"/>
        </w:rPr>
        <w:t>实现国际电</w:t>
      </w:r>
      <w:r w:rsidRPr="00C108FF">
        <w:rPr>
          <w:rFonts w:hint="eastAsia"/>
          <w:lang w:eastAsia="zh-CN"/>
        </w:rPr>
        <w:t>联电信标准化部门资源</w:t>
      </w:r>
      <w:r>
        <w:rPr>
          <w:rFonts w:hint="eastAsia"/>
          <w:lang w:eastAsia="zh-CN"/>
        </w:rPr>
        <w:t>的增加</w:t>
      </w:r>
      <w:r>
        <w:rPr>
          <w:lang w:eastAsia="zh-CN"/>
        </w:rPr>
        <w:t>和多元化</w:t>
      </w:r>
    </w:p>
    <w:p w:rsidR="00842AC8" w:rsidRPr="00B836FA" w:rsidRDefault="00842AC8" w:rsidP="00842AC8">
      <w:pPr>
        <w:pStyle w:val="Resref"/>
        <w:rPr>
          <w:lang w:eastAsia="zh-CN"/>
        </w:rPr>
      </w:pPr>
      <w:r>
        <w:rPr>
          <w:rFonts w:hint="eastAsia"/>
          <w:lang w:eastAsia="zh-CN"/>
        </w:rPr>
        <w:t>（</w:t>
      </w:r>
      <w:r w:rsidRPr="00B836FA">
        <w:rPr>
          <w:lang w:eastAsia="zh-CN"/>
        </w:rPr>
        <w:t>2016</w:t>
      </w:r>
      <w:r w:rsidRPr="00B836FA">
        <w:rPr>
          <w:lang w:eastAsia="zh-CN"/>
        </w:rPr>
        <w:t>年</w:t>
      </w:r>
      <w:r w:rsidRPr="00B836FA">
        <w:rPr>
          <w:rFonts w:hint="eastAsia"/>
          <w:lang w:eastAsia="zh-CN"/>
        </w:rPr>
        <w:t>，</w:t>
      </w:r>
      <w:r w:rsidRPr="00B836FA">
        <w:rPr>
          <w:lang w:eastAsia="zh-CN"/>
        </w:rPr>
        <w:t>哈马马特</w:t>
      </w:r>
      <w:r>
        <w:rPr>
          <w:rFonts w:hint="eastAsia"/>
          <w:lang w:eastAsia="zh-CN"/>
        </w:rPr>
        <w:t>）</w:t>
      </w:r>
    </w:p>
    <w:p w:rsidR="00842AC8" w:rsidRDefault="00842AC8" w:rsidP="00842AC8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74201">
        <w:rPr>
          <w:rFonts w:eastAsia="Times New Roman"/>
          <w:lang w:eastAsia="zh-CN"/>
        </w:rPr>
        <w:t>2016</w:t>
      </w:r>
      <w:r w:rsidRPr="00374201">
        <w:rPr>
          <w:rFonts w:hint="eastAsia"/>
          <w:lang w:eastAsia="zh-CN"/>
        </w:rPr>
        <w:t>年，</w:t>
      </w:r>
      <w:r w:rsidRPr="00704491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 w:rsidRPr="00374201">
        <w:rPr>
          <w:rFonts w:hint="eastAsia"/>
          <w:lang w:eastAsia="zh-CN"/>
        </w:rPr>
        <w:t>，</w:t>
      </w:r>
    </w:p>
    <w:p w:rsidR="00842AC8" w:rsidRPr="00B836FA" w:rsidRDefault="00842AC8" w:rsidP="00842AC8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842AC8" w:rsidRPr="00A05058" w:rsidRDefault="00842AC8" w:rsidP="00842AC8">
      <w:pPr>
        <w:rPr>
          <w:spacing w:val="-4"/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05058">
        <w:rPr>
          <w:rFonts w:hint="eastAsia"/>
          <w:spacing w:val="-4"/>
          <w:lang w:eastAsia="zh-CN"/>
        </w:rPr>
        <w:t>有关国际电联财务问题的国际电联《组织法》第</w:t>
      </w:r>
      <w:r w:rsidRPr="00A05058">
        <w:rPr>
          <w:rFonts w:hint="eastAsia"/>
          <w:spacing w:val="-4"/>
          <w:lang w:eastAsia="zh-CN"/>
        </w:rPr>
        <w:t>28</w:t>
      </w:r>
      <w:r w:rsidRPr="00A05058">
        <w:rPr>
          <w:rFonts w:hint="eastAsia"/>
          <w:spacing w:val="-4"/>
          <w:lang w:eastAsia="zh-CN"/>
        </w:rPr>
        <w:t>条及国际电联《公约》第</w:t>
      </w:r>
      <w:r w:rsidRPr="00A05058">
        <w:rPr>
          <w:rFonts w:hint="eastAsia"/>
          <w:spacing w:val="-4"/>
          <w:lang w:eastAsia="zh-CN"/>
        </w:rPr>
        <w:t>33</w:t>
      </w:r>
      <w:r w:rsidRPr="00A05058">
        <w:rPr>
          <w:rFonts w:hint="eastAsia"/>
          <w:spacing w:val="-4"/>
          <w:lang w:eastAsia="zh-CN"/>
        </w:rPr>
        <w:t>条；</w:t>
      </w:r>
    </w:p>
    <w:p w:rsidR="00842AC8" w:rsidRPr="00A0505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全权代表大会（</w:t>
      </w:r>
      <w:r w:rsidRPr="00A05058">
        <w:rPr>
          <w:rFonts w:hint="eastAsia"/>
          <w:lang w:eastAsia="zh-CN"/>
        </w:rPr>
        <w:t>2014</w:t>
      </w:r>
      <w:r w:rsidRPr="00A05058">
        <w:rPr>
          <w:rFonts w:hint="eastAsia"/>
          <w:lang w:eastAsia="zh-CN"/>
        </w:rPr>
        <w:t>年，釜山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修订版</w:t>
      </w:r>
      <w:r w:rsidRPr="00A05058">
        <w:rPr>
          <w:rFonts w:hint="eastAsia"/>
          <w:lang w:eastAsia="zh-CN"/>
        </w:rPr>
        <w:t>）第</w:t>
      </w:r>
      <w:r w:rsidRPr="00A05058">
        <w:rPr>
          <w:lang w:eastAsia="zh-CN"/>
        </w:rPr>
        <w:t>158</w:t>
      </w:r>
      <w:r w:rsidRPr="00A05058">
        <w:rPr>
          <w:rFonts w:hint="eastAsia"/>
          <w:lang w:eastAsia="zh-CN"/>
        </w:rPr>
        <w:t>号决议责成秘书长研究</w:t>
      </w:r>
      <w:r w:rsidRPr="00A05058">
        <w:rPr>
          <w:lang w:eastAsia="zh-CN"/>
        </w:rPr>
        <w:t>国际电联增收的新的可行措施；</w:t>
      </w:r>
    </w:p>
    <w:p w:rsidR="00842AC8" w:rsidRPr="00A0505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c)</w:t>
      </w:r>
      <w:r>
        <w:rPr>
          <w:lang w:eastAsia="zh-CN"/>
        </w:rPr>
        <w:tab/>
      </w:r>
      <w:bookmarkStart w:id="2" w:name="_Toc219521712"/>
      <w:bookmarkStart w:id="3" w:name="_Toc348252446"/>
      <w:r w:rsidRPr="00A05058">
        <w:rPr>
          <w:rFonts w:hint="eastAsia"/>
          <w:lang w:eastAsia="zh-CN"/>
        </w:rPr>
        <w:t>有关自愿捐款</w:t>
      </w:r>
      <w:bookmarkEnd w:id="2"/>
      <w:bookmarkEnd w:id="3"/>
      <w:r w:rsidRPr="00A05058">
        <w:rPr>
          <w:rFonts w:hint="eastAsia"/>
          <w:lang w:eastAsia="zh-CN"/>
        </w:rPr>
        <w:t>的</w:t>
      </w:r>
      <w:bookmarkStart w:id="4" w:name="_Toc219521711"/>
      <w:bookmarkStart w:id="5" w:name="_Toc348252445"/>
      <w:r w:rsidRPr="00A05058">
        <w:rPr>
          <w:rFonts w:hint="eastAsia"/>
          <w:lang w:eastAsia="zh-CN"/>
        </w:rPr>
        <w:t>第</w:t>
      </w:r>
      <w:r w:rsidRPr="00A05058">
        <w:rPr>
          <w:lang w:eastAsia="zh-CN"/>
        </w:rPr>
        <w:t>34</w:t>
      </w:r>
      <w:r w:rsidRPr="00A05058">
        <w:rPr>
          <w:rFonts w:hint="eastAsia"/>
          <w:lang w:eastAsia="zh-CN"/>
        </w:rPr>
        <w:t>号决议</w:t>
      </w:r>
      <w:bookmarkEnd w:id="4"/>
      <w:r w:rsidRPr="00A05058">
        <w:rPr>
          <w:rFonts w:hint="eastAsia"/>
          <w:lang w:eastAsia="zh-CN"/>
        </w:rPr>
        <w:t>（</w:t>
      </w:r>
      <w:r w:rsidRPr="00A05058">
        <w:rPr>
          <w:lang w:eastAsia="zh-CN"/>
        </w:rPr>
        <w:t>2012</w:t>
      </w:r>
      <w:r w:rsidRPr="00A05058">
        <w:rPr>
          <w:rFonts w:hint="eastAsia"/>
          <w:lang w:eastAsia="zh-CN"/>
        </w:rPr>
        <w:t>年，迪拜，修订版）</w:t>
      </w:r>
      <w:bookmarkEnd w:id="5"/>
      <w:r w:rsidRPr="00A05058">
        <w:rPr>
          <w:lang w:eastAsia="zh-CN"/>
        </w:rPr>
        <w:t>；</w:t>
      </w:r>
    </w:p>
    <w:p w:rsidR="00842AC8" w:rsidRPr="00A0505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d)</w:t>
      </w:r>
      <w:r>
        <w:rPr>
          <w:lang w:eastAsia="zh-CN"/>
        </w:rPr>
        <w:tab/>
      </w:r>
      <w:bookmarkStart w:id="6" w:name="_Toc219521721"/>
      <w:bookmarkStart w:id="7" w:name="_Toc348252456"/>
      <w:r w:rsidRPr="00A05058">
        <w:rPr>
          <w:rFonts w:hint="eastAsia"/>
          <w:lang w:eastAsia="zh-CN"/>
        </w:rPr>
        <w:t>有关缩小发展中国家</w:t>
      </w:r>
      <w:r>
        <w:rPr>
          <w:rStyle w:val="FootnoteReference"/>
          <w:lang w:eastAsia="zh-CN"/>
        </w:rPr>
        <w:footnoteReference w:customMarkFollows="1" w:id="1"/>
        <w:t>1</w:t>
      </w:r>
      <w:r w:rsidRPr="00A05058">
        <w:rPr>
          <w:rFonts w:hint="eastAsia"/>
          <w:lang w:eastAsia="zh-CN"/>
        </w:rPr>
        <w:t>与发达国家之间的标准化工作差距</w:t>
      </w:r>
      <w:bookmarkEnd w:id="6"/>
      <w:bookmarkEnd w:id="7"/>
      <w:r w:rsidRPr="00A05058">
        <w:rPr>
          <w:rFonts w:hint="eastAsia"/>
          <w:lang w:eastAsia="zh-CN"/>
        </w:rPr>
        <w:t>的</w:t>
      </w:r>
      <w:bookmarkStart w:id="8" w:name="_Toc219521720"/>
      <w:bookmarkStart w:id="9" w:name="_Toc348252455"/>
      <w:r>
        <w:rPr>
          <w:rFonts w:hint="eastAsia"/>
          <w:lang w:eastAsia="zh-CN"/>
        </w:rPr>
        <w:t>本届</w:t>
      </w:r>
      <w:r w:rsidRPr="00A05058">
        <w:rPr>
          <w:rFonts w:hint="eastAsia"/>
          <w:lang w:eastAsia="zh-CN"/>
        </w:rPr>
        <w:t>全会第</w:t>
      </w:r>
      <w:r w:rsidRPr="00A05058">
        <w:rPr>
          <w:rFonts w:hint="eastAsia"/>
          <w:lang w:eastAsia="zh-CN"/>
        </w:rPr>
        <w:t>44</w:t>
      </w:r>
      <w:r w:rsidRPr="00A05058">
        <w:rPr>
          <w:rFonts w:hint="eastAsia"/>
          <w:lang w:eastAsia="zh-CN"/>
        </w:rPr>
        <w:t>号决议</w:t>
      </w:r>
      <w:bookmarkEnd w:id="8"/>
      <w:r w:rsidRPr="00A05058">
        <w:rPr>
          <w:rFonts w:hint="eastAsia"/>
          <w:lang w:eastAsia="zh-CN"/>
        </w:rPr>
        <w:t>（</w:t>
      </w:r>
      <w:r w:rsidRPr="00A05058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年，哈马马特</w:t>
      </w:r>
      <w:r w:rsidRPr="00A05058">
        <w:rPr>
          <w:rFonts w:hint="eastAsia"/>
          <w:lang w:eastAsia="zh-CN"/>
        </w:rPr>
        <w:t>，修订版）</w:t>
      </w:r>
      <w:bookmarkEnd w:id="9"/>
      <w:r w:rsidRPr="00A05058">
        <w:rPr>
          <w:rFonts w:hint="eastAsia"/>
          <w:lang w:eastAsia="zh-CN"/>
        </w:rPr>
        <w:t>，该决议说明了为缩小标准化工作差距而筹措资金的来源，</w:t>
      </w:r>
    </w:p>
    <w:p w:rsidR="00842AC8" w:rsidRPr="00B836FA" w:rsidRDefault="00842AC8" w:rsidP="00842AC8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842AC8" w:rsidRPr="00A0505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</w:t>
      </w:r>
      <w:r w:rsidRPr="00A05058">
        <w:rPr>
          <w:rFonts w:hint="eastAsia"/>
          <w:lang w:eastAsia="zh-CN"/>
        </w:rPr>
        <w:t>理事会</w:t>
      </w:r>
      <w:r w:rsidRPr="00A05058">
        <w:rPr>
          <w:rFonts w:hint="eastAsia"/>
          <w:lang w:eastAsia="zh-CN"/>
        </w:rPr>
        <w:t>2016</w:t>
      </w:r>
      <w:r w:rsidRPr="00A05058">
        <w:rPr>
          <w:rFonts w:hint="eastAsia"/>
          <w:lang w:eastAsia="zh-CN"/>
        </w:rPr>
        <w:t>年会议有关国际码号资源（</w:t>
      </w:r>
      <w:r w:rsidRPr="00A05058">
        <w:rPr>
          <w:lang w:eastAsia="zh-CN"/>
        </w:rPr>
        <w:t>INR</w:t>
      </w:r>
      <w:r w:rsidRPr="00A05058">
        <w:rPr>
          <w:rFonts w:hint="eastAsia"/>
          <w:lang w:eastAsia="zh-CN"/>
        </w:rPr>
        <w:t>）问题以及为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 w:rsidRPr="00A05058">
        <w:rPr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A05058">
        <w:rPr>
          <w:rFonts w:hint="eastAsia"/>
          <w:lang w:eastAsia="zh-CN"/>
        </w:rPr>
        <w:t>确定其他收入来源的辩论，秘书处在讨论过程中指出，如果不确定新的收入来源，将很难提交一个平衡的</w:t>
      </w:r>
      <w:r w:rsidRPr="00A05058">
        <w:rPr>
          <w:lang w:eastAsia="zh-CN"/>
        </w:rPr>
        <w:t>2018-2019</w:t>
      </w:r>
      <w:r w:rsidRPr="00A05058">
        <w:rPr>
          <w:rFonts w:hint="eastAsia"/>
          <w:lang w:eastAsia="zh-CN"/>
        </w:rPr>
        <w:t>年预算</w:t>
      </w:r>
      <w:r w:rsidRPr="00A05058">
        <w:rPr>
          <w:lang w:eastAsia="zh-CN"/>
        </w:rPr>
        <w:t>；</w:t>
      </w:r>
    </w:p>
    <w:p w:rsidR="00842AC8" w:rsidRPr="00A05058" w:rsidRDefault="00842AC8" w:rsidP="00842AC8">
      <w:pPr>
        <w:rPr>
          <w:lang w:eastAsia="zh-CN"/>
        </w:rPr>
      </w:pPr>
      <w:r w:rsidRPr="00C06DA5">
        <w:rPr>
          <w:i/>
          <w:iCs/>
          <w:lang w:eastAsia="zh-CN"/>
        </w:rPr>
        <w:t>b)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理事会</w:t>
      </w:r>
      <w:r w:rsidRPr="00A05058">
        <w:rPr>
          <w:rFonts w:hint="eastAsia"/>
          <w:lang w:eastAsia="zh-CN"/>
        </w:rPr>
        <w:t>2016</w:t>
      </w:r>
      <w:r w:rsidRPr="00A05058">
        <w:rPr>
          <w:rFonts w:hint="eastAsia"/>
          <w:lang w:eastAsia="zh-CN"/>
        </w:rPr>
        <w:t>年会议建</w:t>
      </w:r>
      <w:bookmarkStart w:id="10" w:name="_GoBack"/>
      <w:bookmarkEnd w:id="10"/>
      <w:r w:rsidRPr="00A05058">
        <w:rPr>
          <w:rFonts w:hint="eastAsia"/>
          <w:lang w:eastAsia="zh-CN"/>
        </w:rPr>
        <w:t>议向理事会</w:t>
      </w:r>
      <w:r w:rsidRPr="00A05058">
        <w:rPr>
          <w:rFonts w:hint="eastAsia"/>
          <w:lang w:eastAsia="zh-CN"/>
        </w:rPr>
        <w:t>2017</w:t>
      </w:r>
      <w:r w:rsidRPr="00A05058">
        <w:rPr>
          <w:rFonts w:hint="eastAsia"/>
          <w:lang w:eastAsia="zh-CN"/>
        </w:rPr>
        <w:t>年会议提交一份研究，确定国际电联所有可能的收入来源，并不局限于</w:t>
      </w:r>
      <w:r w:rsidRPr="00A05058">
        <w:rPr>
          <w:lang w:eastAsia="zh-CN"/>
        </w:rPr>
        <w:t>INR</w:t>
      </w:r>
      <w:r w:rsidRPr="00A05058">
        <w:rPr>
          <w:rFonts w:hint="eastAsia"/>
          <w:lang w:eastAsia="zh-CN"/>
        </w:rPr>
        <w:t>，</w:t>
      </w:r>
    </w:p>
    <w:p w:rsidR="00842AC8" w:rsidRPr="00B836FA" w:rsidRDefault="00842AC8" w:rsidP="00842AC8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842AC8" w:rsidRPr="00A0505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尽管</w:t>
      </w:r>
      <w:r w:rsidRPr="00A05058">
        <w:rPr>
          <w:lang w:eastAsia="zh-CN"/>
        </w:rPr>
        <w:t>ITU-T</w:t>
      </w:r>
      <w:r>
        <w:rPr>
          <w:rFonts w:hint="eastAsia"/>
          <w:lang w:eastAsia="zh-CN"/>
        </w:rPr>
        <w:t>的工作和活动在持续增加，但为本</w:t>
      </w:r>
      <w:r w:rsidRPr="00A05058">
        <w:rPr>
          <w:rFonts w:hint="eastAsia"/>
          <w:lang w:eastAsia="zh-CN"/>
        </w:rPr>
        <w:t>部门划拨的资源可能不足以涵盖它所开展的所有工作、活动和研究；</w:t>
      </w:r>
    </w:p>
    <w:p w:rsidR="00842AC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依赖</w:t>
      </w:r>
      <w:r w:rsidRPr="00A05058">
        <w:rPr>
          <w:rFonts w:hint="eastAsia"/>
          <w:lang w:eastAsia="zh-CN"/>
        </w:rPr>
        <w:t>成员国和部门成员会费的国际电联财务收入持续下降；</w:t>
      </w:r>
    </w:p>
    <w:p w:rsidR="00842AC8" w:rsidRDefault="00842AC8" w:rsidP="00842AC8">
      <w:pPr>
        <w:rPr>
          <w:lang w:eastAsia="zh-CN"/>
        </w:rPr>
      </w:pPr>
      <w:r w:rsidRPr="00C57FAE">
        <w:rPr>
          <w:i/>
          <w:iCs/>
          <w:lang w:eastAsia="zh-CN"/>
        </w:rPr>
        <w:t>c)</w:t>
      </w:r>
      <w:r>
        <w:rPr>
          <w:lang w:eastAsia="zh-CN"/>
        </w:rPr>
        <w:tab/>
      </w:r>
      <w:r w:rsidRPr="00A05058">
        <w:rPr>
          <w:rFonts w:hint="eastAsia"/>
          <w:lang w:eastAsia="zh-CN"/>
        </w:rPr>
        <w:t>必须通过开源和多方筹集的方式增加</w:t>
      </w:r>
      <w:r w:rsidRPr="00A05058">
        <w:rPr>
          <w:lang w:eastAsia="zh-CN"/>
        </w:rPr>
        <w:t>ITU-T</w:t>
      </w:r>
      <w:r w:rsidRPr="00A05058">
        <w:rPr>
          <w:rFonts w:hint="eastAsia"/>
          <w:lang w:eastAsia="zh-CN"/>
        </w:rPr>
        <w:t>的收入，</w:t>
      </w:r>
    </w:p>
    <w:p w:rsidR="00842AC8" w:rsidRPr="00B836FA" w:rsidRDefault="00842AC8" w:rsidP="00842AC8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做出决议，责成电信标准化局主任</w:t>
      </w:r>
    </w:p>
    <w:p w:rsidR="00842AC8" w:rsidRPr="00A05058" w:rsidRDefault="00842AC8" w:rsidP="00842AC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参与上</w:t>
      </w:r>
      <w:r>
        <w:rPr>
          <w:lang w:eastAsia="zh-CN"/>
        </w:rPr>
        <w:t>述</w:t>
      </w:r>
      <w:r w:rsidRPr="007C14F6">
        <w:rPr>
          <w:rFonts w:ascii="STKaiti" w:eastAsia="STKaiti" w:hAnsi="STKaiti"/>
          <w:lang w:eastAsia="zh-CN"/>
        </w:rPr>
        <w:t>注意</w:t>
      </w:r>
      <w:r w:rsidRPr="007C14F6">
        <w:rPr>
          <w:rFonts w:ascii="STKaiti" w:eastAsia="STKaiti" w:hAnsi="STKaiti" w:hint="eastAsia"/>
          <w:lang w:eastAsia="zh-CN"/>
        </w:rPr>
        <w:t>到</w:t>
      </w:r>
      <w:r w:rsidRPr="00F24C1A">
        <w:rPr>
          <w:rFonts w:hint="eastAsia"/>
          <w:i/>
          <w:iCs/>
          <w:lang w:eastAsia="zh-CN"/>
        </w:rPr>
        <w:t>b</w:t>
      </w:r>
      <w:r w:rsidRPr="00F24C1A">
        <w:rPr>
          <w:i/>
          <w:iCs/>
          <w:lang w:eastAsia="zh-CN"/>
        </w:rPr>
        <w:t>)</w:t>
      </w:r>
      <w:r>
        <w:rPr>
          <w:rFonts w:hint="eastAsia"/>
          <w:lang w:eastAsia="zh-CN"/>
        </w:rPr>
        <w:t>所述</w:t>
      </w:r>
      <w:r>
        <w:rPr>
          <w:lang w:eastAsia="zh-CN"/>
        </w:rPr>
        <w:t>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为</w:t>
      </w:r>
      <w:r w:rsidRPr="00A05058">
        <w:rPr>
          <w:rFonts w:hint="eastAsia"/>
          <w:lang w:eastAsia="zh-CN"/>
        </w:rPr>
        <w:t>ITU-T</w:t>
      </w:r>
      <w:r w:rsidRPr="00A05058">
        <w:rPr>
          <w:rFonts w:hint="eastAsia"/>
          <w:lang w:eastAsia="zh-CN"/>
        </w:rPr>
        <w:t>增收的可能新措施</w:t>
      </w:r>
      <w:r>
        <w:rPr>
          <w:rFonts w:hint="eastAsia"/>
          <w:lang w:eastAsia="zh-CN"/>
        </w:rPr>
        <w:t>的研究</w:t>
      </w:r>
      <w:r>
        <w:rPr>
          <w:lang w:eastAsia="zh-CN"/>
        </w:rPr>
        <w:t>工作</w:t>
      </w:r>
      <w:r w:rsidRPr="00A05058">
        <w:rPr>
          <w:rFonts w:hint="eastAsia"/>
          <w:lang w:eastAsia="zh-CN"/>
        </w:rPr>
        <w:t>，其中包括可从</w:t>
      </w:r>
      <w:r w:rsidRPr="00A05058">
        <w:rPr>
          <w:rFonts w:hint="eastAsia"/>
          <w:lang w:eastAsia="zh-CN"/>
        </w:rPr>
        <w:t>INR</w:t>
      </w:r>
      <w:r w:rsidRPr="00A05058">
        <w:rPr>
          <w:rFonts w:hint="eastAsia"/>
          <w:lang w:eastAsia="zh-CN"/>
        </w:rPr>
        <w:t>以及一致性和互操作性测试等获得的收入。</w:t>
      </w:r>
    </w:p>
    <w:p w:rsidR="00AA4B12" w:rsidRPr="005A0734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sectPr w:rsidR="00AA4B12" w:rsidRPr="005A0734" w:rsidSect="00BA5D17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E1" w:rsidRDefault="009F6BE1">
      <w:r>
        <w:separator/>
      </w:r>
    </w:p>
  </w:endnote>
  <w:endnote w:type="continuationSeparator" w:id="0">
    <w:p w:rsidR="009F6BE1" w:rsidRDefault="009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3F5BB8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3F5BB8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3F5BB8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F5BB8">
      <w:rPr>
        <w:rFonts w:hint="eastAsia"/>
        <w:lang w:val="en-US" w:eastAsia="zh-CN"/>
      </w:rPr>
      <w:t>第</w:t>
    </w:r>
    <w:r w:rsidR="003F5BB8">
      <w:rPr>
        <w:rFonts w:hint="eastAsia"/>
        <w:lang w:val="en-US" w:eastAsia="zh-CN"/>
      </w:rPr>
      <w:t>85</w:t>
    </w:r>
    <w:r w:rsidR="003F5BB8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EA4F4A" w:rsidP="00EA4F4A">
    <w:pPr>
      <w:pStyle w:val="Footer"/>
      <w:rPr>
        <w:lang w:val="en-US" w:eastAsia="zh-CN"/>
      </w:rPr>
    </w:pPr>
    <w:r>
      <w:rPr>
        <w:lang w:eastAsia="zh-CN"/>
      </w:rPr>
      <w:tab/>
    </w:r>
    <w:r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3F5BB8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3F5BB8" w:rsidRPr="003F5BB8">
      <w:rPr>
        <w:rFonts w:hint="eastAsia"/>
        <w:b w:val="0"/>
        <w:bCs/>
        <w:lang w:val="en-US" w:eastAsia="zh-CN"/>
      </w:rPr>
      <w:t>第</w:t>
    </w:r>
    <w:r w:rsidR="003F5BB8" w:rsidRPr="003F5BB8">
      <w:rPr>
        <w:rFonts w:hint="eastAsia"/>
        <w:b w:val="0"/>
        <w:bCs/>
        <w:lang w:val="en-US" w:eastAsia="zh-CN"/>
      </w:rPr>
      <w:t>85</w:t>
    </w:r>
    <w:r w:rsidR="003F5BB8" w:rsidRPr="003F5BB8">
      <w:rPr>
        <w:rFonts w:hint="eastAsia"/>
        <w:b w:val="0"/>
        <w:bCs/>
        <w:lang w:val="en-US" w:eastAsia="zh-CN"/>
      </w:rPr>
      <w:t>号决议</w:t>
    </w:r>
    <w:r w:rsidR="0061564D">
      <w:rPr>
        <w:lang w:val="en-US" w:eastAsia="zh-CN"/>
      </w:rPr>
      <w:fldChar w:fldCharType="end"/>
    </w:r>
    <w:r>
      <w:rPr>
        <w:lang w:val="en-US"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BA5D17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3F5BB8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3F5BB8" w:rsidRPr="003F5BB8">
      <w:rPr>
        <w:rFonts w:hint="eastAsia"/>
        <w:bCs/>
        <w:noProof/>
        <w:lang w:eastAsia="zh-CN"/>
      </w:rPr>
      <w:t>第</w:t>
    </w:r>
    <w:r w:rsidR="003F5BB8" w:rsidRPr="003F5BB8">
      <w:rPr>
        <w:rFonts w:hint="eastAsia"/>
        <w:bCs/>
        <w:noProof/>
        <w:lang w:eastAsia="zh-CN"/>
      </w:rPr>
      <w:t>85</w:t>
    </w:r>
    <w:r w:rsidR="003F5BB8" w:rsidRPr="003F5BB8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BA5D17">
      <w:rPr>
        <w:b w:val="0"/>
        <w:bCs/>
        <w:lang w:eastAsia="zh-CN"/>
      </w:rPr>
      <w:fldChar w:fldCharType="begin"/>
    </w:r>
    <w:r w:rsidRPr="00BA5D17">
      <w:rPr>
        <w:b w:val="0"/>
        <w:bCs/>
        <w:lang w:eastAsia="zh-CN"/>
      </w:rPr>
      <w:instrText xml:space="preserve"> PAGE   \* MERGEFORMAT </w:instrText>
    </w:r>
    <w:r w:rsidRPr="00BA5D17">
      <w:rPr>
        <w:b w:val="0"/>
        <w:bCs/>
        <w:lang w:eastAsia="zh-CN"/>
      </w:rPr>
      <w:fldChar w:fldCharType="separate"/>
    </w:r>
    <w:r w:rsidR="003F5BB8">
      <w:rPr>
        <w:b w:val="0"/>
        <w:bCs/>
        <w:noProof/>
        <w:lang w:eastAsia="zh-CN"/>
      </w:rPr>
      <w:t>1</w:t>
    </w:r>
    <w:r w:rsidRPr="00BA5D17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E1" w:rsidRDefault="009F6BE1">
      <w:r>
        <w:t>____________________</w:t>
      </w:r>
    </w:p>
  </w:footnote>
  <w:footnote w:type="continuationSeparator" w:id="0">
    <w:p w:rsidR="009F6BE1" w:rsidRDefault="009F6BE1">
      <w:r>
        <w:continuationSeparator/>
      </w:r>
    </w:p>
  </w:footnote>
  <w:footnote w:id="1">
    <w:p w:rsidR="00842AC8" w:rsidRPr="00A05058" w:rsidRDefault="00842AC8" w:rsidP="00842AC8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rFonts w:ascii="SimSun" w:cs="SimSun"/>
          <w:color w:val="000000"/>
          <w:lang w:val="en-US" w:eastAsia="zh-CN"/>
        </w:rPr>
        <w:tab/>
      </w:r>
      <w:r w:rsidRPr="006E55D1">
        <w:rPr>
          <w:rFonts w:ascii="SimSun" w:cs="SimSun" w:hint="eastAsia"/>
          <w:color w:val="000000"/>
          <w:lang w:val="en-US" w:eastAsia="zh-CN"/>
        </w:rPr>
        <w:t>其中包括最不发达国家、小岛屿发展中国家</w:t>
      </w:r>
      <w:r>
        <w:rPr>
          <w:rFonts w:ascii="SimSun" w:cs="SimSun" w:hint="eastAsia"/>
          <w:color w:val="000000"/>
          <w:lang w:val="en-US" w:eastAsia="zh-CN"/>
        </w:rPr>
        <w:t>、内陆发展中国家</w:t>
      </w:r>
      <w:r w:rsidRPr="006E55D1">
        <w:rPr>
          <w:rFonts w:ascii="SimSun" w:cs="SimSun" w:hint="eastAsia"/>
          <w:color w:val="000000"/>
          <w:lang w:val="en-US" w:eastAsia="zh-CN"/>
        </w:rPr>
        <w:t>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7C05"/>
    <w:rsid w:val="002E2A59"/>
    <w:rsid w:val="002E4E53"/>
    <w:rsid w:val="002E50E1"/>
    <w:rsid w:val="002E59C5"/>
    <w:rsid w:val="002F6F0C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5BB8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56218"/>
    <w:rsid w:val="004614A2"/>
    <w:rsid w:val="004631DA"/>
    <w:rsid w:val="00465756"/>
    <w:rsid w:val="00465A34"/>
    <w:rsid w:val="0046713E"/>
    <w:rsid w:val="00467691"/>
    <w:rsid w:val="00471AAB"/>
    <w:rsid w:val="004966A2"/>
    <w:rsid w:val="00496BA8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734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A2A97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1538C"/>
    <w:rsid w:val="0082060F"/>
    <w:rsid w:val="008221A4"/>
    <w:rsid w:val="00823F60"/>
    <w:rsid w:val="00824945"/>
    <w:rsid w:val="00824BD6"/>
    <w:rsid w:val="00835CE7"/>
    <w:rsid w:val="0083672D"/>
    <w:rsid w:val="00840E69"/>
    <w:rsid w:val="00842AC8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6BE1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A5D17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2B00F7E-9094-4A82-8A0D-8BE405F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6</cp:revision>
  <cp:lastPrinted>2016-12-16T09:32:00Z</cp:lastPrinted>
  <dcterms:created xsi:type="dcterms:W3CDTF">2016-12-15T10:21:00Z</dcterms:created>
  <dcterms:modified xsi:type="dcterms:W3CDTF">2016-12-16T09:32:00Z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