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Layout w:type="fixed"/>
        <w:tblLook w:val="0000" w:firstRow="0" w:lastRow="0" w:firstColumn="0" w:lastColumn="0" w:noHBand="0" w:noVBand="0"/>
      </w:tblPr>
      <w:tblGrid>
        <w:gridCol w:w="1418"/>
        <w:gridCol w:w="10"/>
        <w:gridCol w:w="2520"/>
        <w:gridCol w:w="2029"/>
        <w:gridCol w:w="3971"/>
      </w:tblGrid>
      <w:tr w:rsidR="00394646" w:rsidTr="00F9447F">
        <w:trPr>
          <w:trHeight w:hRule="exact" w:val="1418"/>
        </w:trPr>
        <w:tc>
          <w:tcPr>
            <w:tcW w:w="1428" w:type="dxa"/>
            <w:gridSpan w:val="2"/>
          </w:tcPr>
          <w:p w:rsidR="00394646" w:rsidRDefault="00394646" w:rsidP="00F9447F">
            <w:bookmarkStart w:id="0" w:name="InsertLogo"/>
            <w:bookmarkEnd w:id="0"/>
            <w:r>
              <w:rPr>
                <w:noProof/>
                <w:sz w:val="20"/>
                <w:lang w:val="en-US" w:eastAsia="zh-CN"/>
              </w:rPr>
              <w:drawing>
                <wp:anchor distT="0" distB="0" distL="114300" distR="114300" simplePos="0" relativeHeight="251672576"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646" w:rsidRDefault="00394646" w:rsidP="00F9447F">
            <w:pPr>
              <w:spacing w:before="0"/>
              <w:rPr>
                <w:b/>
                <w:sz w:val="16"/>
                <w:lang w:val="en-US"/>
              </w:rPr>
            </w:pPr>
          </w:p>
        </w:tc>
        <w:tc>
          <w:tcPr>
            <w:tcW w:w="8520" w:type="dxa"/>
            <w:gridSpan w:val="3"/>
          </w:tcPr>
          <w:p w:rsidR="00394646" w:rsidRDefault="00394646" w:rsidP="00F9447F">
            <w:pPr>
              <w:spacing w:before="0"/>
              <w:rPr>
                <w:rFonts w:ascii="Arial" w:hAnsi="Arial" w:cs="Arial"/>
                <w:lang w:val="en-US"/>
              </w:rPr>
            </w:pPr>
          </w:p>
          <w:p w:rsidR="00394646" w:rsidRPr="00EC64C1" w:rsidRDefault="00394646" w:rsidP="00F9447F">
            <w:pPr>
              <w:spacing w:before="284"/>
              <w:rPr>
                <w:rFonts w:ascii="Arial" w:hAnsi="Arial" w:cs="Arial"/>
                <w:b/>
                <w:bCs/>
                <w:sz w:val="28"/>
                <w:szCs w:val="28"/>
                <w:lang w:val="en-US"/>
              </w:rPr>
            </w:pPr>
            <w:r w:rsidRPr="005B27E4">
              <w:rPr>
                <w:rFonts w:ascii="Arial" w:eastAsia="SimHei" w:hAnsi="Arial" w:cs="Arial"/>
                <w:spacing w:val="268"/>
                <w:sz w:val="28"/>
                <w:szCs w:val="28"/>
                <w:fitText w:val="8222" w:id="344731648"/>
                <w:lang w:eastAsia="zh-CN"/>
              </w:rPr>
              <w:t>国</w:t>
            </w:r>
            <w:r w:rsidRPr="005B27E4">
              <w:rPr>
                <w:rFonts w:ascii="Arial" w:eastAsia="SimHei" w:hAnsi="Arial" w:cs="Arial"/>
                <w:spacing w:val="268"/>
                <w:sz w:val="28"/>
                <w:szCs w:val="28"/>
                <w:fitText w:val="8222" w:id="344731648"/>
                <w:lang w:val="en-US" w:eastAsia="zh-CN"/>
              </w:rPr>
              <w:t xml:space="preserve">   </w:t>
            </w:r>
            <w:r w:rsidRPr="005B27E4">
              <w:rPr>
                <w:rFonts w:ascii="Arial" w:eastAsia="SimHei" w:hAnsi="Arial" w:cs="Arial"/>
                <w:spacing w:val="268"/>
                <w:sz w:val="28"/>
                <w:szCs w:val="28"/>
                <w:fitText w:val="8222" w:id="344731648"/>
                <w:lang w:eastAsia="zh-CN"/>
              </w:rPr>
              <w:t>际</w:t>
            </w:r>
            <w:r w:rsidRPr="005B27E4">
              <w:rPr>
                <w:rFonts w:ascii="Arial" w:eastAsia="SimHei" w:hAnsi="Arial" w:cs="Arial"/>
                <w:spacing w:val="268"/>
                <w:sz w:val="28"/>
                <w:szCs w:val="28"/>
                <w:fitText w:val="8222" w:id="344731648"/>
                <w:lang w:val="en-US" w:eastAsia="zh-CN"/>
              </w:rPr>
              <w:t xml:space="preserve">   </w:t>
            </w:r>
            <w:r w:rsidRPr="005B27E4">
              <w:rPr>
                <w:rFonts w:ascii="Arial" w:eastAsia="SimHei" w:hAnsi="Arial" w:cs="Arial"/>
                <w:spacing w:val="268"/>
                <w:sz w:val="28"/>
                <w:szCs w:val="28"/>
                <w:fitText w:val="8222" w:id="344731648"/>
                <w:lang w:eastAsia="zh-CN"/>
              </w:rPr>
              <w:t>电</w:t>
            </w:r>
            <w:r w:rsidRPr="005B27E4">
              <w:rPr>
                <w:rFonts w:ascii="Arial" w:eastAsia="SimHei" w:hAnsi="Arial" w:cs="Arial"/>
                <w:spacing w:val="268"/>
                <w:sz w:val="28"/>
                <w:szCs w:val="28"/>
                <w:fitText w:val="8222" w:id="344731648"/>
                <w:lang w:val="en-US" w:eastAsia="zh-CN"/>
              </w:rPr>
              <w:t xml:space="preserve">   </w:t>
            </w:r>
            <w:r w:rsidRPr="005B27E4">
              <w:rPr>
                <w:rFonts w:ascii="Arial" w:eastAsia="SimHei" w:hAnsi="Arial" w:cs="Arial"/>
                <w:spacing w:val="268"/>
                <w:sz w:val="28"/>
                <w:szCs w:val="28"/>
                <w:fitText w:val="8222" w:id="344731648"/>
                <w:lang w:eastAsia="zh-CN"/>
              </w:rPr>
              <w:t>信</w:t>
            </w:r>
            <w:r w:rsidRPr="005B27E4">
              <w:rPr>
                <w:rFonts w:ascii="Arial" w:eastAsia="SimHei" w:hAnsi="Arial" w:cs="Arial"/>
                <w:spacing w:val="268"/>
                <w:sz w:val="28"/>
                <w:szCs w:val="28"/>
                <w:fitText w:val="8222" w:id="344731648"/>
                <w:lang w:val="en-US" w:eastAsia="zh-CN"/>
              </w:rPr>
              <w:t xml:space="preserve">   </w:t>
            </w:r>
            <w:r w:rsidRPr="005B27E4">
              <w:rPr>
                <w:rFonts w:ascii="Arial" w:eastAsia="SimHei" w:hAnsi="Arial" w:cs="Arial"/>
                <w:spacing w:val="268"/>
                <w:sz w:val="28"/>
                <w:szCs w:val="28"/>
                <w:fitText w:val="8222" w:id="344731648"/>
                <w:lang w:eastAsia="zh-CN"/>
              </w:rPr>
              <w:t>联</w:t>
            </w:r>
            <w:r w:rsidRPr="005B27E4">
              <w:rPr>
                <w:rFonts w:ascii="Arial" w:eastAsia="SimHei" w:hAnsi="Arial" w:cs="Arial"/>
                <w:spacing w:val="268"/>
                <w:sz w:val="28"/>
                <w:szCs w:val="28"/>
                <w:fitText w:val="8222" w:id="344731648"/>
                <w:lang w:val="en-US" w:eastAsia="zh-CN"/>
              </w:rPr>
              <w:t xml:space="preserve">   </w:t>
            </w:r>
            <w:r w:rsidRPr="005B27E4">
              <w:rPr>
                <w:rFonts w:ascii="Arial" w:eastAsia="SimHei" w:hAnsi="Arial" w:cs="Arial"/>
                <w:spacing w:val="16"/>
                <w:sz w:val="28"/>
                <w:szCs w:val="28"/>
                <w:fitText w:val="8222" w:id="344731648"/>
                <w:lang w:eastAsia="zh-CN"/>
              </w:rPr>
              <w:t>盟</w:t>
            </w:r>
          </w:p>
        </w:tc>
      </w:tr>
      <w:tr w:rsidR="00394646" w:rsidTr="00F9447F">
        <w:trPr>
          <w:trHeight w:hRule="exact" w:val="992"/>
        </w:trPr>
        <w:tc>
          <w:tcPr>
            <w:tcW w:w="1428" w:type="dxa"/>
            <w:gridSpan w:val="2"/>
          </w:tcPr>
          <w:p w:rsidR="00394646" w:rsidRDefault="00394646" w:rsidP="00F9447F">
            <w:pPr>
              <w:spacing w:before="0"/>
              <w:rPr>
                <w:lang w:val="en-US"/>
              </w:rPr>
            </w:pPr>
          </w:p>
        </w:tc>
        <w:tc>
          <w:tcPr>
            <w:tcW w:w="8520" w:type="dxa"/>
            <w:gridSpan w:val="3"/>
          </w:tcPr>
          <w:p w:rsidR="00394646" w:rsidRDefault="00394646" w:rsidP="00F9447F">
            <w:pPr>
              <w:rPr>
                <w:lang w:val="en-US"/>
              </w:rPr>
            </w:pPr>
          </w:p>
        </w:tc>
      </w:tr>
      <w:tr w:rsidR="00394646" w:rsidTr="00F9447F">
        <w:tblPrEx>
          <w:tblCellMar>
            <w:left w:w="85" w:type="dxa"/>
            <w:right w:w="85" w:type="dxa"/>
          </w:tblCellMar>
        </w:tblPrEx>
        <w:trPr>
          <w:gridBefore w:val="2"/>
          <w:wBefore w:w="1428" w:type="dxa"/>
        </w:trPr>
        <w:tc>
          <w:tcPr>
            <w:tcW w:w="2520" w:type="dxa"/>
          </w:tcPr>
          <w:p w:rsidR="00394646" w:rsidRDefault="00394646" w:rsidP="00F9447F">
            <w:pPr>
              <w:rPr>
                <w:b/>
                <w:sz w:val="18"/>
                <w:lang w:val="en-US"/>
              </w:rPr>
            </w:pPr>
            <w:r>
              <w:rPr>
                <w:rFonts w:ascii="Arial" w:hAnsi="Arial"/>
                <w:b/>
                <w:spacing w:val="40"/>
                <w:sz w:val="72"/>
                <w:lang w:val="en-US"/>
              </w:rPr>
              <w:t>ITU-T</w:t>
            </w:r>
          </w:p>
        </w:tc>
        <w:tc>
          <w:tcPr>
            <w:tcW w:w="6000" w:type="dxa"/>
            <w:gridSpan w:val="2"/>
          </w:tcPr>
          <w:p w:rsidR="00394646" w:rsidRPr="003F5F87" w:rsidRDefault="00394646" w:rsidP="00F9447F">
            <w:pPr>
              <w:spacing w:before="240"/>
              <w:jc w:val="right"/>
              <w:rPr>
                <w:rFonts w:ascii="Arial" w:hAnsi="Arial" w:cs="Arial"/>
                <w:b/>
                <w:sz w:val="60"/>
                <w:lang w:val="en-US"/>
              </w:rPr>
            </w:pPr>
          </w:p>
        </w:tc>
      </w:tr>
      <w:tr w:rsidR="00394646" w:rsidTr="00F9447F">
        <w:tblPrEx>
          <w:tblCellMar>
            <w:left w:w="85" w:type="dxa"/>
            <w:right w:w="85" w:type="dxa"/>
          </w:tblCellMar>
        </w:tblPrEx>
        <w:trPr>
          <w:gridBefore w:val="2"/>
          <w:wBefore w:w="1428" w:type="dxa"/>
          <w:trHeight w:val="974"/>
        </w:trPr>
        <w:tc>
          <w:tcPr>
            <w:tcW w:w="4549" w:type="dxa"/>
            <w:gridSpan w:val="2"/>
          </w:tcPr>
          <w:p w:rsidR="00394646" w:rsidRDefault="00394646" w:rsidP="00F9447F">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rsidR="00394646" w:rsidRDefault="00394646" w:rsidP="00F9447F">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rsidR="00394646" w:rsidRPr="003F5F87" w:rsidRDefault="00394646" w:rsidP="00F9447F">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rsidTr="00F9447F">
        <w:trPr>
          <w:cantSplit/>
          <w:trHeight w:hRule="exact" w:val="3402"/>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Borders>
              <w:bottom w:val="single" w:sz="12" w:space="0" w:color="auto"/>
            </w:tcBorders>
            <w:vAlign w:val="bottom"/>
          </w:tcPr>
          <w:p w:rsidR="00394646" w:rsidRDefault="00394646" w:rsidP="00F9447F">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rsidR="00394646" w:rsidRPr="00542C2D" w:rsidRDefault="00394646" w:rsidP="00F9447F">
            <w:pPr>
              <w:tabs>
                <w:tab w:val="right" w:pos="9639"/>
              </w:tabs>
              <w:jc w:val="left"/>
              <w:rPr>
                <w:rFonts w:ascii="Arial" w:hAnsi="Arial" w:cs="Arial"/>
                <w:sz w:val="28"/>
                <w:szCs w:val="28"/>
                <w:lang w:val="en-US" w:eastAsia="zh-CN"/>
              </w:rPr>
            </w:pPr>
            <w:r w:rsidRPr="009F2F95">
              <w:rPr>
                <w:rFonts w:hint="eastAsia"/>
                <w:b/>
                <w:sz w:val="28"/>
                <w:szCs w:val="28"/>
                <w:lang w:eastAsia="zh-CN"/>
              </w:rPr>
              <w:t>迪拜，</w:t>
            </w:r>
            <w:r w:rsidRPr="009F2F95">
              <w:rPr>
                <w:rFonts w:hint="eastAsia"/>
                <w:sz w:val="28"/>
                <w:szCs w:val="28"/>
                <w:lang w:eastAsia="zh-CN"/>
              </w:rPr>
              <w:t>2012</w:t>
            </w:r>
            <w:r w:rsidRPr="009F2F95">
              <w:rPr>
                <w:rFonts w:hint="eastAsia"/>
                <w:b/>
                <w:sz w:val="28"/>
                <w:szCs w:val="28"/>
                <w:lang w:eastAsia="zh-CN"/>
              </w:rPr>
              <w:t>年</w:t>
            </w:r>
            <w:r w:rsidRPr="009F2F95">
              <w:rPr>
                <w:rFonts w:hint="eastAsia"/>
                <w:sz w:val="28"/>
                <w:szCs w:val="28"/>
                <w:lang w:eastAsia="zh-CN"/>
              </w:rPr>
              <w:t>11</w:t>
            </w:r>
            <w:r w:rsidRPr="009F2F95">
              <w:rPr>
                <w:rFonts w:hint="eastAsia"/>
                <w:b/>
                <w:sz w:val="28"/>
                <w:szCs w:val="28"/>
                <w:lang w:eastAsia="zh-CN"/>
              </w:rPr>
              <w:t>月</w:t>
            </w:r>
            <w:r w:rsidRPr="009F2F95">
              <w:rPr>
                <w:sz w:val="28"/>
                <w:szCs w:val="28"/>
                <w:lang w:eastAsia="zh-CN"/>
              </w:rPr>
              <w:t>20-29</w:t>
            </w:r>
            <w:r w:rsidRPr="009F2F95">
              <w:rPr>
                <w:rFonts w:hint="eastAsia"/>
                <w:b/>
                <w:sz w:val="28"/>
                <w:szCs w:val="28"/>
                <w:lang w:eastAsia="zh-CN"/>
              </w:rPr>
              <w:t>日</w:t>
            </w:r>
          </w:p>
          <w:p w:rsidR="00394646" w:rsidRPr="003F5F87" w:rsidRDefault="00394646" w:rsidP="00F9447F">
            <w:pPr>
              <w:tabs>
                <w:tab w:val="right" w:pos="9639"/>
              </w:tabs>
              <w:jc w:val="left"/>
              <w:rPr>
                <w:rFonts w:ascii="Arial" w:hAnsi="Arial" w:cs="Arial"/>
                <w:sz w:val="32"/>
                <w:lang w:val="en-US" w:eastAsia="zh-CN"/>
              </w:rPr>
            </w:pPr>
          </w:p>
        </w:tc>
      </w:tr>
      <w:tr w:rsidR="00394646" w:rsidTr="00F9447F">
        <w:trPr>
          <w:cantSplit/>
          <w:trHeight w:hRule="exact" w:val="4536"/>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Pr>
          <w:p w:rsidR="00394646" w:rsidRDefault="00F425ED" w:rsidP="00853371">
            <w:pPr>
              <w:tabs>
                <w:tab w:val="right" w:pos="9639"/>
              </w:tabs>
              <w:jc w:val="left"/>
              <w:rPr>
                <w:rFonts w:ascii="Arial" w:hAnsi="Arial"/>
                <w:b/>
                <w:bCs/>
                <w:sz w:val="36"/>
                <w:lang w:val="en-US" w:eastAsia="zh-CN"/>
              </w:rPr>
            </w:pPr>
            <w:bookmarkStart w:id="1" w:name="OLE_LINK6"/>
            <w:r w:rsidRPr="00F425ED">
              <w:rPr>
                <w:rFonts w:ascii="Arial" w:eastAsia="SimHei" w:hAnsi="Arial" w:cs="Arial" w:hint="eastAsia"/>
                <w:b/>
                <w:bCs/>
                <w:sz w:val="36"/>
                <w:szCs w:val="28"/>
                <w:lang w:eastAsia="zh-CN"/>
              </w:rPr>
              <w:t>第</w:t>
            </w:r>
            <w:r>
              <w:rPr>
                <w:rFonts w:ascii="Arial" w:eastAsia="SimHei" w:hAnsi="Arial" w:cs="Arial"/>
                <w:b/>
                <w:bCs/>
                <w:sz w:val="36"/>
                <w:szCs w:val="28"/>
                <w:lang w:val="en-US" w:eastAsia="zh-CN"/>
              </w:rPr>
              <w:t xml:space="preserve"> </w:t>
            </w:r>
            <w:r w:rsidRPr="00F425ED">
              <w:rPr>
                <w:rFonts w:ascii="Arial" w:eastAsia="SimHei" w:hAnsi="Arial" w:cs="Arial" w:hint="eastAsia"/>
                <w:b/>
                <w:bCs/>
                <w:sz w:val="36"/>
                <w:szCs w:val="28"/>
                <w:lang w:eastAsia="zh-CN"/>
              </w:rPr>
              <w:t>82</w:t>
            </w:r>
            <w:r>
              <w:rPr>
                <w:rFonts w:ascii="Arial" w:eastAsia="SimHei" w:hAnsi="Arial" w:cs="Arial"/>
                <w:b/>
                <w:bCs/>
                <w:sz w:val="36"/>
                <w:szCs w:val="28"/>
                <w:lang w:eastAsia="zh-CN"/>
              </w:rPr>
              <w:t xml:space="preserve"> </w:t>
            </w:r>
            <w:r w:rsidRPr="00F425ED">
              <w:rPr>
                <w:rFonts w:ascii="Arial" w:eastAsia="SimHei" w:hAnsi="Arial" w:cs="Arial" w:hint="eastAsia"/>
                <w:b/>
                <w:bCs/>
                <w:sz w:val="36"/>
                <w:szCs w:val="28"/>
                <w:lang w:eastAsia="zh-CN"/>
              </w:rPr>
              <w:t>号决议</w:t>
            </w:r>
            <w:r w:rsidR="00394646" w:rsidRPr="00542C2D">
              <w:rPr>
                <w:rFonts w:ascii="Arial" w:eastAsia="SimHei" w:hAnsi="Arial" w:cs="Arial"/>
                <w:b/>
                <w:bCs/>
                <w:sz w:val="36"/>
                <w:szCs w:val="28"/>
                <w:lang w:val="en-US" w:eastAsia="zh-CN"/>
              </w:rPr>
              <w:t>–</w:t>
            </w:r>
            <w:r w:rsidRPr="00F425ED">
              <w:rPr>
                <w:rFonts w:ascii="Arial" w:eastAsia="SimHei" w:hAnsi="Arial" w:cs="Arial" w:hint="eastAsia"/>
                <w:b/>
                <w:bCs/>
                <w:sz w:val="36"/>
                <w:szCs w:val="28"/>
                <w:lang w:val="en-US" w:eastAsia="zh-CN"/>
              </w:rPr>
              <w:t>国际电联电信标准化部门的战略和</w:t>
            </w:r>
            <w:r w:rsidR="00853371">
              <w:rPr>
                <w:rFonts w:ascii="Arial" w:eastAsia="SimHei" w:hAnsi="Arial" w:cs="Arial"/>
                <w:b/>
                <w:bCs/>
                <w:sz w:val="36"/>
                <w:szCs w:val="28"/>
                <w:lang w:val="en-US" w:eastAsia="zh-CN"/>
              </w:rPr>
              <w:br/>
            </w:r>
            <w:bookmarkStart w:id="2" w:name="_GoBack"/>
            <w:bookmarkEnd w:id="2"/>
            <w:r w:rsidRPr="00F425ED">
              <w:rPr>
                <w:rFonts w:ascii="Arial" w:eastAsia="SimHei" w:hAnsi="Arial" w:cs="Arial" w:hint="eastAsia"/>
                <w:b/>
                <w:bCs/>
                <w:sz w:val="36"/>
                <w:szCs w:val="28"/>
                <w:lang w:val="en-US" w:eastAsia="zh-CN"/>
              </w:rPr>
              <w:t>结构审查</w:t>
            </w:r>
            <w:bookmarkEnd w:id="1"/>
          </w:p>
        </w:tc>
      </w:tr>
      <w:tr w:rsidR="00394646" w:rsidTr="00F9447F">
        <w:trPr>
          <w:cantSplit/>
          <w:trHeight w:hRule="exact" w:val="1418"/>
        </w:trPr>
        <w:tc>
          <w:tcPr>
            <w:tcW w:w="1418" w:type="dxa"/>
          </w:tcPr>
          <w:p w:rsidR="00394646" w:rsidRDefault="00394646" w:rsidP="00E87B69">
            <w:pPr>
              <w:tabs>
                <w:tab w:val="right" w:pos="9639"/>
              </w:tabs>
              <w:spacing w:before="0"/>
              <w:rPr>
                <w:rFonts w:ascii="Arial" w:hAnsi="Arial"/>
                <w:sz w:val="18"/>
                <w:lang w:val="en-US" w:eastAsia="zh-CN"/>
              </w:rPr>
            </w:pPr>
          </w:p>
        </w:tc>
        <w:tc>
          <w:tcPr>
            <w:tcW w:w="8530" w:type="dxa"/>
            <w:gridSpan w:val="4"/>
            <w:vAlign w:val="bottom"/>
          </w:tcPr>
          <w:p w:rsidR="00394646" w:rsidRDefault="00394646" w:rsidP="00E87B69">
            <w:pPr>
              <w:tabs>
                <w:tab w:val="right" w:pos="9639"/>
              </w:tabs>
              <w:spacing w:before="0"/>
              <w:jc w:val="right"/>
              <w:rPr>
                <w:noProof/>
                <w:lang w:val="en-US" w:eastAsia="zh-CN"/>
              </w:rPr>
            </w:pPr>
          </w:p>
          <w:p w:rsidR="00394646" w:rsidRPr="003F5F87" w:rsidRDefault="00394646" w:rsidP="00E87B69">
            <w:pPr>
              <w:tabs>
                <w:tab w:val="right" w:pos="9639"/>
              </w:tabs>
              <w:spacing w:before="0"/>
              <w:jc w:val="left"/>
              <w:rPr>
                <w:rFonts w:ascii="Arial" w:hAnsi="Arial" w:cs="Arial"/>
                <w:sz w:val="32"/>
                <w:lang w:val="en-US" w:eastAsia="zh-CN"/>
              </w:rPr>
            </w:pPr>
          </w:p>
        </w:tc>
      </w:tr>
    </w:tbl>
    <w:p w:rsidR="00E87B69" w:rsidRDefault="00E87B69" w:rsidP="00E87B69">
      <w:pPr>
        <w:tabs>
          <w:tab w:val="right" w:pos="9639"/>
        </w:tabs>
        <w:spacing w:before="0"/>
        <w:jc w:val="right"/>
        <w:rPr>
          <w:rFonts w:ascii="Arial" w:hAnsi="Arial"/>
          <w:sz w:val="18"/>
          <w:lang w:val="en-US" w:eastAsia="zh-CN"/>
        </w:rPr>
        <w:sectPr w:rsidR="00E87B69" w:rsidSect="00394646">
          <w:footerReference w:type="default" r:id="rId14"/>
          <w:type w:val="oddPage"/>
          <w:pgSz w:w="11907" w:h="16834" w:code="9"/>
          <w:pgMar w:top="1089" w:right="1089" w:bottom="284" w:left="1089" w:header="567" w:footer="284" w:gutter="0"/>
          <w:pgNumType w:fmt="lowerRoman"/>
          <w:cols w:space="720"/>
        </w:sectPr>
      </w:pPr>
      <w:r>
        <w:rPr>
          <w:noProof/>
          <w:lang w:val="en-US" w:eastAsia="zh-CN"/>
        </w:rPr>
        <w:drawing>
          <wp:inline distT="0" distB="0" distL="0" distR="0" wp14:anchorId="3A572CDA" wp14:editId="3D6087DB">
            <wp:extent cx="668655" cy="750570"/>
            <wp:effectExtent l="0" t="0" r="0" b="0"/>
            <wp:docPr id="215" name="Picture 215"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8655" cy="750570"/>
                    </a:xfrm>
                    <a:prstGeom prst="rect">
                      <a:avLst/>
                    </a:prstGeom>
                    <a:noFill/>
                    <a:ln>
                      <a:noFill/>
                    </a:ln>
                  </pic:spPr>
                </pic:pic>
              </a:graphicData>
            </a:graphic>
          </wp:inline>
        </w:drawing>
      </w:r>
    </w:p>
    <w:p w:rsidR="002A7FC1" w:rsidRPr="00E601A0" w:rsidRDefault="002A7FC1" w:rsidP="002A7FC1">
      <w:pPr>
        <w:pStyle w:val="PartNo"/>
        <w:rPr>
          <w:szCs w:val="28"/>
          <w:lang w:eastAsia="zh-CN"/>
        </w:rPr>
      </w:pPr>
      <w:bookmarkStart w:id="3" w:name="c2tope"/>
      <w:bookmarkEnd w:id="3"/>
      <w:r w:rsidRPr="00E601A0">
        <w:rPr>
          <w:rFonts w:hint="eastAsia"/>
          <w:szCs w:val="28"/>
          <w:lang w:eastAsia="zh-CN"/>
        </w:rPr>
        <w:lastRenderedPageBreak/>
        <w:t>前言</w:t>
      </w:r>
    </w:p>
    <w:p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rsidR="004E3B08" w:rsidRPr="002A7FC1" w:rsidRDefault="004E3B08" w:rsidP="00BA3D1A">
      <w:pPr>
        <w:pStyle w:val="ResNo"/>
        <w:rPr>
          <w:rStyle w:val="href"/>
          <w:lang w:val="fr-FR"/>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C32E27" w:rsidRDefault="00C32E27">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C32E27" w:rsidRDefault="00C32E27">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C32E27" w:rsidRDefault="00C32E27">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4E3B08" w:rsidRDefault="004E3B08">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2A7FC1" w:rsidRDefault="002A7FC1">
      <w:pPr>
        <w:tabs>
          <w:tab w:val="clear" w:pos="1134"/>
          <w:tab w:val="clear" w:pos="1871"/>
          <w:tab w:val="clear" w:pos="2268"/>
        </w:tabs>
        <w:overflowPunct/>
        <w:autoSpaceDE/>
        <w:autoSpaceDN/>
        <w:adjustRightInd/>
        <w:spacing w:before="0"/>
        <w:jc w:val="left"/>
        <w:textAlignment w:val="auto"/>
        <w:rPr>
          <w:rFonts w:ascii="Times New Roman Bold" w:hAnsi="Times New Roman Bold"/>
          <w:b/>
          <w:sz w:val="28"/>
          <w:lang w:eastAsia="zh-CN"/>
        </w:rPr>
      </w:pPr>
    </w:p>
    <w:p w:rsidR="002A7FC1" w:rsidRPr="00066C2F" w:rsidRDefault="002A7FC1" w:rsidP="002A7FC1">
      <w:pPr>
        <w:spacing w:line="240" w:lineRule="exact"/>
        <w:jc w:val="center"/>
        <w:rPr>
          <w:sz w:val="22"/>
          <w:szCs w:val="22"/>
          <w:lang w:val="en-US" w:eastAsia="zh-CN"/>
        </w:rPr>
      </w:pPr>
      <w:r w:rsidRPr="00066C2F">
        <w:rPr>
          <w:sz w:val="22"/>
          <w:szCs w:val="22"/>
          <w:lang w:val="en-US"/>
        </w:rPr>
        <w:sym w:font="Symbol" w:char="F0E3"/>
      </w:r>
      <w:r w:rsidRPr="00066C2F">
        <w:rPr>
          <w:sz w:val="22"/>
          <w:szCs w:val="22"/>
          <w:lang w:val="en-US" w:eastAsia="zh-CN"/>
        </w:rPr>
        <w:t xml:space="preserve"> ITU </w:t>
      </w:r>
      <w:r>
        <w:rPr>
          <w:sz w:val="22"/>
          <w:szCs w:val="22"/>
          <w:lang w:val="en-US" w:eastAsia="zh-CN"/>
        </w:rPr>
        <w:t>2013</w:t>
      </w:r>
      <w:r w:rsidRPr="00066C2F">
        <w:rPr>
          <w:rFonts w:hint="eastAsia"/>
          <w:sz w:val="22"/>
          <w:szCs w:val="22"/>
          <w:lang w:val="en-US" w:eastAsia="zh-CN"/>
        </w:rPr>
        <w:t>年</w:t>
      </w:r>
    </w:p>
    <w:p w:rsidR="004E3B08" w:rsidRPr="00381876" w:rsidRDefault="002A7FC1" w:rsidP="002A7FC1">
      <w:pPr>
        <w:spacing w:line="240" w:lineRule="exact"/>
        <w:rPr>
          <w:sz w:val="20"/>
          <w:lang w:eastAsia="zh-CN"/>
        </w:rPr>
      </w:pPr>
      <w:r w:rsidRPr="00840E1F">
        <w:rPr>
          <w:rFonts w:hint="eastAsia"/>
          <w:color w:val="000000"/>
          <w:spacing w:val="-4"/>
          <w:sz w:val="22"/>
          <w:szCs w:val="22"/>
          <w:lang w:eastAsia="zh-CN"/>
        </w:rPr>
        <w:t>版权所有。未经国际电联事先书面许可，不得以任何手段复制本出版物的任何部分。</w:t>
      </w:r>
    </w:p>
    <w:p w:rsidR="004E3B08" w:rsidRPr="004E3B08" w:rsidRDefault="004E3B08" w:rsidP="004E3B08">
      <w:pPr>
        <w:pStyle w:val="Restitle"/>
        <w:rPr>
          <w:lang w:eastAsia="zh-CN"/>
        </w:rPr>
        <w:sectPr w:rsidR="004E3B08" w:rsidRPr="004E3B08" w:rsidSect="004E3B08">
          <w:footerReference w:type="default" r:id="rId16"/>
          <w:headerReference w:type="first" r:id="rId17"/>
          <w:type w:val="oddPage"/>
          <w:pgSz w:w="11907" w:h="16834" w:code="9"/>
          <w:pgMar w:top="1418" w:right="1134" w:bottom="1418" w:left="1134" w:header="720" w:footer="720" w:gutter="0"/>
          <w:pgNumType w:start="1"/>
          <w:cols w:space="720"/>
          <w:titlePg/>
          <w:docGrid w:linePitch="326"/>
        </w:sectPr>
      </w:pPr>
    </w:p>
    <w:p w:rsidR="00D1121F" w:rsidRPr="004E322F" w:rsidRDefault="00D1121F" w:rsidP="00D1121F">
      <w:pPr>
        <w:pStyle w:val="ResNo"/>
        <w:rPr>
          <w:lang w:eastAsia="zh-CN"/>
        </w:rPr>
      </w:pPr>
      <w:bookmarkStart w:id="4" w:name="_Toc348252520"/>
      <w:r w:rsidRPr="00C52866">
        <w:rPr>
          <w:rStyle w:val="href"/>
          <w:rFonts w:hint="eastAsia"/>
        </w:rPr>
        <w:lastRenderedPageBreak/>
        <w:t>第</w:t>
      </w:r>
      <w:r w:rsidRPr="00C52866">
        <w:rPr>
          <w:rStyle w:val="href"/>
          <w:rFonts w:hint="eastAsia"/>
        </w:rPr>
        <w:t>82</w:t>
      </w:r>
      <w:r w:rsidRPr="00C52866">
        <w:rPr>
          <w:rStyle w:val="href"/>
          <w:rFonts w:hint="eastAsia"/>
        </w:rPr>
        <w:t>号决议</w:t>
      </w:r>
      <w:r>
        <w:rPr>
          <w:rFonts w:hint="eastAsia"/>
          <w:lang w:eastAsia="zh-CN"/>
        </w:rPr>
        <w:t>（</w:t>
      </w:r>
      <w:r>
        <w:rPr>
          <w:rFonts w:hint="eastAsia"/>
          <w:lang w:eastAsia="zh-CN"/>
        </w:rPr>
        <w:t>2012</w:t>
      </w:r>
      <w:r>
        <w:rPr>
          <w:rFonts w:hint="eastAsia"/>
          <w:lang w:eastAsia="zh-CN"/>
        </w:rPr>
        <w:t>年，迪拜）</w:t>
      </w:r>
      <w:bookmarkEnd w:id="4"/>
    </w:p>
    <w:p w:rsidR="00D1121F" w:rsidRPr="00C445B8" w:rsidRDefault="00EE6008" w:rsidP="00253E75">
      <w:pPr>
        <w:pStyle w:val="Restitle"/>
        <w:spacing w:before="240"/>
        <w:rPr>
          <w:lang w:eastAsia="zh-CN"/>
        </w:rPr>
      </w:pPr>
      <w:bookmarkStart w:id="5" w:name="_Toc348252521"/>
      <w:r>
        <w:rPr>
          <w:rFonts w:hint="eastAsia"/>
          <w:lang w:eastAsia="zh-CN"/>
        </w:rPr>
        <w:t>国际电联电信标准化部门</w:t>
      </w:r>
      <w:r w:rsidR="00D1121F" w:rsidRPr="00C445B8">
        <w:rPr>
          <w:rFonts w:hint="eastAsia"/>
          <w:lang w:eastAsia="zh-CN"/>
        </w:rPr>
        <w:t>的</w:t>
      </w:r>
      <w:r>
        <w:rPr>
          <w:lang w:eastAsia="zh-CN"/>
        </w:rPr>
        <w:br/>
      </w:r>
      <w:r w:rsidR="00D1121F" w:rsidRPr="00C445B8">
        <w:rPr>
          <w:rFonts w:hint="eastAsia"/>
          <w:lang w:eastAsia="zh-CN"/>
        </w:rPr>
        <w:t>战略和结构</w:t>
      </w:r>
      <w:r w:rsidR="00D1121F">
        <w:rPr>
          <w:rFonts w:hint="eastAsia"/>
          <w:lang w:eastAsia="zh-CN"/>
        </w:rPr>
        <w:t>审查</w:t>
      </w:r>
      <w:bookmarkEnd w:id="5"/>
    </w:p>
    <w:p w:rsidR="00D1121F" w:rsidRPr="00E0525F" w:rsidRDefault="00D1121F" w:rsidP="00D1121F">
      <w:pPr>
        <w:pStyle w:val="Resref"/>
        <w:rPr>
          <w:szCs w:val="22"/>
          <w:lang w:eastAsia="zh-CN"/>
        </w:rPr>
      </w:pPr>
      <w:r w:rsidRPr="00E0525F">
        <w:rPr>
          <w:szCs w:val="22"/>
          <w:lang w:eastAsia="zh-CN"/>
        </w:rPr>
        <w:t>（</w:t>
      </w:r>
      <w:r w:rsidRPr="00E0525F">
        <w:rPr>
          <w:szCs w:val="22"/>
          <w:lang w:eastAsia="zh-CN"/>
        </w:rPr>
        <w:t>2012</w:t>
      </w:r>
      <w:r w:rsidRPr="00E0525F">
        <w:rPr>
          <w:szCs w:val="22"/>
          <w:lang w:eastAsia="zh-CN"/>
        </w:rPr>
        <w:t>年，迪拜）</w:t>
      </w:r>
    </w:p>
    <w:p w:rsidR="00D1121F" w:rsidRPr="004E322F" w:rsidRDefault="00D1121F" w:rsidP="00D1121F">
      <w:pPr>
        <w:pStyle w:val="Normalaftertitle"/>
        <w:rPr>
          <w:lang w:eastAsia="zh-CN"/>
        </w:rPr>
      </w:pPr>
      <w:r>
        <w:rPr>
          <w:rFonts w:hint="eastAsia"/>
          <w:lang w:eastAsia="zh-CN"/>
        </w:rPr>
        <w:t>世界电信标准化全会（</w:t>
      </w:r>
      <w:r>
        <w:rPr>
          <w:lang w:eastAsia="zh-CN"/>
        </w:rPr>
        <w:t>2012</w:t>
      </w:r>
      <w:r>
        <w:rPr>
          <w:rFonts w:hint="eastAsia"/>
          <w:lang w:eastAsia="zh-CN"/>
        </w:rPr>
        <w:t>年，迪拜），</w:t>
      </w:r>
    </w:p>
    <w:p w:rsidR="00D1121F" w:rsidRPr="00D64E5B" w:rsidRDefault="00D1121F" w:rsidP="00D1121F">
      <w:pPr>
        <w:pStyle w:val="Call"/>
        <w:rPr>
          <w:lang w:eastAsia="zh-CN"/>
        </w:rPr>
      </w:pPr>
      <w:r w:rsidRPr="00D64E5B">
        <w:rPr>
          <w:rFonts w:hint="eastAsia"/>
          <w:lang w:eastAsia="zh-CN"/>
        </w:rPr>
        <w:t>注意到</w:t>
      </w:r>
    </w:p>
    <w:p w:rsidR="00D1121F" w:rsidRPr="001D4C70" w:rsidRDefault="00D1121F" w:rsidP="00D1121F">
      <w:pPr>
        <w:rPr>
          <w:i/>
          <w:iCs/>
          <w:lang w:eastAsia="ja-JP"/>
        </w:rPr>
      </w:pPr>
      <w:r w:rsidRPr="001D4C70">
        <w:rPr>
          <w:i/>
          <w:iCs/>
          <w:lang w:eastAsia="zh-CN"/>
        </w:rPr>
        <w:t>a)</w:t>
      </w:r>
      <w:r w:rsidRPr="004E322F">
        <w:rPr>
          <w:lang w:eastAsia="zh-CN"/>
        </w:rPr>
        <w:tab/>
      </w:r>
      <w:r>
        <w:rPr>
          <w:rFonts w:hint="eastAsia"/>
          <w:lang w:eastAsia="zh-CN"/>
        </w:rPr>
        <w:t>国际电联电信标准化部门（</w:t>
      </w:r>
      <w:r>
        <w:rPr>
          <w:lang w:eastAsia="zh-CN"/>
        </w:rPr>
        <w:t>ITU-T</w:t>
      </w:r>
      <w:r>
        <w:rPr>
          <w:rFonts w:hint="eastAsia"/>
          <w:lang w:eastAsia="zh-CN"/>
        </w:rPr>
        <w:t>）是电信领域独一无二的全球标准化机构，由政府、监管机构、制造商、运营商、学术界及其他相关机构组成；</w:t>
      </w:r>
    </w:p>
    <w:p w:rsidR="00D1121F" w:rsidRPr="003C5DCA" w:rsidRDefault="00D1121F" w:rsidP="00D1121F">
      <w:pPr>
        <w:rPr>
          <w:lang w:eastAsia="zh-CN"/>
        </w:rPr>
      </w:pPr>
      <w:r w:rsidRPr="003C5DCA">
        <w:rPr>
          <w:i/>
          <w:iCs/>
          <w:lang w:eastAsia="zh-CN"/>
        </w:rPr>
        <w:t>b)</w:t>
      </w:r>
      <w:r w:rsidRPr="003C5DCA">
        <w:rPr>
          <w:lang w:eastAsia="zh-CN"/>
        </w:rPr>
        <w:tab/>
      </w:r>
      <w:r w:rsidRPr="003C5DCA">
        <w:rPr>
          <w:rFonts w:hint="eastAsia"/>
          <w:lang w:eastAsia="ja-JP"/>
        </w:rPr>
        <w:t>根据国际电联《组织法》第</w:t>
      </w:r>
      <w:r w:rsidRPr="003C5DCA">
        <w:rPr>
          <w:rFonts w:hint="eastAsia"/>
          <w:lang w:eastAsia="ja-JP"/>
        </w:rPr>
        <w:t>17</w:t>
      </w:r>
      <w:r w:rsidRPr="003C5DCA">
        <w:rPr>
          <w:rFonts w:hint="eastAsia"/>
          <w:lang w:eastAsia="ja-JP"/>
        </w:rPr>
        <w:t>条的规定，</w:t>
      </w:r>
      <w:r w:rsidRPr="003C5DCA">
        <w:rPr>
          <w:rFonts w:hint="eastAsia"/>
          <w:lang w:eastAsia="ja-JP"/>
        </w:rPr>
        <w:t>ITU-T</w:t>
      </w:r>
      <w:r w:rsidRPr="003C5DCA">
        <w:rPr>
          <w:rFonts w:hint="eastAsia"/>
          <w:lang w:eastAsia="ja-JP"/>
        </w:rPr>
        <w:t>应在顾及发展中国家特别关注的问题的同时，通过研究技术、运营和资费问题</w:t>
      </w:r>
      <w:r w:rsidRPr="003C5DCA">
        <w:rPr>
          <w:rFonts w:hint="eastAsia"/>
          <w:lang w:eastAsia="zh-CN"/>
        </w:rPr>
        <w:t>，</w:t>
      </w:r>
      <w:r w:rsidRPr="003C5DCA">
        <w:rPr>
          <w:rFonts w:hint="eastAsia"/>
          <w:lang w:eastAsia="ja-JP"/>
        </w:rPr>
        <w:t>并就这些问题通过建议书</w:t>
      </w:r>
      <w:r>
        <w:rPr>
          <w:rFonts w:hint="eastAsia"/>
          <w:lang w:eastAsia="zh-CN"/>
        </w:rPr>
        <w:t>的方式</w:t>
      </w:r>
      <w:r w:rsidRPr="003C5DCA">
        <w:rPr>
          <w:rFonts w:hint="eastAsia"/>
          <w:lang w:eastAsia="ja-JP"/>
        </w:rPr>
        <w:t>，</w:t>
      </w:r>
      <w:r>
        <w:rPr>
          <w:rFonts w:hint="eastAsia"/>
          <w:lang w:eastAsia="zh-CN"/>
        </w:rPr>
        <w:t>体现</w:t>
      </w:r>
      <w:r w:rsidRPr="003C5DCA">
        <w:rPr>
          <w:rFonts w:hint="eastAsia"/>
          <w:lang w:eastAsia="ja-JP"/>
        </w:rPr>
        <w:t>国际电联</w:t>
      </w:r>
      <w:r>
        <w:rPr>
          <w:rFonts w:hint="eastAsia"/>
          <w:lang w:eastAsia="zh-CN"/>
        </w:rPr>
        <w:t>有关</w:t>
      </w:r>
      <w:r w:rsidRPr="003C5DCA">
        <w:rPr>
          <w:rFonts w:hint="eastAsia"/>
          <w:lang w:eastAsia="ja-JP"/>
        </w:rPr>
        <w:t>电信标准化的宗旨</w:t>
      </w:r>
      <w:r>
        <w:rPr>
          <w:rFonts w:hint="eastAsia"/>
          <w:lang w:eastAsia="zh-CN"/>
        </w:rPr>
        <w:t>，从而实现</w:t>
      </w:r>
      <w:r w:rsidRPr="003C5DCA">
        <w:rPr>
          <w:rFonts w:hint="eastAsia"/>
          <w:lang w:eastAsia="ja-JP"/>
        </w:rPr>
        <w:t>世界范围的电信标准化；</w:t>
      </w:r>
    </w:p>
    <w:p w:rsidR="00D1121F" w:rsidRPr="003C5DCA" w:rsidRDefault="00D1121F" w:rsidP="00D1121F">
      <w:pPr>
        <w:rPr>
          <w:i/>
          <w:iCs/>
          <w:lang w:val="en-US" w:eastAsia="zh-CN"/>
        </w:rPr>
      </w:pPr>
      <w:r w:rsidRPr="003C5DCA">
        <w:rPr>
          <w:i/>
          <w:iCs/>
          <w:lang w:eastAsia="zh-CN"/>
        </w:rPr>
        <w:t>c)</w:t>
      </w:r>
      <w:r w:rsidRPr="003C5DCA">
        <w:rPr>
          <w:lang w:eastAsia="zh-CN"/>
        </w:rPr>
        <w:tab/>
      </w:r>
      <w:r w:rsidRPr="003C5DCA">
        <w:rPr>
          <w:rFonts w:hint="eastAsia"/>
          <w:lang w:eastAsia="ja-JP"/>
        </w:rPr>
        <w:t>根据国际电联《公约》第</w:t>
      </w:r>
      <w:r w:rsidRPr="003C5DCA">
        <w:rPr>
          <w:rFonts w:hint="eastAsia"/>
          <w:lang w:eastAsia="ja-JP"/>
        </w:rPr>
        <w:t>13</w:t>
      </w:r>
      <w:r w:rsidRPr="003C5DCA">
        <w:rPr>
          <w:rFonts w:hint="eastAsia"/>
          <w:lang w:eastAsia="ja-JP"/>
        </w:rPr>
        <w:t>条的规定，世界电信标准化全会（</w:t>
      </w:r>
      <w:r w:rsidRPr="003C5DCA">
        <w:rPr>
          <w:rFonts w:hint="eastAsia"/>
          <w:lang w:eastAsia="ja-JP"/>
        </w:rPr>
        <w:t>WTSA</w:t>
      </w:r>
      <w:r w:rsidRPr="003C5DCA">
        <w:rPr>
          <w:rFonts w:hint="eastAsia"/>
          <w:lang w:eastAsia="ja-JP"/>
        </w:rPr>
        <w:t>）</w:t>
      </w:r>
      <w:r>
        <w:rPr>
          <w:rFonts w:hint="eastAsia"/>
          <w:lang w:eastAsia="zh-CN"/>
        </w:rPr>
        <w:t>需</w:t>
      </w:r>
      <w:r w:rsidRPr="003C5DCA">
        <w:rPr>
          <w:rFonts w:hint="eastAsia"/>
          <w:lang w:eastAsia="ja-JP"/>
        </w:rPr>
        <w:t>批准</w:t>
      </w:r>
      <w:r w:rsidRPr="003C5DCA">
        <w:rPr>
          <w:rFonts w:hint="eastAsia"/>
          <w:lang w:eastAsia="ja-JP"/>
        </w:rPr>
        <w:t>ITU-T</w:t>
      </w:r>
      <w:r w:rsidRPr="003C5DCA">
        <w:rPr>
          <w:rFonts w:hint="eastAsia"/>
          <w:lang w:eastAsia="ja-JP"/>
        </w:rPr>
        <w:t>每个研究期的工作计划，并</w:t>
      </w:r>
      <w:r w:rsidRPr="00765DED">
        <w:rPr>
          <w:rFonts w:hint="eastAsia"/>
          <w:lang w:eastAsia="ja-JP"/>
        </w:rPr>
        <w:t>确定各项研究的轻重缓急、预计财务影响</w:t>
      </w:r>
      <w:r>
        <w:rPr>
          <w:rFonts w:hint="eastAsia"/>
          <w:lang w:eastAsia="zh-CN"/>
        </w:rPr>
        <w:t>以及</w:t>
      </w:r>
      <w:r w:rsidRPr="00765DED">
        <w:rPr>
          <w:rFonts w:hint="eastAsia"/>
          <w:lang w:eastAsia="ja-JP"/>
        </w:rPr>
        <w:t>完成研究的时间表</w:t>
      </w:r>
      <w:r>
        <w:rPr>
          <w:rFonts w:hint="eastAsia"/>
          <w:lang w:eastAsia="zh-CN"/>
        </w:rPr>
        <w:t>；</w:t>
      </w:r>
    </w:p>
    <w:p w:rsidR="00D1121F" w:rsidRPr="003C5DCA" w:rsidRDefault="00D1121F" w:rsidP="00D1121F">
      <w:pPr>
        <w:rPr>
          <w:lang w:eastAsia="ja-JP"/>
        </w:rPr>
      </w:pPr>
      <w:r w:rsidRPr="003C5DCA">
        <w:rPr>
          <w:i/>
          <w:iCs/>
          <w:lang w:eastAsia="ja-JP"/>
        </w:rPr>
        <w:t>d)</w:t>
      </w:r>
      <w:r w:rsidRPr="003C5DCA">
        <w:rPr>
          <w:lang w:eastAsia="ja-JP"/>
        </w:rPr>
        <w:tab/>
      </w:r>
      <w:r w:rsidRPr="00D53206">
        <w:rPr>
          <w:rFonts w:hint="eastAsia"/>
          <w:lang w:eastAsia="ja-JP"/>
        </w:rPr>
        <w:t>全权代表大会第</w:t>
      </w:r>
      <w:r w:rsidRPr="00D53206">
        <w:rPr>
          <w:rFonts w:hint="eastAsia"/>
          <w:lang w:eastAsia="ja-JP"/>
        </w:rPr>
        <w:t>122</w:t>
      </w:r>
      <w:r w:rsidRPr="00D53206">
        <w:rPr>
          <w:rFonts w:hint="eastAsia"/>
          <w:lang w:eastAsia="ja-JP"/>
        </w:rPr>
        <w:t>号决议（</w:t>
      </w:r>
      <w:r w:rsidRPr="00D53206">
        <w:rPr>
          <w:rFonts w:hint="eastAsia"/>
          <w:lang w:eastAsia="ja-JP"/>
        </w:rPr>
        <w:t>20</w:t>
      </w:r>
      <w:r>
        <w:rPr>
          <w:rFonts w:hint="eastAsia"/>
          <w:lang w:eastAsia="zh-CN"/>
        </w:rPr>
        <w:t>10</w:t>
      </w:r>
      <w:r w:rsidRPr="00D53206">
        <w:rPr>
          <w:rFonts w:hint="eastAsia"/>
          <w:lang w:eastAsia="ja-JP"/>
        </w:rPr>
        <w:t>年，</w:t>
      </w:r>
      <w:r w:rsidRPr="00D53206">
        <w:rPr>
          <w:rFonts w:hint="eastAsia"/>
          <w:lang w:eastAsia="zh-CN"/>
        </w:rPr>
        <w:t>瓜达拉哈拉</w:t>
      </w:r>
      <w:r w:rsidRPr="00D53206">
        <w:rPr>
          <w:rFonts w:hint="eastAsia"/>
          <w:lang w:eastAsia="ja-JP"/>
        </w:rPr>
        <w:t>，修订版）</w:t>
      </w:r>
      <w:r w:rsidRPr="00452024">
        <w:rPr>
          <w:rFonts w:ascii="SimSun" w:hAnsi="SimSun" w:hint="eastAsia"/>
          <w:lang w:eastAsia="ja-JP"/>
        </w:rPr>
        <w:t>做出决议，</w:t>
      </w:r>
      <w:r w:rsidR="002435A4">
        <w:rPr>
          <w:rFonts w:hint="eastAsia"/>
          <w:lang w:eastAsia="ja-JP"/>
        </w:rPr>
        <w:t>世界电信标准化全会</w:t>
      </w:r>
      <w:r w:rsidRPr="00D53206">
        <w:rPr>
          <w:rFonts w:hint="eastAsia"/>
          <w:lang w:eastAsia="ja-JP"/>
        </w:rPr>
        <w:t>须适当</w:t>
      </w:r>
      <w:r>
        <w:rPr>
          <w:rFonts w:hint="eastAsia"/>
          <w:lang w:eastAsia="zh-CN"/>
        </w:rPr>
        <w:t>研究</w:t>
      </w:r>
      <w:r>
        <w:rPr>
          <w:rFonts w:hint="eastAsia"/>
          <w:lang w:eastAsia="ja-JP"/>
        </w:rPr>
        <w:t>标准化的战略问题，并鼓励</w:t>
      </w:r>
      <w:r w:rsidRPr="00D53206">
        <w:rPr>
          <w:rFonts w:hint="eastAsia"/>
          <w:lang w:eastAsia="ja-JP"/>
        </w:rPr>
        <w:t>成员国、</w:t>
      </w:r>
      <w:r w:rsidRPr="00D53206">
        <w:rPr>
          <w:rFonts w:hint="eastAsia"/>
          <w:lang w:eastAsia="ja-JP"/>
        </w:rPr>
        <w:t>ITU-T</w:t>
      </w:r>
      <w:r w:rsidRPr="00D53206">
        <w:rPr>
          <w:rFonts w:hint="eastAsia"/>
          <w:lang w:eastAsia="ja-JP"/>
        </w:rPr>
        <w:t>部门成员和研究组正副主席在筹备</w:t>
      </w:r>
      <w:r w:rsidR="002435A4">
        <w:rPr>
          <w:rFonts w:hint="eastAsia"/>
          <w:lang w:eastAsia="ja-JP"/>
        </w:rPr>
        <w:t>世界电信标准化全会</w:t>
      </w:r>
      <w:r>
        <w:rPr>
          <w:rFonts w:hint="eastAsia"/>
          <w:lang w:eastAsia="zh-CN"/>
        </w:rPr>
        <w:t>时</w:t>
      </w:r>
      <w:r w:rsidRPr="00D53206">
        <w:rPr>
          <w:rFonts w:hint="eastAsia"/>
          <w:lang w:eastAsia="ja-JP"/>
        </w:rPr>
        <w:t>，</w:t>
      </w:r>
      <w:r>
        <w:rPr>
          <w:rFonts w:hint="eastAsia"/>
          <w:lang w:eastAsia="zh-CN"/>
        </w:rPr>
        <w:t>着重明确</w:t>
      </w:r>
      <w:r w:rsidRPr="00D53206">
        <w:rPr>
          <w:rFonts w:hint="eastAsia"/>
          <w:lang w:eastAsia="ja-JP"/>
        </w:rPr>
        <w:t>和分析</w:t>
      </w:r>
      <w:r>
        <w:rPr>
          <w:rFonts w:hint="eastAsia"/>
          <w:lang w:eastAsia="zh-CN"/>
        </w:rPr>
        <w:t>标准化方面的</w:t>
      </w:r>
      <w:r w:rsidRPr="00D53206">
        <w:rPr>
          <w:rFonts w:hint="eastAsia"/>
          <w:lang w:eastAsia="ja-JP"/>
        </w:rPr>
        <w:t>战略问题，以</w:t>
      </w:r>
      <w:r>
        <w:rPr>
          <w:rFonts w:hint="eastAsia"/>
          <w:lang w:eastAsia="zh-CN"/>
        </w:rPr>
        <w:t>利于</w:t>
      </w:r>
      <w:r w:rsidRPr="00D53206">
        <w:rPr>
          <w:rFonts w:hint="eastAsia"/>
          <w:lang w:eastAsia="ja-JP"/>
        </w:rPr>
        <w:t>全会工作的</w:t>
      </w:r>
      <w:r>
        <w:rPr>
          <w:rFonts w:hint="eastAsia"/>
          <w:lang w:eastAsia="zh-CN"/>
        </w:rPr>
        <w:t>顺利</w:t>
      </w:r>
      <w:r w:rsidRPr="00D53206">
        <w:rPr>
          <w:rFonts w:hint="eastAsia"/>
          <w:lang w:eastAsia="ja-JP"/>
        </w:rPr>
        <w:t>开展；</w:t>
      </w:r>
    </w:p>
    <w:p w:rsidR="00D1121F" w:rsidRDefault="00D1121F" w:rsidP="00D1121F">
      <w:pPr>
        <w:rPr>
          <w:lang w:val="en-US" w:eastAsia="zh-CN"/>
        </w:rPr>
      </w:pPr>
      <w:r w:rsidRPr="001D4C70">
        <w:rPr>
          <w:i/>
          <w:iCs/>
          <w:lang w:eastAsia="ja-JP"/>
        </w:rPr>
        <w:t>e)</w:t>
      </w:r>
      <w:r>
        <w:rPr>
          <w:lang w:eastAsia="ja-JP"/>
        </w:rPr>
        <w:tab/>
      </w:r>
      <w:r>
        <w:rPr>
          <w:rFonts w:hint="eastAsia"/>
          <w:lang w:eastAsia="zh-CN"/>
        </w:rPr>
        <w:t>根据国际电联《组织法》第</w:t>
      </w:r>
      <w:r>
        <w:rPr>
          <w:lang w:eastAsia="zh-CN"/>
        </w:rPr>
        <w:t>50</w:t>
      </w:r>
      <w:r>
        <w:rPr>
          <w:rFonts w:hint="eastAsia"/>
          <w:lang w:eastAsia="zh-CN"/>
        </w:rPr>
        <w:t>条的规定，国际电联应</w:t>
      </w:r>
      <w:r>
        <w:rPr>
          <w:rFonts w:hint="eastAsia"/>
          <w:lang w:eastAsia="ja-JP"/>
        </w:rPr>
        <w:t>与具有相关兴趣和从事相关活动的各国际组织进行合作</w:t>
      </w:r>
      <w:r>
        <w:rPr>
          <w:rFonts w:hint="eastAsia"/>
          <w:lang w:eastAsia="zh-CN"/>
        </w:rPr>
        <w:t>；</w:t>
      </w:r>
    </w:p>
    <w:p w:rsidR="00D1121F" w:rsidRDefault="00D1121F" w:rsidP="00D1121F">
      <w:pPr>
        <w:rPr>
          <w:rFonts w:eastAsiaTheme="minorEastAsia"/>
          <w:lang w:eastAsia="zh-CN"/>
        </w:rPr>
      </w:pPr>
      <w:r w:rsidRPr="00E24AFD">
        <w:rPr>
          <w:rFonts w:eastAsia="Times New Roman"/>
          <w:i/>
          <w:iCs/>
          <w:lang w:eastAsia="ja-JP"/>
        </w:rPr>
        <w:t>f)</w:t>
      </w:r>
      <w:r w:rsidRPr="00E24AFD">
        <w:rPr>
          <w:rFonts w:eastAsia="Times New Roman"/>
          <w:lang w:eastAsia="ja-JP"/>
        </w:rPr>
        <w:tab/>
      </w:r>
      <w:r w:rsidR="00EE6008">
        <w:rPr>
          <w:rFonts w:eastAsiaTheme="minorEastAsia" w:hint="eastAsia"/>
          <w:lang w:eastAsia="zh-CN"/>
        </w:rPr>
        <w:t>本届全会</w:t>
      </w:r>
      <w:r>
        <w:rPr>
          <w:rFonts w:eastAsiaTheme="minorEastAsia" w:hint="eastAsia"/>
          <w:lang w:eastAsia="zh-CN"/>
        </w:rPr>
        <w:t>有关授权电信标准化顾问组（</w:t>
      </w:r>
      <w:r>
        <w:rPr>
          <w:rFonts w:eastAsiaTheme="minorEastAsia" w:hint="eastAsia"/>
          <w:lang w:eastAsia="zh-CN"/>
        </w:rPr>
        <w:t>TSAG</w:t>
      </w:r>
      <w:r>
        <w:rPr>
          <w:rFonts w:eastAsiaTheme="minorEastAsia" w:hint="eastAsia"/>
          <w:lang w:eastAsia="zh-CN"/>
        </w:rPr>
        <w:t>）在两届世界电信标准化全会之间行事的本届全会第</w:t>
      </w:r>
      <w:r>
        <w:rPr>
          <w:rFonts w:eastAsiaTheme="minorEastAsia" w:hint="eastAsia"/>
          <w:lang w:eastAsia="zh-CN"/>
        </w:rPr>
        <w:t>22</w:t>
      </w:r>
      <w:r>
        <w:rPr>
          <w:rFonts w:eastAsiaTheme="minorEastAsia" w:hint="eastAsia"/>
          <w:lang w:eastAsia="zh-CN"/>
        </w:rPr>
        <w:t>号决议（</w:t>
      </w:r>
      <w:r w:rsidRPr="00E24AFD">
        <w:rPr>
          <w:rFonts w:eastAsia="Times New Roman"/>
          <w:lang w:eastAsia="ja-JP"/>
        </w:rPr>
        <w:t>WTSA-12</w:t>
      </w:r>
      <w:r>
        <w:rPr>
          <w:rFonts w:eastAsiaTheme="minorEastAsia" w:hint="eastAsia"/>
          <w:lang w:eastAsia="zh-CN"/>
        </w:rPr>
        <w:t>，迪拜，修订版）；</w:t>
      </w:r>
    </w:p>
    <w:p w:rsidR="00D1121F" w:rsidRPr="00D5276E" w:rsidRDefault="00D1121F" w:rsidP="00D1121F">
      <w:pPr>
        <w:rPr>
          <w:rFonts w:eastAsia="Times New Roman"/>
          <w:lang w:eastAsia="ja-JP"/>
        </w:rPr>
      </w:pPr>
      <w:r w:rsidRPr="00F3160E">
        <w:rPr>
          <w:rFonts w:eastAsiaTheme="minorEastAsia" w:hint="eastAsia"/>
          <w:i/>
          <w:iCs/>
          <w:lang w:eastAsia="zh-CN"/>
        </w:rPr>
        <w:t>g)</w:t>
      </w:r>
      <w:r>
        <w:rPr>
          <w:rFonts w:eastAsiaTheme="minorEastAsia" w:hint="eastAsia"/>
          <w:i/>
          <w:iCs/>
          <w:lang w:eastAsia="zh-CN"/>
        </w:rPr>
        <w:tab/>
      </w:r>
      <w:r>
        <w:rPr>
          <w:rFonts w:eastAsiaTheme="minorEastAsia" w:hint="eastAsia"/>
          <w:lang w:eastAsia="zh-CN"/>
        </w:rPr>
        <w:t>本届全会第</w:t>
      </w:r>
      <w:r>
        <w:rPr>
          <w:rFonts w:eastAsiaTheme="minorEastAsia" w:hint="eastAsia"/>
          <w:lang w:eastAsia="zh-CN"/>
        </w:rPr>
        <w:t>68</w:t>
      </w:r>
      <w:r>
        <w:rPr>
          <w:rFonts w:eastAsiaTheme="minorEastAsia" w:hint="eastAsia"/>
          <w:lang w:eastAsia="zh-CN"/>
        </w:rPr>
        <w:t>号决议（</w:t>
      </w:r>
      <w:r>
        <w:rPr>
          <w:rFonts w:eastAsiaTheme="minorEastAsia" w:hint="eastAsia"/>
          <w:lang w:eastAsia="zh-CN"/>
        </w:rPr>
        <w:t>2012</w:t>
      </w:r>
      <w:r>
        <w:rPr>
          <w:rFonts w:eastAsiaTheme="minorEastAsia" w:hint="eastAsia"/>
          <w:lang w:eastAsia="zh-CN"/>
        </w:rPr>
        <w:t>年，迪拜，修订版）责成电信标准化局（</w:t>
      </w:r>
      <w:r>
        <w:rPr>
          <w:rFonts w:eastAsiaTheme="minorEastAsia" w:hint="eastAsia"/>
          <w:lang w:eastAsia="zh-CN"/>
        </w:rPr>
        <w:t>TSB</w:t>
      </w:r>
      <w:r>
        <w:rPr>
          <w:rFonts w:eastAsiaTheme="minorEastAsia" w:hint="eastAsia"/>
          <w:lang w:eastAsia="zh-CN"/>
        </w:rPr>
        <w:t>）主任，</w:t>
      </w:r>
      <w:r w:rsidRPr="00E04A5F">
        <w:rPr>
          <w:rFonts w:hint="eastAsia"/>
          <w:lang w:eastAsia="zh-CN"/>
        </w:rPr>
        <w:t>组织企业高层</w:t>
      </w:r>
      <w:r>
        <w:rPr>
          <w:rFonts w:hint="eastAsia"/>
          <w:lang w:eastAsia="zh-CN"/>
        </w:rPr>
        <w:t>管理人员</w:t>
      </w:r>
      <w:r w:rsidRPr="00E04A5F">
        <w:rPr>
          <w:rFonts w:hint="eastAsia"/>
          <w:lang w:eastAsia="zh-CN"/>
        </w:rPr>
        <w:t>会议，</w:t>
      </w:r>
      <w:r>
        <w:rPr>
          <w:rFonts w:hint="eastAsia"/>
          <w:lang w:eastAsia="zh-CN"/>
        </w:rPr>
        <w:t>如首席技术官（</w:t>
      </w:r>
      <w:r>
        <w:rPr>
          <w:rFonts w:hint="eastAsia"/>
          <w:lang w:eastAsia="zh-CN"/>
        </w:rPr>
        <w:t>CTO</w:t>
      </w:r>
      <w:r>
        <w:rPr>
          <w:rFonts w:hint="eastAsia"/>
          <w:lang w:eastAsia="zh-CN"/>
        </w:rPr>
        <w:t>）会议，</w:t>
      </w:r>
      <w:r w:rsidRPr="00E04A5F">
        <w:rPr>
          <w:rFonts w:hint="eastAsia"/>
          <w:lang w:eastAsia="zh-CN"/>
        </w:rPr>
        <w:t>以便为</w:t>
      </w:r>
      <w:r>
        <w:rPr>
          <w:rFonts w:hint="eastAsia"/>
          <w:lang w:eastAsia="zh-CN"/>
        </w:rPr>
        <w:t>明确</w:t>
      </w:r>
      <w:r w:rsidRPr="00E04A5F">
        <w:rPr>
          <w:rFonts w:hint="eastAsia"/>
          <w:lang w:eastAsia="zh-CN"/>
        </w:rPr>
        <w:t>和协</w:t>
      </w:r>
      <w:r>
        <w:rPr>
          <w:rFonts w:hint="eastAsia"/>
          <w:lang w:eastAsia="zh-CN"/>
        </w:rPr>
        <w:t>调标准化工作重点和议题提供协助，以尽量减少论坛和联盟的数量，</w:t>
      </w:r>
    </w:p>
    <w:p w:rsidR="00D1121F" w:rsidRPr="00D64E5B" w:rsidRDefault="00D1121F" w:rsidP="00D1121F">
      <w:pPr>
        <w:pStyle w:val="Call"/>
        <w:rPr>
          <w:lang w:eastAsia="zh-CN"/>
        </w:rPr>
      </w:pPr>
      <w:r w:rsidRPr="00D64E5B">
        <w:rPr>
          <w:rFonts w:hint="eastAsia"/>
          <w:lang w:eastAsia="zh-CN"/>
        </w:rPr>
        <w:t>考虑到</w:t>
      </w:r>
    </w:p>
    <w:p w:rsidR="00D1121F" w:rsidRPr="001D4C70" w:rsidRDefault="00D1121F" w:rsidP="00D1121F">
      <w:pPr>
        <w:rPr>
          <w:i/>
          <w:iCs/>
          <w:lang w:eastAsia="ja-JP"/>
        </w:rPr>
      </w:pPr>
      <w:r w:rsidRPr="001D4C70">
        <w:rPr>
          <w:i/>
          <w:iCs/>
          <w:lang w:eastAsia="ja-JP"/>
        </w:rPr>
        <w:t>a)</w:t>
      </w:r>
      <w:r w:rsidRPr="004E322F">
        <w:rPr>
          <w:lang w:eastAsia="ja-JP"/>
        </w:rPr>
        <w:tab/>
      </w:r>
      <w:r>
        <w:rPr>
          <w:lang w:eastAsia="zh-CN"/>
        </w:rPr>
        <w:t>ITU-T</w:t>
      </w:r>
      <w:r>
        <w:rPr>
          <w:rFonts w:hint="eastAsia"/>
          <w:lang w:eastAsia="zh-CN"/>
        </w:rPr>
        <w:t>开展研究以应对技术和市场需求的变化，研究工作应及时、恰当；</w:t>
      </w:r>
    </w:p>
    <w:p w:rsidR="00D1121F" w:rsidRDefault="00D1121F" w:rsidP="00D1121F">
      <w:pPr>
        <w:rPr>
          <w:lang w:eastAsia="zh-CN"/>
        </w:rPr>
      </w:pPr>
      <w:r w:rsidRPr="001D4C70">
        <w:rPr>
          <w:i/>
          <w:iCs/>
          <w:lang w:eastAsia="ja-JP"/>
        </w:rPr>
        <w:t>b)</w:t>
      </w:r>
      <w:r w:rsidRPr="004E322F">
        <w:rPr>
          <w:lang w:eastAsia="ja-JP"/>
        </w:rPr>
        <w:tab/>
      </w:r>
      <w:r>
        <w:rPr>
          <w:lang w:eastAsia="zh-CN"/>
        </w:rPr>
        <w:t>ITU-T</w:t>
      </w:r>
      <w:r>
        <w:rPr>
          <w:rFonts w:hint="eastAsia"/>
          <w:lang w:eastAsia="zh-CN"/>
        </w:rPr>
        <w:t>建议书是研究组针对具体问题编写的，现已做出努力，促进各研究组之间的协调，如</w:t>
      </w:r>
      <w:r>
        <w:rPr>
          <w:rFonts w:eastAsiaTheme="minorEastAsia" w:hint="eastAsia"/>
          <w:lang w:eastAsia="zh-CN"/>
        </w:rPr>
        <w:t>本届全会</w:t>
      </w:r>
      <w:r>
        <w:rPr>
          <w:rFonts w:hint="eastAsia"/>
          <w:lang w:eastAsia="zh-CN"/>
        </w:rPr>
        <w:t>第</w:t>
      </w:r>
      <w:r>
        <w:rPr>
          <w:lang w:eastAsia="zh-CN"/>
        </w:rPr>
        <w:t>45</w:t>
      </w:r>
      <w:r>
        <w:rPr>
          <w:rFonts w:hint="eastAsia"/>
          <w:lang w:eastAsia="zh-CN"/>
        </w:rPr>
        <w:t>号决议（</w:t>
      </w:r>
      <w:r>
        <w:rPr>
          <w:rFonts w:hint="eastAsia"/>
          <w:lang w:eastAsia="zh-CN"/>
        </w:rPr>
        <w:t>2012</w:t>
      </w:r>
      <w:r>
        <w:rPr>
          <w:rFonts w:hint="eastAsia"/>
          <w:lang w:eastAsia="zh-CN"/>
        </w:rPr>
        <w:t>年，迪拜，修订版）；</w:t>
      </w:r>
    </w:p>
    <w:p w:rsidR="00723AD3" w:rsidRDefault="00723AD3">
      <w:pPr>
        <w:tabs>
          <w:tab w:val="clear" w:pos="1134"/>
          <w:tab w:val="clear" w:pos="1871"/>
          <w:tab w:val="clear" w:pos="2268"/>
        </w:tabs>
        <w:overflowPunct/>
        <w:autoSpaceDE/>
        <w:autoSpaceDN/>
        <w:adjustRightInd/>
        <w:spacing w:before="0"/>
        <w:jc w:val="left"/>
        <w:textAlignment w:val="auto"/>
        <w:rPr>
          <w:i/>
          <w:iCs/>
          <w:lang w:eastAsia="ja-JP"/>
        </w:rPr>
      </w:pPr>
      <w:r>
        <w:rPr>
          <w:i/>
          <w:iCs/>
          <w:lang w:eastAsia="ja-JP"/>
        </w:rPr>
        <w:br w:type="page"/>
      </w:r>
    </w:p>
    <w:p w:rsidR="00D1121F" w:rsidRPr="004E322F" w:rsidRDefault="00D1121F" w:rsidP="00D1121F">
      <w:pPr>
        <w:rPr>
          <w:lang w:eastAsia="ja-JP"/>
        </w:rPr>
      </w:pPr>
      <w:r w:rsidRPr="001D4C70">
        <w:rPr>
          <w:i/>
          <w:iCs/>
          <w:lang w:eastAsia="ja-JP"/>
        </w:rPr>
        <w:lastRenderedPageBreak/>
        <w:t>c)</w:t>
      </w:r>
      <w:r w:rsidRPr="004E322F">
        <w:rPr>
          <w:lang w:eastAsia="ja-JP"/>
        </w:rPr>
        <w:tab/>
      </w:r>
      <w:r>
        <w:rPr>
          <w:rFonts w:hint="eastAsia"/>
          <w:lang w:eastAsia="zh-CN"/>
        </w:rPr>
        <w:t>除指定的牵头研究组外，还创建了联合协调活动（</w:t>
      </w:r>
      <w:r>
        <w:rPr>
          <w:lang w:eastAsia="zh-CN"/>
        </w:rPr>
        <w:t>JCA</w:t>
      </w:r>
      <w:r>
        <w:rPr>
          <w:rFonts w:hint="eastAsia"/>
          <w:lang w:eastAsia="zh-CN"/>
        </w:rPr>
        <w:t>）、全球标准举措（</w:t>
      </w:r>
      <w:r>
        <w:rPr>
          <w:lang w:eastAsia="zh-CN"/>
        </w:rPr>
        <w:t>GSI</w:t>
      </w:r>
      <w:r>
        <w:rPr>
          <w:rFonts w:hint="eastAsia"/>
          <w:lang w:eastAsia="zh-CN"/>
        </w:rPr>
        <w:t>）、技术与战略审查（</w:t>
      </w:r>
      <w:r>
        <w:rPr>
          <w:lang w:eastAsia="zh-CN"/>
        </w:rPr>
        <w:t>TSR</w:t>
      </w:r>
      <w:r>
        <w:rPr>
          <w:rFonts w:hint="eastAsia"/>
          <w:lang w:eastAsia="zh-CN"/>
        </w:rPr>
        <w:t>）以及焦点组（</w:t>
      </w:r>
      <w:r>
        <w:rPr>
          <w:lang w:eastAsia="zh-CN"/>
        </w:rPr>
        <w:t>FG</w:t>
      </w:r>
      <w:r>
        <w:rPr>
          <w:rFonts w:hint="eastAsia"/>
          <w:lang w:eastAsia="zh-CN"/>
        </w:rPr>
        <w:t>），研究有关问题，并为</w:t>
      </w:r>
      <w:r>
        <w:rPr>
          <w:lang w:eastAsia="zh-CN"/>
        </w:rPr>
        <w:t>ITU-T</w:t>
      </w:r>
      <w:r>
        <w:rPr>
          <w:rFonts w:hint="eastAsia"/>
          <w:lang w:eastAsia="zh-CN"/>
        </w:rPr>
        <w:t>研究组与其他标准制定组织之间的有效协调提供便利；</w:t>
      </w:r>
    </w:p>
    <w:p w:rsidR="00D1121F" w:rsidRDefault="00D1121F" w:rsidP="00D1121F">
      <w:pPr>
        <w:rPr>
          <w:lang w:eastAsia="ja-JP"/>
        </w:rPr>
      </w:pPr>
      <w:r w:rsidRPr="001D4C70">
        <w:rPr>
          <w:i/>
          <w:iCs/>
          <w:lang w:eastAsia="ja-JP"/>
        </w:rPr>
        <w:t>d)</w:t>
      </w:r>
      <w:r w:rsidRPr="004E322F">
        <w:rPr>
          <w:lang w:eastAsia="ja-JP"/>
        </w:rPr>
        <w:tab/>
      </w:r>
      <w:r>
        <w:rPr>
          <w:rFonts w:hint="eastAsia"/>
          <w:lang w:eastAsia="zh-CN"/>
        </w:rPr>
        <w:t>在当今的标准化环境中，</w:t>
      </w:r>
      <w:r>
        <w:rPr>
          <w:lang w:eastAsia="zh-CN"/>
        </w:rPr>
        <w:t>ITU-T</w:t>
      </w:r>
      <w:r>
        <w:rPr>
          <w:rFonts w:hint="eastAsia"/>
          <w:lang w:eastAsia="zh-CN"/>
        </w:rPr>
        <w:t>现有的结构和工作方法可与时俱进，以便及时、恰当、更充分地应对技术和市场需求的快速变化，同时增强</w:t>
      </w:r>
      <w:r>
        <w:rPr>
          <w:lang w:eastAsia="zh-CN"/>
        </w:rPr>
        <w:t>ITU-T</w:t>
      </w:r>
      <w:r>
        <w:rPr>
          <w:rFonts w:hint="eastAsia"/>
          <w:lang w:eastAsia="zh-CN"/>
        </w:rPr>
        <w:t>、国际电联无线电通信部门（</w:t>
      </w:r>
      <w:r>
        <w:rPr>
          <w:lang w:eastAsia="zh-CN"/>
        </w:rPr>
        <w:t>ITU-R</w:t>
      </w:r>
      <w:r>
        <w:rPr>
          <w:rFonts w:hint="eastAsia"/>
          <w:lang w:eastAsia="zh-CN"/>
        </w:rPr>
        <w:t>）、国际电联电信发展部门（</w:t>
      </w:r>
      <w:r>
        <w:rPr>
          <w:lang w:eastAsia="zh-CN"/>
        </w:rPr>
        <w:t>ITU-D</w:t>
      </w:r>
      <w:r>
        <w:rPr>
          <w:rFonts w:hint="eastAsia"/>
          <w:lang w:eastAsia="zh-CN"/>
        </w:rPr>
        <w:t>）所有研究组以及其他外部组织活动的协调；</w:t>
      </w:r>
    </w:p>
    <w:p w:rsidR="00D1121F" w:rsidRPr="00D64E5B" w:rsidRDefault="00D1121F" w:rsidP="00D1121F">
      <w:pPr>
        <w:pStyle w:val="Call"/>
        <w:rPr>
          <w:lang w:eastAsia="zh-CN"/>
        </w:rPr>
      </w:pPr>
      <w:r w:rsidRPr="00D64E5B">
        <w:rPr>
          <w:rFonts w:hint="eastAsia"/>
          <w:lang w:eastAsia="zh-CN"/>
        </w:rPr>
        <w:t>认识到</w:t>
      </w:r>
    </w:p>
    <w:p w:rsidR="00D1121F" w:rsidRPr="004E322F" w:rsidRDefault="00D1121F" w:rsidP="00D1121F">
      <w:pPr>
        <w:rPr>
          <w:lang w:eastAsia="ja-JP"/>
        </w:rPr>
      </w:pPr>
      <w:r w:rsidRPr="008A2FB7">
        <w:rPr>
          <w:rFonts w:asciiTheme="majorBidi" w:eastAsia="STKaiti" w:hAnsiTheme="majorBidi" w:cstheme="majorBidi"/>
          <w:i/>
          <w:lang w:eastAsia="ja-JP"/>
        </w:rPr>
        <w:t>a)</w:t>
      </w:r>
      <w:r w:rsidRPr="004E322F">
        <w:rPr>
          <w:lang w:eastAsia="ja-JP"/>
        </w:rPr>
        <w:tab/>
      </w:r>
      <w:r>
        <w:rPr>
          <w:rFonts w:hint="eastAsia"/>
          <w:lang w:eastAsia="zh-CN"/>
        </w:rPr>
        <w:t>可能需要对</w:t>
      </w:r>
      <w:r>
        <w:rPr>
          <w:lang w:eastAsia="zh-CN"/>
        </w:rPr>
        <w:t>JCA</w:t>
      </w:r>
      <w:r>
        <w:rPr>
          <w:rFonts w:hint="eastAsia"/>
          <w:lang w:eastAsia="zh-CN"/>
        </w:rPr>
        <w:t>、</w:t>
      </w:r>
      <w:r>
        <w:rPr>
          <w:lang w:eastAsia="zh-CN"/>
        </w:rPr>
        <w:t>FG</w:t>
      </w:r>
      <w:r>
        <w:rPr>
          <w:rFonts w:hint="eastAsia"/>
          <w:lang w:eastAsia="zh-CN"/>
        </w:rPr>
        <w:t>和</w:t>
      </w:r>
      <w:r>
        <w:rPr>
          <w:lang w:eastAsia="zh-CN"/>
        </w:rPr>
        <w:t>ITU-T</w:t>
      </w:r>
      <w:r>
        <w:rPr>
          <w:rFonts w:hint="eastAsia"/>
          <w:lang w:eastAsia="zh-CN"/>
        </w:rPr>
        <w:t>其他组进行整体协调；</w:t>
      </w:r>
    </w:p>
    <w:p w:rsidR="00D1121F" w:rsidRPr="004E322F" w:rsidRDefault="00D1121F" w:rsidP="00D1121F">
      <w:pPr>
        <w:rPr>
          <w:lang w:eastAsia="ja-JP"/>
        </w:rPr>
      </w:pPr>
      <w:r w:rsidRPr="008A2FB7">
        <w:rPr>
          <w:rFonts w:asciiTheme="majorBidi" w:eastAsia="STKaiti" w:hAnsiTheme="majorBidi" w:cstheme="majorBidi"/>
          <w:i/>
          <w:lang w:eastAsia="ja-JP"/>
        </w:rPr>
        <w:t>b)</w:t>
      </w:r>
      <w:r w:rsidRPr="004E322F">
        <w:rPr>
          <w:lang w:eastAsia="ja-JP"/>
        </w:rPr>
        <w:tab/>
      </w:r>
      <w:r>
        <w:rPr>
          <w:rFonts w:hint="eastAsia"/>
          <w:lang w:eastAsia="zh-CN"/>
        </w:rPr>
        <w:t>在</w:t>
      </w:r>
      <w:r>
        <w:rPr>
          <w:lang w:eastAsia="zh-CN"/>
        </w:rPr>
        <w:t>ITU-T</w:t>
      </w:r>
      <w:r>
        <w:rPr>
          <w:rFonts w:hint="eastAsia"/>
          <w:lang w:eastAsia="zh-CN"/>
        </w:rPr>
        <w:t>的结构方面，仍有一些观点认为应调整研究组的结构，并且</w:t>
      </w:r>
      <w:r>
        <w:rPr>
          <w:lang w:eastAsia="zh-CN"/>
        </w:rPr>
        <w:t>/</w:t>
      </w:r>
      <w:r>
        <w:rPr>
          <w:rFonts w:hint="eastAsia"/>
          <w:lang w:eastAsia="zh-CN"/>
        </w:rPr>
        <w:t>或者应重新审查现有的结构安排（包括</w:t>
      </w:r>
      <w:r>
        <w:rPr>
          <w:lang w:eastAsia="zh-CN"/>
        </w:rPr>
        <w:t>JCA</w:t>
      </w:r>
      <w:r>
        <w:rPr>
          <w:rFonts w:hint="eastAsia"/>
          <w:lang w:eastAsia="zh-CN"/>
        </w:rPr>
        <w:t>、</w:t>
      </w:r>
      <w:r>
        <w:rPr>
          <w:lang w:eastAsia="zh-CN"/>
        </w:rPr>
        <w:t>GSI</w:t>
      </w:r>
      <w:r>
        <w:rPr>
          <w:rFonts w:hint="eastAsia"/>
          <w:lang w:eastAsia="zh-CN"/>
        </w:rPr>
        <w:t>、</w:t>
      </w:r>
      <w:r>
        <w:rPr>
          <w:lang w:eastAsia="zh-CN"/>
        </w:rPr>
        <w:t>TSR</w:t>
      </w:r>
      <w:r>
        <w:rPr>
          <w:rFonts w:hint="eastAsia"/>
          <w:lang w:eastAsia="zh-CN"/>
        </w:rPr>
        <w:t>、</w:t>
      </w:r>
      <w:r>
        <w:rPr>
          <w:lang w:eastAsia="zh-CN"/>
        </w:rPr>
        <w:t>FG</w:t>
      </w:r>
      <w:r>
        <w:rPr>
          <w:rFonts w:hint="eastAsia"/>
          <w:lang w:eastAsia="zh-CN"/>
        </w:rPr>
        <w:t>等机制的宗旨和目标）；</w:t>
      </w:r>
    </w:p>
    <w:p w:rsidR="00D1121F" w:rsidRPr="004E322F" w:rsidRDefault="00D1121F" w:rsidP="00D1121F">
      <w:pPr>
        <w:rPr>
          <w:lang w:eastAsia="ja-JP"/>
        </w:rPr>
      </w:pPr>
      <w:r w:rsidRPr="008A2FB7">
        <w:rPr>
          <w:rFonts w:asciiTheme="majorBidi" w:eastAsia="STKaiti" w:hAnsiTheme="majorBidi" w:cstheme="majorBidi"/>
          <w:i/>
          <w:lang w:eastAsia="ja-JP"/>
        </w:rPr>
        <w:t>c)</w:t>
      </w:r>
      <w:r w:rsidRPr="004E322F">
        <w:rPr>
          <w:lang w:eastAsia="ja-JP"/>
        </w:rPr>
        <w:tab/>
      </w:r>
      <w:r>
        <w:rPr>
          <w:rFonts w:hint="eastAsia"/>
          <w:lang w:eastAsia="zh-CN"/>
        </w:rPr>
        <w:t>有必要考虑改进</w:t>
      </w:r>
      <w:r>
        <w:rPr>
          <w:lang w:eastAsia="zh-CN"/>
        </w:rPr>
        <w:t>ITU-T</w:t>
      </w:r>
      <w:r>
        <w:rPr>
          <w:rFonts w:hint="eastAsia"/>
          <w:lang w:eastAsia="zh-CN"/>
        </w:rPr>
        <w:t>与</w:t>
      </w:r>
      <w:r>
        <w:rPr>
          <w:lang w:eastAsia="zh-CN"/>
        </w:rPr>
        <w:t>ITU-R</w:t>
      </w:r>
      <w:r>
        <w:rPr>
          <w:rFonts w:hint="eastAsia"/>
          <w:lang w:eastAsia="zh-CN"/>
        </w:rPr>
        <w:t>、</w:t>
      </w:r>
      <w:r>
        <w:rPr>
          <w:rFonts w:hint="eastAsia"/>
          <w:lang w:eastAsia="zh-CN"/>
        </w:rPr>
        <w:t>ITU-D</w:t>
      </w:r>
      <w:r>
        <w:rPr>
          <w:rFonts w:hint="eastAsia"/>
          <w:lang w:eastAsia="zh-CN"/>
        </w:rPr>
        <w:t>、其他标准制定实体以及其他相关实体之间的协调和协作安排，同时避免与《公约》（第</w:t>
      </w:r>
      <w:r>
        <w:rPr>
          <w:rFonts w:hint="eastAsia"/>
          <w:lang w:eastAsia="zh-CN"/>
        </w:rPr>
        <w:t>14A</w:t>
      </w:r>
      <w:r>
        <w:rPr>
          <w:rFonts w:hint="eastAsia"/>
          <w:lang w:eastAsia="zh-CN"/>
        </w:rPr>
        <w:t>条）第</w:t>
      </w:r>
      <w:r>
        <w:rPr>
          <w:rFonts w:hint="eastAsia"/>
          <w:lang w:eastAsia="zh-CN"/>
        </w:rPr>
        <w:t>197F</w:t>
      </w:r>
      <w:r>
        <w:rPr>
          <w:rFonts w:hint="eastAsia"/>
          <w:lang w:eastAsia="zh-CN"/>
        </w:rPr>
        <w:t>款所规定的</w:t>
      </w:r>
      <w:r>
        <w:rPr>
          <w:rFonts w:hint="eastAsia"/>
          <w:lang w:eastAsia="zh-CN"/>
        </w:rPr>
        <w:t>TSAG</w:t>
      </w:r>
      <w:r>
        <w:rPr>
          <w:rFonts w:hint="eastAsia"/>
          <w:lang w:eastAsia="zh-CN"/>
        </w:rPr>
        <w:t>职能相重叠；</w:t>
      </w:r>
    </w:p>
    <w:p w:rsidR="00D1121F" w:rsidRPr="004E322F" w:rsidRDefault="00D1121F" w:rsidP="00D1121F">
      <w:pPr>
        <w:rPr>
          <w:lang w:eastAsia="ja-JP"/>
        </w:rPr>
      </w:pPr>
      <w:r>
        <w:rPr>
          <w:rFonts w:asciiTheme="majorBidi" w:eastAsia="STKaiti" w:hAnsiTheme="majorBidi" w:cstheme="majorBidi" w:hint="eastAsia"/>
          <w:i/>
          <w:lang w:eastAsia="zh-CN"/>
        </w:rPr>
        <w:t>d</w:t>
      </w:r>
      <w:r w:rsidRPr="008A2FB7">
        <w:rPr>
          <w:rFonts w:asciiTheme="majorBidi" w:eastAsia="STKaiti" w:hAnsiTheme="majorBidi" w:cstheme="majorBidi"/>
          <w:i/>
          <w:lang w:eastAsia="ja-JP"/>
        </w:rPr>
        <w:t>)</w:t>
      </w:r>
      <w:r w:rsidRPr="004E322F">
        <w:rPr>
          <w:lang w:eastAsia="ja-JP"/>
        </w:rPr>
        <w:tab/>
      </w:r>
      <w:r>
        <w:rPr>
          <w:rFonts w:hint="eastAsia"/>
          <w:lang w:eastAsia="zh-CN"/>
        </w:rPr>
        <w:t>根据国际电联《公约》第</w:t>
      </w:r>
      <w:r>
        <w:rPr>
          <w:lang w:eastAsia="zh-CN"/>
        </w:rPr>
        <w:t>13</w:t>
      </w:r>
      <w:r>
        <w:rPr>
          <w:rFonts w:hint="eastAsia"/>
          <w:lang w:eastAsia="zh-CN"/>
        </w:rPr>
        <w:t>条，</w:t>
      </w:r>
      <w:r w:rsidR="00EE6008">
        <w:rPr>
          <w:lang w:eastAsia="zh-CN"/>
        </w:rPr>
        <w:t>世界电信标准化全会</w:t>
      </w:r>
      <w:r>
        <w:rPr>
          <w:rFonts w:hint="eastAsia"/>
          <w:lang w:eastAsia="zh-CN"/>
        </w:rPr>
        <w:t>可以成立其他组，</w:t>
      </w:r>
    </w:p>
    <w:p w:rsidR="00D1121F" w:rsidRPr="00D64E5B" w:rsidRDefault="00D1121F" w:rsidP="00D1121F">
      <w:pPr>
        <w:pStyle w:val="Call"/>
        <w:rPr>
          <w:lang w:eastAsia="zh-CN"/>
        </w:rPr>
      </w:pPr>
      <w:r w:rsidRPr="00D64E5B">
        <w:rPr>
          <w:rFonts w:hint="eastAsia"/>
          <w:lang w:eastAsia="zh-CN"/>
        </w:rPr>
        <w:t>做出决议</w:t>
      </w:r>
    </w:p>
    <w:p w:rsidR="00D1121F" w:rsidRDefault="00D1121F" w:rsidP="00D1121F">
      <w:pPr>
        <w:ind w:firstLineChars="200" w:firstLine="480"/>
        <w:rPr>
          <w:lang w:val="en-US" w:eastAsia="zh-CN"/>
        </w:rPr>
      </w:pPr>
      <w:r>
        <w:rPr>
          <w:rFonts w:hint="eastAsia"/>
          <w:lang w:eastAsia="zh-CN"/>
        </w:rPr>
        <w:t>根据《公约》第</w:t>
      </w:r>
      <w:r>
        <w:rPr>
          <w:rFonts w:hint="eastAsia"/>
          <w:lang w:eastAsia="zh-CN"/>
        </w:rPr>
        <w:t>191A</w:t>
      </w:r>
      <w:r>
        <w:rPr>
          <w:rFonts w:hint="eastAsia"/>
          <w:lang w:eastAsia="zh-CN"/>
        </w:rPr>
        <w:t>和</w:t>
      </w:r>
      <w:r>
        <w:rPr>
          <w:rFonts w:hint="eastAsia"/>
          <w:lang w:eastAsia="zh-CN"/>
        </w:rPr>
        <w:t>191B</w:t>
      </w:r>
      <w:r>
        <w:rPr>
          <w:rFonts w:hint="eastAsia"/>
          <w:lang w:eastAsia="zh-CN"/>
        </w:rPr>
        <w:t>款，成立一个</w:t>
      </w:r>
      <w:r w:rsidRPr="00BC0242">
        <w:rPr>
          <w:rFonts w:hint="eastAsia"/>
          <w:lang w:eastAsia="zh-CN"/>
        </w:rPr>
        <w:t>审查</w:t>
      </w:r>
      <w:r>
        <w:rPr>
          <w:rFonts w:hint="eastAsia"/>
          <w:lang w:eastAsia="zh-CN"/>
        </w:rPr>
        <w:t>委员会，按照《公约》第</w:t>
      </w:r>
      <w:r>
        <w:rPr>
          <w:rFonts w:hint="eastAsia"/>
          <w:lang w:eastAsia="zh-CN"/>
        </w:rPr>
        <w:t>14A</w:t>
      </w:r>
      <w:r>
        <w:rPr>
          <w:rFonts w:hint="eastAsia"/>
          <w:lang w:eastAsia="zh-CN"/>
        </w:rPr>
        <w:t>条的规定以及下列程序开展工作，其职权范围如本决议附件</w:t>
      </w:r>
      <w:r>
        <w:rPr>
          <w:rFonts w:hint="eastAsia"/>
          <w:lang w:eastAsia="zh-CN"/>
        </w:rPr>
        <w:t>A</w:t>
      </w:r>
      <w:r>
        <w:rPr>
          <w:rFonts w:hint="eastAsia"/>
          <w:lang w:eastAsia="zh-CN"/>
        </w:rPr>
        <w:t>所述，同时顾及当今标准化环境的现实和</w:t>
      </w:r>
      <w:r>
        <w:rPr>
          <w:lang w:eastAsia="zh-CN"/>
        </w:rPr>
        <w:t>ITU-T</w:t>
      </w:r>
      <w:r>
        <w:rPr>
          <w:rFonts w:hint="eastAsia"/>
          <w:lang w:eastAsia="zh-CN"/>
        </w:rPr>
        <w:t>不断发展的要求；</w:t>
      </w:r>
    </w:p>
    <w:p w:rsidR="00D1121F" w:rsidRPr="00F3160E" w:rsidRDefault="00D1121F" w:rsidP="00D1121F">
      <w:pPr>
        <w:pStyle w:val="Call"/>
        <w:rPr>
          <w:lang w:eastAsia="zh-CN"/>
        </w:rPr>
      </w:pPr>
      <w:r>
        <w:rPr>
          <w:rFonts w:hint="eastAsia"/>
          <w:lang w:eastAsia="zh-CN"/>
        </w:rPr>
        <w:t>责成审查委员会</w:t>
      </w:r>
    </w:p>
    <w:p w:rsidR="00D1121F" w:rsidRPr="00E24AFD" w:rsidRDefault="00D1121F" w:rsidP="00D1121F">
      <w:pPr>
        <w:rPr>
          <w:rFonts w:eastAsia="Times New Roman"/>
          <w:lang w:eastAsia="ja-JP"/>
        </w:rPr>
      </w:pPr>
      <w:r w:rsidRPr="00E24AFD">
        <w:rPr>
          <w:rFonts w:eastAsia="Times New Roman"/>
          <w:lang w:eastAsia="ja-JP"/>
        </w:rPr>
        <w:t>1</w:t>
      </w:r>
      <w:r w:rsidRPr="00E24AFD">
        <w:rPr>
          <w:rFonts w:eastAsia="Times New Roman"/>
          <w:lang w:eastAsia="ja-JP"/>
        </w:rPr>
        <w:tab/>
      </w:r>
      <w:r>
        <w:rPr>
          <w:rFonts w:eastAsiaTheme="minorEastAsia" w:hint="eastAsia"/>
          <w:lang w:eastAsia="zh-CN"/>
        </w:rPr>
        <w:t>定期向</w:t>
      </w:r>
      <w:r w:rsidR="008A2FB7">
        <w:rPr>
          <w:rFonts w:eastAsiaTheme="minorEastAsia" w:hint="eastAsia"/>
          <w:lang w:eastAsia="zh-CN"/>
        </w:rPr>
        <w:t>电信标准化顾问组（</w:t>
      </w:r>
      <w:r>
        <w:rPr>
          <w:rFonts w:eastAsiaTheme="minorEastAsia" w:hint="eastAsia"/>
          <w:lang w:eastAsia="zh-CN"/>
        </w:rPr>
        <w:t>TSAG</w:t>
      </w:r>
      <w:r w:rsidR="008A2FB7">
        <w:rPr>
          <w:rFonts w:eastAsiaTheme="minorEastAsia" w:hint="eastAsia"/>
          <w:lang w:eastAsia="zh-CN"/>
        </w:rPr>
        <w:t>）</w:t>
      </w:r>
      <w:r>
        <w:rPr>
          <w:rFonts w:eastAsiaTheme="minorEastAsia" w:hint="eastAsia"/>
          <w:lang w:eastAsia="zh-CN"/>
        </w:rPr>
        <w:t>报告；</w:t>
      </w:r>
    </w:p>
    <w:p w:rsidR="00D1121F" w:rsidRPr="00E24AFD" w:rsidRDefault="00D1121F" w:rsidP="00D1121F">
      <w:pPr>
        <w:rPr>
          <w:rFonts w:eastAsia="Times New Roman"/>
          <w:lang w:eastAsia="ja-JP"/>
        </w:rPr>
      </w:pPr>
      <w:r w:rsidRPr="00E24AFD">
        <w:rPr>
          <w:rFonts w:eastAsia="Times New Roman"/>
          <w:lang w:eastAsia="ja-JP"/>
        </w:rPr>
        <w:t>2</w:t>
      </w:r>
      <w:r w:rsidRPr="00E24AFD">
        <w:rPr>
          <w:rFonts w:eastAsia="Times New Roman"/>
          <w:lang w:eastAsia="ja-JP"/>
        </w:rPr>
        <w:tab/>
      </w:r>
      <w:r>
        <w:rPr>
          <w:rFonts w:eastAsiaTheme="minorEastAsia" w:hint="eastAsia"/>
          <w:lang w:eastAsia="zh-CN"/>
        </w:rPr>
        <w:t>考虑</w:t>
      </w:r>
      <w:r>
        <w:rPr>
          <w:rFonts w:eastAsiaTheme="minorEastAsia" w:hint="eastAsia"/>
          <w:lang w:eastAsia="zh-CN"/>
        </w:rPr>
        <w:t>CTO</w:t>
      </w:r>
      <w:r>
        <w:rPr>
          <w:rFonts w:eastAsiaTheme="minorEastAsia" w:hint="eastAsia"/>
          <w:lang w:eastAsia="zh-CN"/>
        </w:rPr>
        <w:t>会议的成果，尤其是</w:t>
      </w:r>
      <w:r>
        <w:rPr>
          <w:rFonts w:eastAsiaTheme="minorEastAsia" w:hint="eastAsia"/>
          <w:lang w:eastAsia="zh-CN"/>
        </w:rPr>
        <w:t>CTO</w:t>
      </w:r>
      <w:r>
        <w:rPr>
          <w:rFonts w:eastAsiaTheme="minorEastAsia" w:hint="eastAsia"/>
          <w:lang w:eastAsia="zh-CN"/>
        </w:rPr>
        <w:t>会议的报告；</w:t>
      </w:r>
    </w:p>
    <w:p w:rsidR="00D1121F" w:rsidRDefault="00D1121F" w:rsidP="00D1121F">
      <w:pPr>
        <w:rPr>
          <w:lang w:eastAsia="ja-JP"/>
        </w:rPr>
      </w:pPr>
      <w:r>
        <w:rPr>
          <w:lang w:eastAsia="ja-JP"/>
        </w:rPr>
        <w:t>3</w:t>
      </w:r>
      <w:r>
        <w:rPr>
          <w:lang w:eastAsia="ja-JP"/>
        </w:rPr>
        <w:tab/>
      </w:r>
      <w:r>
        <w:rPr>
          <w:rFonts w:hint="eastAsia"/>
          <w:lang w:eastAsia="zh-CN"/>
        </w:rPr>
        <w:t>及时开展初步审查，从而为编制</w:t>
      </w:r>
      <w:r>
        <w:rPr>
          <w:lang w:eastAsia="zh-CN"/>
        </w:rPr>
        <w:t>ITU-T</w:t>
      </w:r>
      <w:r>
        <w:rPr>
          <w:rFonts w:hint="eastAsia"/>
          <w:lang w:eastAsia="zh-CN"/>
        </w:rPr>
        <w:t>战略规划向</w:t>
      </w:r>
      <w:r>
        <w:rPr>
          <w:rFonts w:hint="eastAsia"/>
          <w:lang w:eastAsia="zh-CN"/>
        </w:rPr>
        <w:t>TSAG</w:t>
      </w:r>
      <w:r>
        <w:rPr>
          <w:rFonts w:hint="eastAsia"/>
          <w:lang w:eastAsia="zh-CN"/>
        </w:rPr>
        <w:t>提供意见；</w:t>
      </w:r>
    </w:p>
    <w:p w:rsidR="00D1121F" w:rsidRDefault="00D1121F" w:rsidP="00D1121F">
      <w:pPr>
        <w:rPr>
          <w:rFonts w:eastAsia="Times New Roman"/>
          <w:lang w:eastAsia="ja-JP"/>
        </w:rPr>
      </w:pPr>
      <w:r>
        <w:rPr>
          <w:rFonts w:eastAsiaTheme="minorEastAsia" w:hint="eastAsia"/>
          <w:lang w:val="en-US" w:eastAsia="zh-CN"/>
        </w:rPr>
        <w:t>4</w:t>
      </w:r>
      <w:r>
        <w:rPr>
          <w:rFonts w:eastAsiaTheme="minorEastAsia" w:hint="eastAsia"/>
          <w:lang w:val="en-US" w:eastAsia="zh-CN"/>
        </w:rPr>
        <w:tab/>
      </w:r>
      <w:r>
        <w:rPr>
          <w:rFonts w:eastAsiaTheme="minorEastAsia" w:hint="eastAsia"/>
          <w:lang w:eastAsia="zh-CN"/>
        </w:rPr>
        <w:t>通过</w:t>
      </w:r>
      <w:r>
        <w:rPr>
          <w:rFonts w:eastAsiaTheme="minorEastAsia" w:hint="eastAsia"/>
          <w:lang w:eastAsia="zh-CN"/>
        </w:rPr>
        <w:t>TSAG</w:t>
      </w:r>
      <w:r>
        <w:rPr>
          <w:rFonts w:eastAsiaTheme="minorEastAsia" w:hint="eastAsia"/>
          <w:lang w:eastAsia="zh-CN"/>
        </w:rPr>
        <w:t>向下一届</w:t>
      </w:r>
      <w:r w:rsidR="00EE6008">
        <w:rPr>
          <w:rFonts w:eastAsiaTheme="minorEastAsia" w:hint="eastAsia"/>
          <w:lang w:eastAsia="zh-CN"/>
        </w:rPr>
        <w:t>世界电信标准化全会</w:t>
      </w:r>
      <w:r>
        <w:rPr>
          <w:rFonts w:eastAsiaTheme="minorEastAsia" w:hint="eastAsia"/>
          <w:lang w:eastAsia="zh-CN"/>
        </w:rPr>
        <w:t>提交其报告，</w:t>
      </w:r>
    </w:p>
    <w:p w:rsidR="00D1121F" w:rsidRPr="008A2FB7" w:rsidRDefault="00D1121F" w:rsidP="008A2FB7">
      <w:pPr>
        <w:pStyle w:val="Call"/>
        <w:rPr>
          <w:lang w:eastAsia="zh-CN"/>
        </w:rPr>
      </w:pPr>
      <w:r w:rsidRPr="008A2FB7">
        <w:rPr>
          <w:rFonts w:hint="eastAsia"/>
          <w:lang w:eastAsia="zh-CN"/>
        </w:rPr>
        <w:t>责成</w:t>
      </w:r>
      <w:r>
        <w:rPr>
          <w:rFonts w:hint="eastAsia"/>
          <w:lang w:eastAsia="zh-CN"/>
        </w:rPr>
        <w:t>电信标准化顾问组</w:t>
      </w:r>
      <w:r w:rsidRPr="008A2FB7">
        <w:rPr>
          <w:lang w:eastAsia="zh-CN"/>
        </w:rPr>
        <w:t xml:space="preserve"> </w:t>
      </w:r>
    </w:p>
    <w:p w:rsidR="00D1121F" w:rsidRPr="00E24AFD" w:rsidRDefault="00D1121F" w:rsidP="00D1121F">
      <w:pPr>
        <w:rPr>
          <w:rFonts w:eastAsia="Times New Roman"/>
          <w:lang w:val="en-US" w:eastAsia="ja-JP"/>
        </w:rPr>
      </w:pPr>
      <w:r w:rsidRPr="00E24AFD">
        <w:rPr>
          <w:rFonts w:eastAsia="Times New Roman"/>
          <w:lang w:val="en-US" w:eastAsia="ja-JP"/>
        </w:rPr>
        <w:t>1</w:t>
      </w:r>
      <w:r w:rsidRPr="00E24AFD">
        <w:rPr>
          <w:rFonts w:eastAsia="Times New Roman"/>
          <w:lang w:val="en-US" w:eastAsia="ja-JP"/>
        </w:rPr>
        <w:tab/>
      </w:r>
      <w:r>
        <w:rPr>
          <w:rFonts w:eastAsiaTheme="minorEastAsia" w:hint="eastAsia"/>
          <w:lang w:val="en-US" w:eastAsia="zh-CN"/>
        </w:rPr>
        <w:t>审议审查委员会的进展报告并根据《公约》第</w:t>
      </w:r>
      <w:r>
        <w:rPr>
          <w:rFonts w:eastAsiaTheme="minorEastAsia" w:hint="eastAsia"/>
          <w:lang w:val="en-US" w:eastAsia="zh-CN"/>
        </w:rPr>
        <w:t>14A</w:t>
      </w:r>
      <w:r>
        <w:rPr>
          <w:rFonts w:eastAsiaTheme="minorEastAsia" w:hint="eastAsia"/>
          <w:lang w:val="en-US" w:eastAsia="zh-CN"/>
        </w:rPr>
        <w:t>条酌情落实有待下一届</w:t>
      </w:r>
      <w:r w:rsidR="00EE6008">
        <w:rPr>
          <w:lang w:eastAsia="zh-CN"/>
        </w:rPr>
        <w:t>世界电信标准化全会</w:t>
      </w:r>
      <w:r>
        <w:rPr>
          <w:rFonts w:eastAsiaTheme="minorEastAsia" w:hint="eastAsia"/>
          <w:lang w:val="en-US" w:eastAsia="zh-CN"/>
        </w:rPr>
        <w:t>审议的任何建议；</w:t>
      </w:r>
    </w:p>
    <w:p w:rsidR="00D1121F" w:rsidRPr="00E24AFD" w:rsidRDefault="00D1121F" w:rsidP="00D1121F">
      <w:pPr>
        <w:rPr>
          <w:rFonts w:eastAsia="Times New Roman"/>
          <w:lang w:val="en-US" w:eastAsia="ja-JP"/>
        </w:rPr>
      </w:pPr>
      <w:r w:rsidRPr="00E24AFD">
        <w:rPr>
          <w:rFonts w:eastAsia="Times New Roman"/>
          <w:lang w:eastAsia="ja-JP"/>
        </w:rPr>
        <w:t>2</w:t>
      </w:r>
      <w:r w:rsidRPr="00E24AFD">
        <w:rPr>
          <w:rFonts w:eastAsia="Times New Roman"/>
          <w:lang w:eastAsia="ja-JP"/>
        </w:rPr>
        <w:tab/>
      </w:r>
      <w:r>
        <w:rPr>
          <w:rFonts w:eastAsiaTheme="minorEastAsia" w:hint="eastAsia"/>
          <w:lang w:eastAsia="zh-CN"/>
        </w:rPr>
        <w:t>将审查委员会的最终报告不做更改地提交</w:t>
      </w:r>
      <w:r w:rsidR="00EE6008">
        <w:rPr>
          <w:lang w:eastAsia="zh-CN"/>
        </w:rPr>
        <w:t>世界电信标准化全会</w:t>
      </w:r>
      <w:r>
        <w:rPr>
          <w:rFonts w:eastAsiaTheme="minorEastAsia" w:hint="eastAsia"/>
          <w:lang w:val="en-US" w:eastAsia="zh-CN"/>
        </w:rPr>
        <w:t>，同时附上其相关意见，</w:t>
      </w:r>
    </w:p>
    <w:p w:rsidR="00C37E4F" w:rsidRDefault="00C37E4F">
      <w:pPr>
        <w:tabs>
          <w:tab w:val="clear" w:pos="1134"/>
          <w:tab w:val="clear" w:pos="1871"/>
          <w:tab w:val="clear" w:pos="2268"/>
        </w:tabs>
        <w:overflowPunct/>
        <w:autoSpaceDE/>
        <w:autoSpaceDN/>
        <w:adjustRightInd/>
        <w:spacing w:before="0"/>
        <w:jc w:val="left"/>
        <w:textAlignment w:val="auto"/>
        <w:rPr>
          <w:rFonts w:eastAsia="STKaiti"/>
          <w:lang w:eastAsia="zh-CN"/>
        </w:rPr>
      </w:pPr>
      <w:r>
        <w:rPr>
          <w:lang w:eastAsia="zh-CN"/>
        </w:rPr>
        <w:br w:type="page"/>
      </w:r>
    </w:p>
    <w:p w:rsidR="00D1121F" w:rsidRPr="00D64E5B" w:rsidRDefault="00D1121F" w:rsidP="00D1121F">
      <w:pPr>
        <w:pStyle w:val="Call"/>
        <w:rPr>
          <w:lang w:eastAsia="zh-CN"/>
        </w:rPr>
      </w:pPr>
      <w:r w:rsidRPr="00D64E5B">
        <w:rPr>
          <w:rFonts w:hint="eastAsia"/>
          <w:lang w:eastAsia="zh-CN"/>
        </w:rPr>
        <w:lastRenderedPageBreak/>
        <w:t>责成电信标准化局主任</w:t>
      </w:r>
    </w:p>
    <w:p w:rsidR="00D1121F" w:rsidRPr="004E322F" w:rsidRDefault="00D1121F" w:rsidP="00D1121F">
      <w:pPr>
        <w:rPr>
          <w:lang w:eastAsia="ja-JP"/>
        </w:rPr>
      </w:pPr>
      <w:r w:rsidRPr="004E322F">
        <w:rPr>
          <w:lang w:eastAsia="zh-CN"/>
        </w:rPr>
        <w:t>1</w:t>
      </w:r>
      <w:r w:rsidRPr="004E322F">
        <w:rPr>
          <w:lang w:eastAsia="ja-JP"/>
        </w:rPr>
        <w:tab/>
      </w:r>
      <w:r>
        <w:rPr>
          <w:rFonts w:hint="eastAsia"/>
          <w:lang w:eastAsia="zh-CN"/>
        </w:rPr>
        <w:t>通过推进落实本决议的各项活动向审查委员会提供支持；</w:t>
      </w:r>
    </w:p>
    <w:p w:rsidR="00D1121F" w:rsidRDefault="00D1121F" w:rsidP="00D1121F">
      <w:pPr>
        <w:rPr>
          <w:rFonts w:eastAsiaTheme="minorEastAsia"/>
          <w:lang w:eastAsia="zh-CN"/>
        </w:rPr>
      </w:pPr>
      <w:r w:rsidRPr="00E241F0">
        <w:rPr>
          <w:rFonts w:eastAsia="Times New Roman"/>
          <w:lang w:eastAsia="ja-JP"/>
        </w:rPr>
        <w:t>2</w:t>
      </w:r>
      <w:r w:rsidRPr="00E241F0">
        <w:rPr>
          <w:rFonts w:eastAsia="Times New Roman"/>
          <w:lang w:eastAsia="ja-JP"/>
        </w:rPr>
        <w:tab/>
      </w:r>
      <w:r>
        <w:rPr>
          <w:rFonts w:eastAsiaTheme="minorEastAsia" w:hint="eastAsia"/>
          <w:lang w:eastAsia="zh-CN"/>
        </w:rPr>
        <w:t>为符合条件的发展中国家提供与会补贴。</w:t>
      </w:r>
    </w:p>
    <w:p w:rsidR="00190B26" w:rsidRDefault="00190B26" w:rsidP="00D1121F">
      <w:pPr>
        <w:rPr>
          <w:rFonts w:eastAsiaTheme="minorEastAsia"/>
          <w:lang w:eastAsia="zh-CN"/>
        </w:rPr>
      </w:pPr>
    </w:p>
    <w:p w:rsidR="00190B26" w:rsidRDefault="00190B26" w:rsidP="00D1121F">
      <w:pPr>
        <w:rPr>
          <w:rFonts w:eastAsiaTheme="minorEastAsia"/>
          <w:lang w:eastAsia="zh-CN"/>
        </w:rPr>
      </w:pPr>
    </w:p>
    <w:p w:rsidR="00D1121F" w:rsidRPr="001601D0" w:rsidRDefault="00D1121F" w:rsidP="00D1121F">
      <w:pPr>
        <w:pStyle w:val="AnnexNo"/>
        <w:rPr>
          <w:lang w:eastAsia="zh-CN"/>
        </w:rPr>
      </w:pPr>
      <w:r>
        <w:rPr>
          <w:rFonts w:hint="eastAsia"/>
          <w:caps w:val="0"/>
          <w:lang w:eastAsia="zh-CN"/>
        </w:rPr>
        <w:t>（第</w:t>
      </w:r>
      <w:r>
        <w:rPr>
          <w:rFonts w:hint="eastAsia"/>
          <w:caps w:val="0"/>
          <w:lang w:eastAsia="zh-CN"/>
        </w:rPr>
        <w:t>82</w:t>
      </w:r>
      <w:r>
        <w:rPr>
          <w:rFonts w:hint="eastAsia"/>
          <w:caps w:val="0"/>
          <w:lang w:eastAsia="zh-CN"/>
        </w:rPr>
        <w:t>号决议）</w:t>
      </w:r>
      <w:r>
        <w:rPr>
          <w:rFonts w:hint="eastAsia"/>
          <w:lang w:eastAsia="zh-CN"/>
        </w:rPr>
        <w:br/>
      </w:r>
      <w:r>
        <w:rPr>
          <w:rFonts w:hint="eastAsia"/>
          <w:lang w:eastAsia="zh-CN"/>
        </w:rPr>
        <w:t>附件</w:t>
      </w:r>
      <w:r>
        <w:rPr>
          <w:lang w:eastAsia="ja-JP"/>
        </w:rPr>
        <w:t>A</w:t>
      </w:r>
    </w:p>
    <w:p w:rsidR="00D1121F" w:rsidRPr="00164D08" w:rsidRDefault="00D1121F" w:rsidP="00D1121F">
      <w:pPr>
        <w:pStyle w:val="Annextitle"/>
        <w:rPr>
          <w:lang w:eastAsia="zh-CN"/>
        </w:rPr>
      </w:pPr>
      <w:r>
        <w:rPr>
          <w:rFonts w:hint="eastAsia"/>
          <w:lang w:eastAsia="zh-CN"/>
        </w:rPr>
        <w:t>审查委员会的职责范围</w:t>
      </w:r>
    </w:p>
    <w:p w:rsidR="00D1121F" w:rsidRPr="004E322F" w:rsidRDefault="00D1121F" w:rsidP="008A2FB7">
      <w:pPr>
        <w:rPr>
          <w:lang w:eastAsia="ja-JP"/>
        </w:rPr>
      </w:pPr>
      <w:r>
        <w:rPr>
          <w:rFonts w:hint="eastAsia"/>
          <w:lang w:eastAsia="zh-CN"/>
        </w:rPr>
        <w:t>1</w:t>
      </w:r>
      <w:r>
        <w:rPr>
          <w:rFonts w:hint="eastAsia"/>
          <w:lang w:eastAsia="zh-CN"/>
        </w:rPr>
        <w:tab/>
      </w:r>
      <w:r>
        <w:rPr>
          <w:rFonts w:hint="eastAsia"/>
          <w:lang w:eastAsia="zh-CN"/>
        </w:rPr>
        <w:t>审查</w:t>
      </w:r>
      <w:r>
        <w:rPr>
          <w:lang w:eastAsia="zh-CN"/>
        </w:rPr>
        <w:t>ITU-T</w:t>
      </w:r>
      <w:r>
        <w:rPr>
          <w:rFonts w:hint="eastAsia"/>
          <w:lang w:eastAsia="zh-CN"/>
        </w:rPr>
        <w:t>现有结构是否足以促进本部门的继续发展，是否可满足对</w:t>
      </w:r>
      <w:r w:rsidRPr="005E53BF">
        <w:rPr>
          <w:rFonts w:hint="eastAsia"/>
          <w:lang w:eastAsia="zh-CN"/>
        </w:rPr>
        <w:t>及时、恰当</w:t>
      </w:r>
      <w:r>
        <w:rPr>
          <w:rFonts w:hint="eastAsia"/>
          <w:lang w:eastAsia="zh-CN"/>
        </w:rPr>
        <w:t>成果的日益增长的需求，满足市场需求，同时兼顾目前</w:t>
      </w:r>
      <w:r w:rsidRPr="005E53BF">
        <w:rPr>
          <w:rFonts w:hint="eastAsia"/>
          <w:lang w:eastAsia="zh-CN"/>
        </w:rPr>
        <w:t>和未来的标准化环境。</w:t>
      </w:r>
    </w:p>
    <w:p w:rsidR="00D1121F" w:rsidRPr="004E322F" w:rsidRDefault="00D1121F" w:rsidP="00D1121F">
      <w:pPr>
        <w:rPr>
          <w:lang w:eastAsia="ja-JP"/>
        </w:rPr>
      </w:pPr>
      <w:r>
        <w:rPr>
          <w:rFonts w:hint="eastAsia"/>
          <w:lang w:eastAsia="zh-CN"/>
        </w:rPr>
        <w:t>2</w:t>
      </w:r>
      <w:r>
        <w:rPr>
          <w:rFonts w:hint="eastAsia"/>
          <w:lang w:eastAsia="zh-CN"/>
        </w:rPr>
        <w:tab/>
      </w:r>
      <w:r>
        <w:rPr>
          <w:rFonts w:hint="eastAsia"/>
          <w:lang w:eastAsia="zh-CN"/>
        </w:rPr>
        <w:t>审议与其他标准制定机构之间的现有协调和协作机制，并提出改进建议。</w:t>
      </w:r>
    </w:p>
    <w:p w:rsidR="00D1121F" w:rsidRPr="004E322F" w:rsidRDefault="00D1121F" w:rsidP="00D1121F">
      <w:pPr>
        <w:rPr>
          <w:lang w:eastAsia="zh-CN"/>
        </w:rPr>
      </w:pPr>
      <w:r>
        <w:rPr>
          <w:rFonts w:hint="eastAsia"/>
          <w:lang w:eastAsia="zh-CN"/>
        </w:rPr>
        <w:t>3</w:t>
      </w:r>
      <w:r>
        <w:rPr>
          <w:rFonts w:hint="eastAsia"/>
          <w:lang w:eastAsia="zh-CN"/>
        </w:rPr>
        <w:tab/>
      </w:r>
      <w:r>
        <w:rPr>
          <w:rFonts w:hint="eastAsia"/>
          <w:lang w:eastAsia="zh-CN"/>
        </w:rPr>
        <w:t>在世界标准化格局加速变化、消费者</w:t>
      </w:r>
      <w:r w:rsidRPr="004E322F">
        <w:rPr>
          <w:lang w:eastAsia="zh-CN"/>
        </w:rPr>
        <w:t>/</w:t>
      </w:r>
      <w:r>
        <w:rPr>
          <w:rFonts w:hint="eastAsia"/>
          <w:lang w:eastAsia="zh-CN"/>
        </w:rPr>
        <w:t>全球标准使用者的需求层出不穷的背景下，审</w:t>
      </w:r>
      <w:r>
        <w:rPr>
          <w:lang w:val="en-US" w:eastAsia="zh-CN"/>
        </w:rPr>
        <w:t>议</w:t>
      </w:r>
      <w:r>
        <w:rPr>
          <w:rFonts w:hint="eastAsia"/>
          <w:lang w:val="en-US" w:eastAsia="zh-CN"/>
        </w:rPr>
        <w:t>ITU-T</w:t>
      </w:r>
      <w:r>
        <w:rPr>
          <w:rFonts w:hint="eastAsia"/>
          <w:lang w:eastAsia="zh-CN"/>
        </w:rPr>
        <w:t>与其他标准制定机构之间的现有协作模式。</w:t>
      </w:r>
    </w:p>
    <w:p w:rsidR="00D1121F" w:rsidRPr="004E322F" w:rsidRDefault="00D1121F" w:rsidP="00D1121F">
      <w:pPr>
        <w:rPr>
          <w:lang w:eastAsia="zh-CN"/>
        </w:rPr>
      </w:pPr>
      <w:r>
        <w:rPr>
          <w:rFonts w:hint="eastAsia"/>
          <w:lang w:eastAsia="zh-CN"/>
        </w:rPr>
        <w:t>4</w:t>
      </w:r>
      <w:r>
        <w:rPr>
          <w:rFonts w:hint="eastAsia"/>
          <w:lang w:eastAsia="zh-CN"/>
        </w:rPr>
        <w:tab/>
      </w:r>
      <w:r>
        <w:rPr>
          <w:rFonts w:hint="eastAsia"/>
          <w:lang w:eastAsia="zh-CN"/>
        </w:rPr>
        <w:t>在相互尊重和承认各方在标准制定领域的作用和责任不断演变的基础上，确定并建议新的合作与协作方式。</w:t>
      </w:r>
    </w:p>
    <w:p w:rsidR="00D1121F" w:rsidRPr="004E322F" w:rsidRDefault="00D1121F" w:rsidP="00D1121F">
      <w:pPr>
        <w:rPr>
          <w:lang w:eastAsia="zh-CN"/>
        </w:rPr>
      </w:pPr>
      <w:r>
        <w:rPr>
          <w:rFonts w:hint="eastAsia"/>
          <w:lang w:eastAsia="zh-CN"/>
        </w:rPr>
        <w:t>5</w:t>
      </w:r>
      <w:r>
        <w:rPr>
          <w:rFonts w:hint="eastAsia"/>
          <w:lang w:eastAsia="zh-CN"/>
        </w:rPr>
        <w:tab/>
      </w:r>
      <w:r>
        <w:rPr>
          <w:rFonts w:hint="eastAsia"/>
          <w:lang w:eastAsia="zh-CN"/>
        </w:rPr>
        <w:t>寻找加强与其它标准制定机构合作的途径与手段，以便尽量减少其标准与</w:t>
      </w:r>
      <w:r>
        <w:rPr>
          <w:rFonts w:hint="eastAsia"/>
          <w:lang w:eastAsia="zh-CN"/>
        </w:rPr>
        <w:t>ITU-T</w:t>
      </w:r>
      <w:r>
        <w:rPr>
          <w:rFonts w:hint="eastAsia"/>
          <w:lang w:eastAsia="zh-CN"/>
        </w:rPr>
        <w:t>标准之间的冲突。</w:t>
      </w:r>
    </w:p>
    <w:p w:rsidR="00D1121F" w:rsidRPr="004E322F" w:rsidRDefault="00D1121F" w:rsidP="00D1121F">
      <w:pPr>
        <w:rPr>
          <w:lang w:eastAsia="zh-CN"/>
        </w:rPr>
      </w:pPr>
      <w:r>
        <w:rPr>
          <w:rFonts w:hint="eastAsia"/>
          <w:lang w:eastAsia="zh-CN"/>
        </w:rPr>
        <w:t>6</w:t>
      </w:r>
      <w:r>
        <w:rPr>
          <w:rFonts w:hint="eastAsia"/>
          <w:lang w:eastAsia="zh-CN"/>
        </w:rPr>
        <w:tab/>
      </w:r>
      <w:r>
        <w:rPr>
          <w:rFonts w:hint="eastAsia"/>
          <w:lang w:eastAsia="zh-CN"/>
        </w:rPr>
        <w:t>拟定并建议一套</w:t>
      </w:r>
      <w:r>
        <w:rPr>
          <w:lang w:eastAsia="zh-CN"/>
        </w:rPr>
        <w:t>ITU-T</w:t>
      </w:r>
      <w:r>
        <w:rPr>
          <w:rFonts w:hint="eastAsia"/>
          <w:lang w:eastAsia="zh-CN"/>
        </w:rPr>
        <w:t>内标准制定工作的原则，推进互操作性，促进进一步的创新。</w:t>
      </w:r>
    </w:p>
    <w:p w:rsidR="00D1121F" w:rsidRDefault="00D1121F" w:rsidP="00D1121F">
      <w:pPr>
        <w:rPr>
          <w:lang w:eastAsia="ja-JP"/>
        </w:rPr>
      </w:pPr>
      <w:r>
        <w:rPr>
          <w:rFonts w:hint="eastAsia"/>
          <w:lang w:eastAsia="zh-CN"/>
        </w:rPr>
        <w:t>7</w:t>
      </w:r>
      <w:r>
        <w:rPr>
          <w:rFonts w:hint="eastAsia"/>
          <w:lang w:eastAsia="zh-CN"/>
        </w:rPr>
        <w:tab/>
      </w:r>
      <w:r>
        <w:rPr>
          <w:rFonts w:hint="eastAsia"/>
          <w:lang w:eastAsia="zh-CN"/>
        </w:rPr>
        <w:t>制定一项工作计划，据此开展审查并确定报告的结构。</w:t>
      </w:r>
    </w:p>
    <w:p w:rsidR="00D1121F" w:rsidRDefault="00D1121F" w:rsidP="00D1121F">
      <w:pPr>
        <w:rPr>
          <w:lang w:eastAsia="zh-CN"/>
        </w:rPr>
      </w:pPr>
      <w:r>
        <w:rPr>
          <w:rFonts w:hint="eastAsia"/>
          <w:lang w:eastAsia="zh-CN"/>
        </w:rPr>
        <w:t>8</w:t>
      </w:r>
      <w:r>
        <w:rPr>
          <w:rFonts w:hint="eastAsia"/>
          <w:lang w:eastAsia="zh-CN"/>
        </w:rPr>
        <w:tab/>
      </w:r>
      <w:r>
        <w:rPr>
          <w:rFonts w:hint="eastAsia"/>
          <w:lang w:eastAsia="zh-CN"/>
        </w:rPr>
        <w:t>根据</w:t>
      </w:r>
      <w:r>
        <w:rPr>
          <w:rFonts w:eastAsiaTheme="minorEastAsia" w:hint="eastAsia"/>
          <w:lang w:val="en-US" w:eastAsia="zh-CN"/>
        </w:rPr>
        <w:t>《公约》第</w:t>
      </w:r>
      <w:r>
        <w:rPr>
          <w:rFonts w:eastAsiaTheme="minorEastAsia" w:hint="eastAsia"/>
          <w:lang w:val="en-US" w:eastAsia="zh-CN"/>
        </w:rPr>
        <w:t>14A</w:t>
      </w:r>
      <w:r>
        <w:rPr>
          <w:rFonts w:eastAsiaTheme="minorEastAsia" w:hint="eastAsia"/>
          <w:lang w:val="en-US" w:eastAsia="zh-CN"/>
        </w:rPr>
        <w:t>条，</w:t>
      </w:r>
      <w:r>
        <w:rPr>
          <w:rFonts w:hint="eastAsia"/>
          <w:lang w:eastAsia="zh-CN"/>
        </w:rPr>
        <w:t>及时开展初步审查，为编制</w:t>
      </w:r>
      <w:r>
        <w:rPr>
          <w:lang w:eastAsia="zh-CN"/>
        </w:rPr>
        <w:t>ITU-T</w:t>
      </w:r>
      <w:r>
        <w:rPr>
          <w:rFonts w:hint="eastAsia"/>
          <w:lang w:eastAsia="zh-CN"/>
        </w:rPr>
        <w:t>的战略规划向</w:t>
      </w:r>
      <w:r>
        <w:rPr>
          <w:rFonts w:hint="eastAsia"/>
          <w:lang w:eastAsia="zh-CN"/>
        </w:rPr>
        <w:t>TSAG</w:t>
      </w:r>
      <w:r>
        <w:rPr>
          <w:rFonts w:hint="eastAsia"/>
          <w:lang w:eastAsia="zh-CN"/>
        </w:rPr>
        <w:t>提供输入意见。</w:t>
      </w:r>
    </w:p>
    <w:p w:rsidR="00723AD3" w:rsidRDefault="00723AD3">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rsidR="00D1121F" w:rsidRPr="00F22291" w:rsidRDefault="00D1121F" w:rsidP="00D1121F">
      <w:pPr>
        <w:rPr>
          <w:lang w:eastAsia="ja-JP"/>
        </w:rPr>
      </w:pPr>
      <w:r>
        <w:rPr>
          <w:rFonts w:hint="eastAsia"/>
          <w:lang w:eastAsia="zh-CN"/>
        </w:rPr>
        <w:lastRenderedPageBreak/>
        <w:t>9</w:t>
      </w:r>
      <w:r>
        <w:rPr>
          <w:rFonts w:hint="eastAsia"/>
          <w:lang w:eastAsia="zh-CN"/>
        </w:rPr>
        <w:tab/>
      </w:r>
      <w:r>
        <w:rPr>
          <w:rFonts w:hint="eastAsia"/>
          <w:lang w:eastAsia="zh-CN"/>
        </w:rPr>
        <w:t>审查委员会由本届全会设立，须通过</w:t>
      </w:r>
      <w:r>
        <w:rPr>
          <w:rFonts w:hint="eastAsia"/>
          <w:lang w:eastAsia="zh-CN"/>
        </w:rPr>
        <w:t>TSAG</w:t>
      </w:r>
      <w:r>
        <w:rPr>
          <w:rFonts w:hint="eastAsia"/>
          <w:lang w:eastAsia="zh-CN"/>
        </w:rPr>
        <w:t>将其报告不加修改地提交</w:t>
      </w:r>
      <w:r w:rsidRPr="00F22291">
        <w:rPr>
          <w:lang w:eastAsia="ja-JP"/>
        </w:rPr>
        <w:t>WTSA</w:t>
      </w:r>
      <w:r w:rsidRPr="00F22291">
        <w:rPr>
          <w:lang w:eastAsia="ja-JP"/>
        </w:rPr>
        <w:noBreakHyphen/>
        <w:t>16</w:t>
      </w:r>
      <w:r>
        <w:rPr>
          <w:rFonts w:hint="eastAsia"/>
          <w:lang w:eastAsia="zh-CN"/>
        </w:rPr>
        <w:t>。此外，审查委员会须定期向</w:t>
      </w:r>
      <w:r>
        <w:rPr>
          <w:rFonts w:hint="eastAsia"/>
          <w:lang w:eastAsia="zh-CN"/>
        </w:rPr>
        <w:t>TSAG</w:t>
      </w:r>
      <w:r>
        <w:rPr>
          <w:rFonts w:hint="eastAsia"/>
          <w:lang w:eastAsia="zh-CN"/>
        </w:rPr>
        <w:t>报告其进展</w:t>
      </w:r>
      <w:r w:rsidR="008A2FB7">
        <w:rPr>
          <w:rFonts w:hint="eastAsia"/>
          <w:lang w:eastAsia="zh-CN"/>
        </w:rPr>
        <w:t>并考虑</w:t>
      </w:r>
      <w:r w:rsidR="008A2FB7">
        <w:rPr>
          <w:rFonts w:hint="eastAsia"/>
          <w:lang w:eastAsia="zh-CN"/>
        </w:rPr>
        <w:t>TSAG</w:t>
      </w:r>
      <w:r w:rsidR="008A2FB7">
        <w:rPr>
          <w:rFonts w:hint="eastAsia"/>
          <w:lang w:eastAsia="zh-CN"/>
        </w:rPr>
        <w:t>就进展报告提出的意见</w:t>
      </w:r>
      <w:r>
        <w:rPr>
          <w:rFonts w:hint="eastAsia"/>
          <w:lang w:eastAsia="zh-CN"/>
        </w:rPr>
        <w:t>。</w:t>
      </w:r>
    </w:p>
    <w:p w:rsidR="00D1121F" w:rsidRPr="00F22291" w:rsidRDefault="00D1121F" w:rsidP="00D1121F">
      <w:pPr>
        <w:rPr>
          <w:lang w:eastAsia="ja-JP"/>
        </w:rPr>
      </w:pPr>
      <w:r>
        <w:rPr>
          <w:rFonts w:eastAsiaTheme="minorEastAsia" w:hint="eastAsia"/>
          <w:lang w:eastAsia="zh-CN"/>
        </w:rPr>
        <w:t>10</w:t>
      </w:r>
      <w:r>
        <w:rPr>
          <w:rFonts w:eastAsiaTheme="minorEastAsia" w:hint="eastAsia"/>
          <w:lang w:eastAsia="zh-CN"/>
        </w:rPr>
        <w:tab/>
      </w:r>
      <w:r>
        <w:rPr>
          <w:rFonts w:eastAsiaTheme="minorEastAsia" w:hint="eastAsia"/>
          <w:lang w:eastAsia="zh-CN"/>
        </w:rPr>
        <w:t>鉴于《公约》第</w:t>
      </w:r>
      <w:r>
        <w:rPr>
          <w:rFonts w:eastAsiaTheme="minorEastAsia" w:hint="eastAsia"/>
          <w:lang w:eastAsia="zh-CN"/>
        </w:rPr>
        <w:t>14A</w:t>
      </w:r>
      <w:r>
        <w:rPr>
          <w:rFonts w:eastAsiaTheme="minorEastAsia" w:hint="eastAsia"/>
          <w:lang w:eastAsia="zh-CN"/>
        </w:rPr>
        <w:t>条所述的</w:t>
      </w:r>
      <w:r>
        <w:rPr>
          <w:rFonts w:eastAsiaTheme="minorEastAsia" w:hint="eastAsia"/>
          <w:lang w:eastAsia="zh-CN"/>
        </w:rPr>
        <w:t>TSAG</w:t>
      </w:r>
      <w:r>
        <w:rPr>
          <w:rFonts w:eastAsiaTheme="minorEastAsia" w:hint="eastAsia"/>
          <w:lang w:eastAsia="zh-CN"/>
        </w:rPr>
        <w:t>的作用与职能，审查委员会须向</w:t>
      </w:r>
      <w:r>
        <w:rPr>
          <w:rFonts w:eastAsiaTheme="minorEastAsia" w:hint="eastAsia"/>
          <w:lang w:eastAsia="zh-CN"/>
        </w:rPr>
        <w:t>TSAG</w:t>
      </w:r>
      <w:r>
        <w:rPr>
          <w:rFonts w:eastAsiaTheme="minorEastAsia" w:hint="eastAsia"/>
          <w:lang w:eastAsia="zh-CN"/>
        </w:rPr>
        <w:t>提交报告，以便确定可在近期采取或落实的任何具体行动，以及</w:t>
      </w:r>
      <w:r>
        <w:rPr>
          <w:rFonts w:eastAsiaTheme="minorEastAsia" w:hint="eastAsia"/>
          <w:lang w:eastAsia="zh-CN"/>
        </w:rPr>
        <w:t>/</w:t>
      </w:r>
      <w:r>
        <w:rPr>
          <w:rFonts w:eastAsiaTheme="minorEastAsia" w:hint="eastAsia"/>
          <w:lang w:eastAsia="zh-CN"/>
        </w:rPr>
        <w:t>或那些可通过</w:t>
      </w:r>
      <w:r w:rsidR="008A2FB7">
        <w:rPr>
          <w:rFonts w:eastAsiaTheme="minorEastAsia" w:hint="eastAsia"/>
          <w:lang w:eastAsia="zh-CN"/>
        </w:rPr>
        <w:t>电信标准化局</w:t>
      </w:r>
      <w:r>
        <w:rPr>
          <w:rFonts w:eastAsiaTheme="minorEastAsia" w:hint="eastAsia"/>
          <w:lang w:eastAsia="zh-CN"/>
        </w:rPr>
        <w:t>主任的报告转达、由全权代表大会决定的具体行动。</w:t>
      </w:r>
    </w:p>
    <w:p w:rsidR="00D1121F" w:rsidRPr="00F22291" w:rsidRDefault="00D1121F" w:rsidP="00D1121F">
      <w:pPr>
        <w:rPr>
          <w:lang w:eastAsia="ja-JP"/>
        </w:rPr>
      </w:pPr>
      <w:r>
        <w:rPr>
          <w:rFonts w:hint="eastAsia"/>
          <w:lang w:eastAsia="zh-CN"/>
        </w:rPr>
        <w:t>11</w:t>
      </w:r>
      <w:r>
        <w:rPr>
          <w:rFonts w:hint="eastAsia"/>
          <w:lang w:eastAsia="zh-CN"/>
        </w:rPr>
        <w:tab/>
      </w:r>
      <w:r>
        <w:rPr>
          <w:rFonts w:hint="eastAsia"/>
          <w:lang w:eastAsia="zh-CN"/>
        </w:rPr>
        <w:t>以下各方可参加审查委员会会议：</w:t>
      </w:r>
    </w:p>
    <w:p w:rsidR="00D1121F" w:rsidRPr="00F22291" w:rsidRDefault="00D1121F" w:rsidP="00D1121F">
      <w:pPr>
        <w:pStyle w:val="enumlev10"/>
        <w:rPr>
          <w:lang w:eastAsia="ja-JP"/>
        </w:rPr>
      </w:pPr>
      <w:r>
        <w:rPr>
          <w:rFonts w:hint="eastAsia"/>
          <w:lang w:eastAsia="zh-CN"/>
        </w:rPr>
        <w:t>a)</w:t>
      </w:r>
      <w:r>
        <w:rPr>
          <w:rFonts w:hint="eastAsia"/>
          <w:lang w:eastAsia="zh-CN"/>
        </w:rPr>
        <w:tab/>
      </w:r>
      <w:r w:rsidRPr="00F22291">
        <w:rPr>
          <w:lang w:eastAsia="ja-JP"/>
        </w:rPr>
        <w:t>ITU-T</w:t>
      </w:r>
      <w:r>
        <w:rPr>
          <w:rFonts w:hint="eastAsia"/>
          <w:lang w:eastAsia="zh-CN"/>
        </w:rPr>
        <w:t>成员国、部门成员和学术成员</w:t>
      </w:r>
      <w:r w:rsidR="00723AD3">
        <w:rPr>
          <w:rStyle w:val="FootnoteReference"/>
          <w:lang w:eastAsia="zh-CN"/>
        </w:rPr>
        <w:footnoteReference w:customMarkFollows="1" w:id="1"/>
        <w:t>1</w:t>
      </w:r>
      <w:r>
        <w:rPr>
          <w:rFonts w:hint="eastAsia"/>
          <w:lang w:eastAsia="zh-CN"/>
        </w:rPr>
        <w:t>；</w:t>
      </w:r>
      <w:r w:rsidRPr="00F22291">
        <w:rPr>
          <w:lang w:eastAsia="ja-JP"/>
        </w:rPr>
        <w:t xml:space="preserve"> </w:t>
      </w:r>
    </w:p>
    <w:p w:rsidR="00D1121F" w:rsidRPr="00F22291" w:rsidRDefault="00D1121F" w:rsidP="00D1121F">
      <w:pPr>
        <w:pStyle w:val="enumlev10"/>
        <w:rPr>
          <w:lang w:eastAsia="zh-CN"/>
        </w:rPr>
      </w:pPr>
      <w:r>
        <w:rPr>
          <w:rFonts w:hint="eastAsia"/>
          <w:lang w:eastAsia="zh-CN"/>
        </w:rPr>
        <w:t>b)</w:t>
      </w:r>
      <w:r>
        <w:rPr>
          <w:rFonts w:hint="eastAsia"/>
          <w:lang w:eastAsia="zh-CN"/>
        </w:rPr>
        <w:tab/>
      </w:r>
      <w:r>
        <w:rPr>
          <w:rFonts w:hint="eastAsia"/>
          <w:lang w:eastAsia="zh-CN"/>
        </w:rPr>
        <w:t>在讨论与上述</w:t>
      </w:r>
      <w:r>
        <w:rPr>
          <w:rFonts w:hint="eastAsia"/>
          <w:lang w:eastAsia="zh-CN"/>
        </w:rPr>
        <w:t>a)</w:t>
      </w:r>
      <w:r>
        <w:rPr>
          <w:rFonts w:hint="eastAsia"/>
          <w:lang w:eastAsia="zh-CN"/>
        </w:rPr>
        <w:t>中未涵盖的其他组织（包括区域电信组织）相关的事宜时，这些组织的代表可应</w:t>
      </w:r>
      <w:r w:rsidRPr="00791085">
        <w:rPr>
          <w:rFonts w:hint="eastAsia"/>
          <w:lang w:eastAsia="zh-CN"/>
        </w:rPr>
        <w:t>主席与副主席和</w:t>
      </w:r>
      <w:r w:rsidR="008A2FB7">
        <w:rPr>
          <w:rFonts w:eastAsiaTheme="minorEastAsia" w:hint="eastAsia"/>
          <w:lang w:eastAsia="zh-CN"/>
        </w:rPr>
        <w:t>电信标准化局</w:t>
      </w:r>
      <w:r w:rsidRPr="00791085">
        <w:rPr>
          <w:rFonts w:hint="eastAsia"/>
          <w:lang w:eastAsia="zh-CN"/>
        </w:rPr>
        <w:t>主任磋商后提出的邀请</w:t>
      </w:r>
      <w:r w:rsidR="008A2FB7">
        <w:rPr>
          <w:rFonts w:hint="eastAsia"/>
          <w:lang w:eastAsia="zh-CN"/>
        </w:rPr>
        <w:t>，与其他专家（包括部门准成员）一道</w:t>
      </w:r>
      <w:r>
        <w:rPr>
          <w:rFonts w:hint="eastAsia"/>
          <w:lang w:eastAsia="zh-CN"/>
        </w:rPr>
        <w:t>参加相关会议；</w:t>
      </w:r>
    </w:p>
    <w:p w:rsidR="00D1121F" w:rsidRPr="00F22291" w:rsidRDefault="00D1121F" w:rsidP="00D1121F">
      <w:pPr>
        <w:rPr>
          <w:lang w:eastAsia="ja-JP"/>
        </w:rPr>
      </w:pPr>
      <w:r>
        <w:rPr>
          <w:rFonts w:hint="eastAsia"/>
          <w:lang w:eastAsia="zh-CN"/>
        </w:rPr>
        <w:t>12</w:t>
      </w:r>
      <w:r>
        <w:rPr>
          <w:rFonts w:hint="eastAsia"/>
          <w:lang w:eastAsia="zh-CN"/>
        </w:rPr>
        <w:tab/>
      </w:r>
      <w:r>
        <w:rPr>
          <w:rFonts w:hint="eastAsia"/>
          <w:lang w:eastAsia="zh-CN"/>
        </w:rPr>
        <w:t>为加强各区域的参与，审查委员会须与现有的国际电联区域组（包括</w:t>
      </w:r>
      <w:r>
        <w:rPr>
          <w:rFonts w:hint="eastAsia"/>
          <w:lang w:eastAsia="zh-CN"/>
        </w:rPr>
        <w:t>ITU-T</w:t>
      </w:r>
      <w:r>
        <w:rPr>
          <w:rFonts w:hint="eastAsia"/>
          <w:lang w:eastAsia="zh-CN"/>
        </w:rPr>
        <w:t>区域研究组）一道工作并考虑到他们的贡献。审查委员会须与</w:t>
      </w:r>
      <w:r w:rsidR="008A2FB7">
        <w:rPr>
          <w:rFonts w:eastAsiaTheme="minorEastAsia" w:hint="eastAsia"/>
          <w:lang w:eastAsia="zh-CN"/>
        </w:rPr>
        <w:t>电信标准化局</w:t>
      </w:r>
      <w:r>
        <w:rPr>
          <w:rFonts w:hint="eastAsia"/>
          <w:lang w:eastAsia="zh-CN"/>
        </w:rPr>
        <w:t>主任进行协调，确保为每个符合条件的发展中国家的一位与会者提供与会补贴。</w:t>
      </w:r>
    </w:p>
    <w:p w:rsidR="00D1121F" w:rsidRPr="00F22291" w:rsidRDefault="00D1121F" w:rsidP="00D1121F">
      <w:pPr>
        <w:rPr>
          <w:lang w:eastAsia="ja-JP"/>
        </w:rPr>
      </w:pPr>
      <w:r>
        <w:rPr>
          <w:rFonts w:hint="eastAsia"/>
          <w:lang w:eastAsia="zh-CN"/>
        </w:rPr>
        <w:t>13</w:t>
      </w:r>
      <w:r>
        <w:rPr>
          <w:rFonts w:hint="eastAsia"/>
          <w:lang w:eastAsia="zh-CN"/>
        </w:rPr>
        <w:tab/>
      </w:r>
      <w:r>
        <w:rPr>
          <w:rFonts w:hint="eastAsia"/>
          <w:lang w:eastAsia="zh-CN"/>
        </w:rPr>
        <w:t>审查委员会须以英文或六种正式语文（如有相关要求）开展工作。向</w:t>
      </w:r>
      <w:r>
        <w:rPr>
          <w:rFonts w:hint="eastAsia"/>
          <w:lang w:eastAsia="zh-CN"/>
        </w:rPr>
        <w:t>TSAG</w:t>
      </w:r>
      <w:r>
        <w:rPr>
          <w:rFonts w:hint="eastAsia"/>
          <w:lang w:eastAsia="zh-CN"/>
        </w:rPr>
        <w:t>提交的报告须翻译成国际电联的六种正式语文。</w:t>
      </w:r>
    </w:p>
    <w:p w:rsidR="00D1121F" w:rsidRPr="00F22291" w:rsidRDefault="00D1121F" w:rsidP="00D1121F">
      <w:pPr>
        <w:rPr>
          <w:lang w:eastAsia="ja-JP"/>
        </w:rPr>
      </w:pPr>
      <w:r>
        <w:rPr>
          <w:rFonts w:hint="eastAsia"/>
          <w:lang w:eastAsia="zh-CN"/>
        </w:rPr>
        <w:t>14</w:t>
      </w:r>
      <w:r>
        <w:rPr>
          <w:rFonts w:hint="eastAsia"/>
          <w:lang w:eastAsia="zh-CN"/>
        </w:rPr>
        <w:tab/>
      </w:r>
      <w:r>
        <w:rPr>
          <w:rFonts w:hint="eastAsia"/>
          <w:lang w:eastAsia="zh-CN"/>
        </w:rPr>
        <w:t>根据本届全会第</w:t>
      </w:r>
      <w:r>
        <w:rPr>
          <w:rFonts w:hint="eastAsia"/>
          <w:lang w:eastAsia="zh-CN"/>
        </w:rPr>
        <w:t>32</w:t>
      </w:r>
      <w:r>
        <w:rPr>
          <w:rFonts w:hint="eastAsia"/>
          <w:lang w:eastAsia="zh-CN"/>
        </w:rPr>
        <w:t>号决议（</w:t>
      </w:r>
      <w:r>
        <w:rPr>
          <w:rFonts w:hint="eastAsia"/>
          <w:lang w:eastAsia="zh-CN"/>
        </w:rPr>
        <w:t>2012</w:t>
      </w:r>
      <w:r>
        <w:rPr>
          <w:rFonts w:hint="eastAsia"/>
          <w:lang w:eastAsia="zh-CN"/>
        </w:rPr>
        <w:t>年，迪拜，修订版），审查委员会的会议须为无纸会议，且须采用电子工作方式。</w:t>
      </w:r>
    </w:p>
    <w:p w:rsidR="00D1121F" w:rsidRPr="00F22291" w:rsidRDefault="00D1121F" w:rsidP="00D1121F">
      <w:pPr>
        <w:rPr>
          <w:lang w:eastAsia="ja-JP"/>
        </w:rPr>
      </w:pPr>
      <w:r>
        <w:rPr>
          <w:rFonts w:hint="eastAsia"/>
          <w:lang w:eastAsia="zh-CN"/>
        </w:rPr>
        <w:t>15</w:t>
      </w:r>
      <w:r>
        <w:rPr>
          <w:rFonts w:hint="eastAsia"/>
          <w:lang w:eastAsia="zh-CN"/>
        </w:rPr>
        <w:tab/>
      </w:r>
      <w:r>
        <w:rPr>
          <w:rFonts w:hint="eastAsia"/>
          <w:lang w:eastAsia="zh-CN"/>
        </w:rPr>
        <w:t>审查委员会须在</w:t>
      </w:r>
      <w:r>
        <w:rPr>
          <w:rFonts w:hint="eastAsia"/>
          <w:lang w:eastAsia="zh-CN"/>
        </w:rPr>
        <w:t>TSAG</w:t>
      </w:r>
      <w:r>
        <w:rPr>
          <w:rFonts w:hint="eastAsia"/>
          <w:lang w:eastAsia="zh-CN"/>
        </w:rPr>
        <w:t>会议的前夕召开会议。</w:t>
      </w:r>
    </w:p>
    <w:p w:rsidR="00D1121F" w:rsidRPr="00F22291" w:rsidRDefault="00D1121F" w:rsidP="00D1121F">
      <w:pPr>
        <w:rPr>
          <w:lang w:eastAsia="ja-JP"/>
        </w:rPr>
      </w:pPr>
      <w:r>
        <w:rPr>
          <w:rFonts w:hint="eastAsia"/>
          <w:lang w:eastAsia="zh-CN"/>
        </w:rPr>
        <w:t>16</w:t>
      </w:r>
      <w:r>
        <w:rPr>
          <w:rFonts w:hint="eastAsia"/>
          <w:lang w:eastAsia="zh-CN"/>
        </w:rPr>
        <w:tab/>
      </w:r>
      <w:r>
        <w:rPr>
          <w:rFonts w:hint="eastAsia"/>
          <w:lang w:eastAsia="zh-CN"/>
        </w:rPr>
        <w:t>每次审查委员会的会期不得超出三个工作日。</w:t>
      </w:r>
    </w:p>
    <w:p w:rsidR="00D1121F" w:rsidRPr="00020F1F" w:rsidRDefault="00D1121F" w:rsidP="00D1121F">
      <w:pPr>
        <w:rPr>
          <w:spacing w:val="-4"/>
          <w:lang w:eastAsia="ja-JP"/>
        </w:rPr>
      </w:pPr>
      <w:r>
        <w:rPr>
          <w:rFonts w:hint="eastAsia"/>
          <w:lang w:eastAsia="zh-CN"/>
        </w:rPr>
        <w:t>17</w:t>
      </w:r>
      <w:r>
        <w:rPr>
          <w:rFonts w:hint="eastAsia"/>
          <w:lang w:eastAsia="zh-CN"/>
        </w:rPr>
        <w:tab/>
      </w:r>
      <w:r w:rsidRPr="00020F1F">
        <w:rPr>
          <w:rFonts w:hint="eastAsia"/>
          <w:spacing w:val="-4"/>
          <w:lang w:eastAsia="zh-CN"/>
        </w:rPr>
        <w:t>审查委员会的管理层</w:t>
      </w:r>
      <w:r>
        <w:rPr>
          <w:rFonts w:hint="eastAsia"/>
          <w:spacing w:val="-4"/>
          <w:lang w:eastAsia="zh-CN"/>
        </w:rPr>
        <w:t>须</w:t>
      </w:r>
      <w:r w:rsidRPr="00020F1F">
        <w:rPr>
          <w:rFonts w:hint="eastAsia"/>
          <w:spacing w:val="-4"/>
          <w:lang w:eastAsia="zh-CN"/>
        </w:rPr>
        <w:t>由一位主席和</w:t>
      </w:r>
      <w:r>
        <w:rPr>
          <w:rFonts w:hint="eastAsia"/>
          <w:spacing w:val="-4"/>
          <w:lang w:eastAsia="zh-CN"/>
        </w:rPr>
        <w:t>（最多）</w:t>
      </w:r>
      <w:r w:rsidRPr="00020F1F">
        <w:rPr>
          <w:rFonts w:hint="eastAsia"/>
          <w:spacing w:val="-4"/>
          <w:lang w:eastAsia="zh-CN"/>
        </w:rPr>
        <w:t>六位副主席组成，同时</w:t>
      </w:r>
      <w:r>
        <w:rPr>
          <w:rFonts w:hint="eastAsia"/>
          <w:spacing w:val="-4"/>
          <w:lang w:eastAsia="zh-CN"/>
        </w:rPr>
        <w:t>顾及公平</w:t>
      </w:r>
      <w:r w:rsidRPr="00020F1F">
        <w:rPr>
          <w:rFonts w:hint="eastAsia"/>
          <w:spacing w:val="-4"/>
          <w:lang w:eastAsia="zh-CN"/>
        </w:rPr>
        <w:t>地域分布。</w:t>
      </w:r>
    </w:p>
    <w:p w:rsidR="00D1121F" w:rsidRDefault="00D1121F" w:rsidP="00D1121F">
      <w:pPr>
        <w:rPr>
          <w:lang w:val="en-US" w:eastAsia="zh-CN"/>
        </w:rPr>
      </w:pPr>
      <w:r>
        <w:rPr>
          <w:rFonts w:hint="eastAsia"/>
          <w:lang w:val="en-US" w:eastAsia="zh-CN"/>
        </w:rPr>
        <w:t>18</w:t>
      </w:r>
      <w:r>
        <w:rPr>
          <w:rFonts w:hint="eastAsia"/>
          <w:lang w:val="en-US" w:eastAsia="zh-CN"/>
        </w:rPr>
        <w:tab/>
      </w:r>
      <w:r>
        <w:rPr>
          <w:rFonts w:hint="eastAsia"/>
          <w:lang w:eastAsia="zh-CN"/>
        </w:rPr>
        <w:t>审查委员会的最终报告须予以翻译并提交给</w:t>
      </w:r>
      <w:r w:rsidRPr="00F22291">
        <w:rPr>
          <w:lang w:val="en-US" w:eastAsia="zh-CN"/>
        </w:rPr>
        <w:t>WTSA-16</w:t>
      </w:r>
      <w:r>
        <w:rPr>
          <w:rFonts w:hint="eastAsia"/>
          <w:lang w:val="en-US" w:eastAsia="zh-CN"/>
        </w:rPr>
        <w:t>之前的最后一次</w:t>
      </w:r>
      <w:r>
        <w:rPr>
          <w:rFonts w:hint="eastAsia"/>
          <w:lang w:val="en-US" w:eastAsia="zh-CN"/>
        </w:rPr>
        <w:t>TSAG</w:t>
      </w:r>
      <w:r>
        <w:rPr>
          <w:rFonts w:hint="eastAsia"/>
          <w:lang w:val="en-US" w:eastAsia="zh-CN"/>
        </w:rPr>
        <w:t>会议。除非</w:t>
      </w:r>
      <w:r>
        <w:rPr>
          <w:rFonts w:hint="eastAsia"/>
          <w:lang w:val="en-US" w:eastAsia="zh-CN"/>
        </w:rPr>
        <w:t>WTSA-16</w:t>
      </w:r>
      <w:r>
        <w:rPr>
          <w:rFonts w:hint="eastAsia"/>
          <w:lang w:val="en-US" w:eastAsia="zh-CN"/>
        </w:rPr>
        <w:t>决定</w:t>
      </w:r>
      <w:r>
        <w:rPr>
          <w:rFonts w:hint="eastAsia"/>
          <w:lang w:eastAsia="zh-CN"/>
        </w:rPr>
        <w:t>审查委员会继续开展工作，否则该委员会须在</w:t>
      </w:r>
      <w:r>
        <w:rPr>
          <w:rFonts w:hint="eastAsia"/>
          <w:lang w:eastAsia="zh-CN"/>
        </w:rPr>
        <w:t>2016</w:t>
      </w:r>
      <w:r>
        <w:rPr>
          <w:rFonts w:hint="eastAsia"/>
          <w:lang w:eastAsia="zh-CN"/>
        </w:rPr>
        <w:t>年结束其工作。</w:t>
      </w:r>
    </w:p>
    <w:p w:rsidR="00C52866" w:rsidRPr="00C52866" w:rsidRDefault="00C52866" w:rsidP="00D1121F">
      <w:pPr>
        <w:rPr>
          <w:lang w:val="en-US" w:eastAsia="zh-CN"/>
        </w:rPr>
      </w:pPr>
    </w:p>
    <w:p w:rsidR="00D36004" w:rsidRDefault="00D36004" w:rsidP="00F425ED">
      <w:pPr>
        <w:pStyle w:val="OpinionNo"/>
        <w:rPr>
          <w:lang w:val="en-US" w:eastAsia="zh-CN"/>
        </w:rPr>
      </w:pPr>
    </w:p>
    <w:sectPr w:rsidR="00D36004" w:rsidSect="00F425ED">
      <w:headerReference w:type="even" r:id="rId18"/>
      <w:headerReference w:type="default" r:id="rId19"/>
      <w:footerReference w:type="even" r:id="rId20"/>
      <w:footerReference w:type="default" r:id="rId21"/>
      <w:type w:val="oddPage"/>
      <w:pgSz w:w="11907" w:h="16834" w:code="9"/>
      <w:pgMar w:top="1418" w:right="1134" w:bottom="1418" w:left="1134"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26" w:rsidRDefault="006D4F26">
      <w:r>
        <w:separator/>
      </w:r>
    </w:p>
  </w:endnote>
  <w:endnote w:type="continuationSeparator" w:id="0">
    <w:p w:rsidR="006D4F26" w:rsidRDefault="006D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000" w:usb1="080F0000" w:usb2="00000010" w:usb3="00000000" w:csb0="0004009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39T36Lfz">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646" w:rsidRDefault="00394646">
    <w:pPr>
      <w:pStyle w:val="FooterQP"/>
      <w:rPr>
        <w:b w:val="0"/>
      </w:rPr>
    </w:pPr>
    <w:r>
      <w:rPr>
        <w:rStyle w:val="PageNumber"/>
        <w:rFonts w:eastAsia="Times New Roman"/>
        <w:b w:val="0"/>
      </w:rPr>
      <w:fldChar w:fldCharType="begin"/>
    </w:r>
    <w:r>
      <w:rPr>
        <w:rStyle w:val="PageNumber"/>
        <w:rFonts w:eastAsia="Times New Roman"/>
        <w:b w:val="0"/>
      </w:rPr>
      <w:instrText xml:space="preserve"> PAGE </w:instrText>
    </w:r>
    <w:r>
      <w:rPr>
        <w:rStyle w:val="PageNumber"/>
        <w:rFonts w:eastAsia="Times New Roman"/>
        <w:b w:val="0"/>
      </w:rPr>
      <w:fldChar w:fldCharType="separate"/>
    </w:r>
    <w:r w:rsidR="00853371">
      <w:rPr>
        <w:rStyle w:val="PageNumber"/>
        <w:rFonts w:eastAsia="Times New Roman"/>
        <w:b w:val="0"/>
        <w:noProof/>
      </w:rPr>
      <w:t>i</w:t>
    </w:r>
    <w:r>
      <w:rPr>
        <w:rStyle w:val="PageNumber"/>
        <w:rFonts w:eastAsia="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Default="0061564D">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4175A8">
      <w:rPr>
        <w:lang w:eastAsia="zh-CN"/>
      </w:rPr>
      <w:t>WTSA-12</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4175A8">
      <w:rPr>
        <w:rFonts w:hint="eastAsia"/>
        <w:lang w:val="en-US" w:eastAsia="zh-CN"/>
      </w:rPr>
      <w:t>第</w:t>
    </w:r>
    <w:r w:rsidR="004175A8">
      <w:rPr>
        <w:rFonts w:hint="eastAsia"/>
        <w:lang w:val="en-US" w:eastAsia="zh-CN"/>
      </w:rPr>
      <w:t>1</w:t>
    </w:r>
    <w:r w:rsidR="004175A8">
      <w:rPr>
        <w:rFonts w:hint="eastAsia"/>
        <w:lang w:val="en-US" w:eastAsia="zh-CN"/>
      </w:rPr>
      <w:t>部分</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394646">
      <w:rPr>
        <w:lang w:val="en-US" w:eastAsia="zh-CN"/>
      </w:rPr>
      <w:cr/>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394646">
      <w:rPr>
        <w:b w:val="0"/>
        <w:lang w:val="en-US" w:eastAsia="zh-CN"/>
      </w:rPr>
      <w:t>3</w:t>
    </w:r>
    <w:r w:rsidRPr="00AA4B12">
      <w:rPr>
        <w:b w:val="0"/>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Pr="00AA4B12" w:rsidRDefault="0061564D" w:rsidP="00F425ED">
    <w:pPr>
      <w:pStyle w:val="Footer"/>
      <w:rPr>
        <w:lang w:val="en-US" w:eastAsia="zh-CN"/>
      </w:rPr>
    </w:pP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853371">
      <w:rPr>
        <w:b w:val="0"/>
        <w:lang w:val="en-US" w:eastAsia="zh-CN"/>
      </w:rPr>
      <w:t>4</w:t>
    </w:r>
    <w:r w:rsidRPr="00AA4B12">
      <w:rPr>
        <w:b w:val="0"/>
        <w:lang w:val="en-US" w:eastAsia="zh-CN"/>
      </w:rPr>
      <w:fldChar w:fldCharType="end"/>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4175A8">
      <w:rPr>
        <w:lang w:eastAsia="zh-CN"/>
      </w:rPr>
      <w:t>WTSA-12</w:t>
    </w:r>
    <w:r>
      <w:rPr>
        <w:lang w:eastAsia="zh-CN"/>
      </w:rPr>
      <w:fldChar w:fldCharType="end"/>
    </w:r>
    <w:r>
      <w:rPr>
        <w:lang w:eastAsia="zh-CN"/>
      </w:rPr>
      <w:t xml:space="preserve"> </w:t>
    </w:r>
    <w:r>
      <w:rPr>
        <w:lang w:val="en-US" w:eastAsia="zh-CN"/>
      </w:rPr>
      <w:t>–</w:t>
    </w:r>
    <w:r w:rsidR="00F425ED">
      <w:rPr>
        <w:lang w:val="en-US" w:eastAsia="zh-CN"/>
      </w:rPr>
      <w:t xml:space="preserve"> </w:t>
    </w:r>
    <w:r>
      <w:rPr>
        <w:lang w:val="en-US" w:eastAsia="zh-CN"/>
      </w:rPr>
      <w:fldChar w:fldCharType="begin"/>
    </w:r>
    <w:r>
      <w:rPr>
        <w:lang w:val="en-US" w:eastAsia="zh-CN"/>
      </w:rPr>
      <w:instrText xml:space="preserve"> STYLEREF  href  \* MERGEFORMAT </w:instrText>
    </w:r>
    <w:r>
      <w:rPr>
        <w:lang w:val="en-US" w:eastAsia="zh-CN"/>
      </w:rPr>
      <w:fldChar w:fldCharType="separate"/>
    </w:r>
    <w:r w:rsidR="00853371">
      <w:rPr>
        <w:rFonts w:hint="eastAsia"/>
        <w:lang w:val="en-US" w:eastAsia="zh-CN"/>
      </w:rPr>
      <w:t>第</w:t>
    </w:r>
    <w:r w:rsidR="00853371">
      <w:rPr>
        <w:rFonts w:hint="eastAsia"/>
        <w:lang w:val="en-US" w:eastAsia="zh-CN"/>
      </w:rPr>
      <w:t>82</w:t>
    </w:r>
    <w:r w:rsidR="00853371">
      <w:rPr>
        <w:rFonts w:hint="eastAsia"/>
        <w:lang w:val="en-US" w:eastAsia="zh-CN"/>
      </w:rPr>
      <w:t>号决议</w:t>
    </w:r>
    <w:r>
      <w:rPr>
        <w:lang w:val="en-US" w:eastAsia="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Default="0061564D" w:rsidP="00F425ED">
    <w:pPr>
      <w:pStyle w:val="Footer"/>
      <w:rPr>
        <w:lang w:eastAsia="zh-CN"/>
      </w:rPr>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4175A8">
      <w:rPr>
        <w:lang w:eastAsia="zh-CN"/>
      </w:rPr>
      <w:t>WTSA-12</w:t>
    </w:r>
    <w:r>
      <w:rPr>
        <w:lang w:eastAsia="zh-CN"/>
      </w:rPr>
      <w:fldChar w:fldCharType="end"/>
    </w:r>
    <w:r>
      <w:rPr>
        <w:lang w:eastAsia="zh-CN"/>
      </w:rPr>
      <w:t xml:space="preserve"> </w:t>
    </w:r>
    <w:r>
      <w:rPr>
        <w:lang w:val="en-US" w:eastAsia="zh-CN"/>
      </w:rPr>
      <w:t xml:space="preserve">– </w:t>
    </w:r>
    <w:r>
      <w:rPr>
        <w:lang w:val="en-US" w:eastAsia="zh-CN"/>
      </w:rPr>
      <w:fldChar w:fldCharType="begin"/>
    </w:r>
    <w:r>
      <w:rPr>
        <w:lang w:val="en-US" w:eastAsia="zh-CN"/>
      </w:rPr>
      <w:instrText xml:space="preserve"> STYLEREF  href  \* MERGEFORMAT </w:instrText>
    </w:r>
    <w:r>
      <w:rPr>
        <w:lang w:val="en-US" w:eastAsia="zh-CN"/>
      </w:rPr>
      <w:fldChar w:fldCharType="separate"/>
    </w:r>
    <w:r w:rsidR="00853371">
      <w:rPr>
        <w:rFonts w:hint="eastAsia"/>
        <w:lang w:val="en-US" w:eastAsia="zh-CN"/>
      </w:rPr>
      <w:t>第</w:t>
    </w:r>
    <w:r w:rsidR="00853371">
      <w:rPr>
        <w:rFonts w:hint="eastAsia"/>
        <w:lang w:val="en-US" w:eastAsia="zh-CN"/>
      </w:rPr>
      <w:t>82</w:t>
    </w:r>
    <w:r w:rsidR="00853371">
      <w:rPr>
        <w:rFonts w:hint="eastAsia"/>
        <w:lang w:val="en-US" w:eastAsia="zh-CN"/>
      </w:rPr>
      <w:t>号决议</w:t>
    </w:r>
    <w:r>
      <w:rPr>
        <w:lang w:val="en-US" w:eastAsia="zh-CN"/>
      </w:rPr>
      <w:fldChar w:fldCharType="end"/>
    </w:r>
    <w:r>
      <w:rPr>
        <w:rFonts w:hint="eastAsia"/>
        <w:lang w:val="en-US"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853371">
      <w:rPr>
        <w:b w:val="0"/>
        <w:lang w:val="en-US" w:eastAsia="zh-CN"/>
      </w:rPr>
      <w:t>3</w:t>
    </w:r>
    <w:r w:rsidRPr="00AA4B12">
      <w:rPr>
        <w:b w:val="0"/>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26" w:rsidRDefault="006D4F26">
      <w:r>
        <w:t>____________________</w:t>
      </w:r>
    </w:p>
  </w:footnote>
  <w:footnote w:type="continuationSeparator" w:id="0">
    <w:p w:rsidR="006D4F26" w:rsidRDefault="006D4F26">
      <w:r>
        <w:continuationSeparator/>
      </w:r>
    </w:p>
  </w:footnote>
  <w:footnote w:id="1">
    <w:p w:rsidR="0061564D" w:rsidRPr="00E00530" w:rsidRDefault="0061564D" w:rsidP="00D1121F">
      <w:pPr>
        <w:pStyle w:val="FootnoteText"/>
        <w:rPr>
          <w:lang w:val="en-US" w:eastAsia="zh-CN"/>
        </w:rPr>
      </w:pPr>
      <w:r>
        <w:rPr>
          <w:rStyle w:val="FootnoteReference"/>
          <w:lang w:eastAsia="zh-CN"/>
        </w:rPr>
        <w:t>1</w:t>
      </w:r>
      <w:r>
        <w:rPr>
          <w:lang w:eastAsia="zh-CN"/>
        </w:rPr>
        <w:t xml:space="preserve"> </w:t>
      </w:r>
      <w:r>
        <w:rPr>
          <w:rFonts w:hint="eastAsia"/>
          <w:lang w:eastAsia="zh-CN"/>
        </w:rPr>
        <w:tab/>
      </w:r>
      <w:r>
        <w:rPr>
          <w:rFonts w:hint="eastAsia"/>
          <w:lang w:eastAsia="zh-CN"/>
        </w:rPr>
        <w:t>根据全权代表大会第</w:t>
      </w:r>
      <w:r>
        <w:rPr>
          <w:rFonts w:hint="eastAsia"/>
          <w:lang w:eastAsia="zh-CN"/>
        </w:rPr>
        <w:t>169</w:t>
      </w:r>
      <w:r>
        <w:rPr>
          <w:rFonts w:hint="eastAsia"/>
          <w:lang w:eastAsia="zh-CN"/>
        </w:rPr>
        <w:t>号决议（</w:t>
      </w:r>
      <w:r>
        <w:rPr>
          <w:rFonts w:hint="eastAsia"/>
          <w:lang w:eastAsia="zh-CN"/>
        </w:rPr>
        <w:t>2010</w:t>
      </w:r>
      <w:r>
        <w:rPr>
          <w:rFonts w:hint="eastAsia"/>
          <w:lang w:eastAsia="zh-CN"/>
        </w:rPr>
        <w:t>年，瓜达拉哈拉）“</w:t>
      </w:r>
      <w:r w:rsidRPr="00F3160E">
        <w:rPr>
          <w:rFonts w:ascii="STKaiti" w:eastAsia="STKaiti" w:hAnsi="STKaiti" w:hint="eastAsia"/>
          <w:iCs/>
          <w:lang w:val="en-US" w:eastAsia="zh-CN"/>
        </w:rPr>
        <w:t>接纳学术界、大学及其相关研究机构参加国际电联三个部门的工作</w:t>
      </w:r>
      <w:r>
        <w:rPr>
          <w:rFonts w:hint="eastAsia"/>
          <w:lang w:eastAsia="zh-CN"/>
        </w:rPr>
        <w:t>”，学术成员不应参与决策。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Pr="00394646" w:rsidRDefault="0061564D" w:rsidP="0039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Default="0061564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64D" w:rsidRPr="00C57DC3" w:rsidRDefault="0061564D" w:rsidP="00C57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5">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2"/>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abstractNumId w:val="15"/>
  </w:num>
  <w:num w:numId="5">
    <w:abstractNumId w:val="12"/>
  </w:num>
  <w:num w:numId="6">
    <w:abstractNumId w:val="11"/>
  </w:num>
  <w:num w:numId="7">
    <w:abstractNumId w:val="8"/>
  </w:num>
  <w:num w:numId="8">
    <w:abstractNumId w:val="3"/>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ES_tradnl" w:vendorID="64" w:dllVersion="131078" w:nlCheck="1" w:checkStyle="1"/>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7C"/>
    <w:rsid w:val="000006A3"/>
    <w:rsid w:val="00004A30"/>
    <w:rsid w:val="00004C5D"/>
    <w:rsid w:val="00020EE8"/>
    <w:rsid w:val="00022FC0"/>
    <w:rsid w:val="00025F92"/>
    <w:rsid w:val="000264C2"/>
    <w:rsid w:val="000273B7"/>
    <w:rsid w:val="000324A5"/>
    <w:rsid w:val="00037C90"/>
    <w:rsid w:val="00040625"/>
    <w:rsid w:val="00043BE7"/>
    <w:rsid w:val="000535E7"/>
    <w:rsid w:val="00056650"/>
    <w:rsid w:val="00064492"/>
    <w:rsid w:val="000649DE"/>
    <w:rsid w:val="000677F4"/>
    <w:rsid w:val="00083ABB"/>
    <w:rsid w:val="00091E1B"/>
    <w:rsid w:val="00094BEC"/>
    <w:rsid w:val="00095A35"/>
    <w:rsid w:val="000A5041"/>
    <w:rsid w:val="000B1AE6"/>
    <w:rsid w:val="000B49A7"/>
    <w:rsid w:val="000B54F1"/>
    <w:rsid w:val="000C09BA"/>
    <w:rsid w:val="000C1F1E"/>
    <w:rsid w:val="000C30E8"/>
    <w:rsid w:val="000C6464"/>
    <w:rsid w:val="000C6AA7"/>
    <w:rsid w:val="000D6B93"/>
    <w:rsid w:val="000E26F6"/>
    <w:rsid w:val="000E38B4"/>
    <w:rsid w:val="000F16A4"/>
    <w:rsid w:val="000F31F3"/>
    <w:rsid w:val="000F73E9"/>
    <w:rsid w:val="00102512"/>
    <w:rsid w:val="00110100"/>
    <w:rsid w:val="00111522"/>
    <w:rsid w:val="00160CD7"/>
    <w:rsid w:val="001659E3"/>
    <w:rsid w:val="00166859"/>
    <w:rsid w:val="001702D5"/>
    <w:rsid w:val="00174958"/>
    <w:rsid w:val="001765EC"/>
    <w:rsid w:val="00183952"/>
    <w:rsid w:val="001853E8"/>
    <w:rsid w:val="00190B26"/>
    <w:rsid w:val="00191648"/>
    <w:rsid w:val="00194D94"/>
    <w:rsid w:val="00195159"/>
    <w:rsid w:val="0019671C"/>
    <w:rsid w:val="001A3AF5"/>
    <w:rsid w:val="001B0BE6"/>
    <w:rsid w:val="001B3751"/>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400C4"/>
    <w:rsid w:val="002433C2"/>
    <w:rsid w:val="002435A4"/>
    <w:rsid w:val="00251D54"/>
    <w:rsid w:val="00252C61"/>
    <w:rsid w:val="00253E75"/>
    <w:rsid w:val="00255630"/>
    <w:rsid w:val="00265C8D"/>
    <w:rsid w:val="00270364"/>
    <w:rsid w:val="00276EAA"/>
    <w:rsid w:val="00285D2D"/>
    <w:rsid w:val="00291F40"/>
    <w:rsid w:val="002A2467"/>
    <w:rsid w:val="002A4C9C"/>
    <w:rsid w:val="002A7FC1"/>
    <w:rsid w:val="002B509B"/>
    <w:rsid w:val="002D3B74"/>
    <w:rsid w:val="002E2A59"/>
    <w:rsid w:val="002E4E53"/>
    <w:rsid w:val="002E50E1"/>
    <w:rsid w:val="002E59C5"/>
    <w:rsid w:val="002F77D6"/>
    <w:rsid w:val="003041E7"/>
    <w:rsid w:val="00305254"/>
    <w:rsid w:val="00307900"/>
    <w:rsid w:val="003115CA"/>
    <w:rsid w:val="00311E74"/>
    <w:rsid w:val="003169D2"/>
    <w:rsid w:val="00317303"/>
    <w:rsid w:val="003216C8"/>
    <w:rsid w:val="003252D6"/>
    <w:rsid w:val="00340CBE"/>
    <w:rsid w:val="0034132F"/>
    <w:rsid w:val="003440F4"/>
    <w:rsid w:val="003446EA"/>
    <w:rsid w:val="00350D61"/>
    <w:rsid w:val="00350F70"/>
    <w:rsid w:val="00361158"/>
    <w:rsid w:val="003673E0"/>
    <w:rsid w:val="003677A4"/>
    <w:rsid w:val="0038451B"/>
    <w:rsid w:val="00385C06"/>
    <w:rsid w:val="00390B4B"/>
    <w:rsid w:val="0039217E"/>
    <w:rsid w:val="00394646"/>
    <w:rsid w:val="00394D4F"/>
    <w:rsid w:val="003978F7"/>
    <w:rsid w:val="003A118B"/>
    <w:rsid w:val="003A125E"/>
    <w:rsid w:val="003A197B"/>
    <w:rsid w:val="003A69EA"/>
    <w:rsid w:val="003B206E"/>
    <w:rsid w:val="003B41D5"/>
    <w:rsid w:val="003B4BEF"/>
    <w:rsid w:val="003B58D5"/>
    <w:rsid w:val="003C644C"/>
    <w:rsid w:val="003C6B45"/>
    <w:rsid w:val="003D4BE3"/>
    <w:rsid w:val="003D5D9B"/>
    <w:rsid w:val="003E7872"/>
    <w:rsid w:val="003F2979"/>
    <w:rsid w:val="003F6474"/>
    <w:rsid w:val="004114A1"/>
    <w:rsid w:val="0041282E"/>
    <w:rsid w:val="00416863"/>
    <w:rsid w:val="004175A8"/>
    <w:rsid w:val="00417C1D"/>
    <w:rsid w:val="00425817"/>
    <w:rsid w:val="00426B02"/>
    <w:rsid w:val="0043286C"/>
    <w:rsid w:val="0043398C"/>
    <w:rsid w:val="00433B48"/>
    <w:rsid w:val="00437869"/>
    <w:rsid w:val="00440681"/>
    <w:rsid w:val="00440BF5"/>
    <w:rsid w:val="004477C3"/>
    <w:rsid w:val="004574D0"/>
    <w:rsid w:val="004614A2"/>
    <w:rsid w:val="004631DA"/>
    <w:rsid w:val="00465756"/>
    <w:rsid w:val="00465A34"/>
    <w:rsid w:val="00465A8A"/>
    <w:rsid w:val="0046713E"/>
    <w:rsid w:val="00467691"/>
    <w:rsid w:val="00471AAB"/>
    <w:rsid w:val="00474114"/>
    <w:rsid w:val="004966A2"/>
    <w:rsid w:val="004A1BBF"/>
    <w:rsid w:val="004A3899"/>
    <w:rsid w:val="004B23EB"/>
    <w:rsid w:val="004C05E8"/>
    <w:rsid w:val="004C4554"/>
    <w:rsid w:val="004C5A53"/>
    <w:rsid w:val="004D0D1D"/>
    <w:rsid w:val="004D1EAC"/>
    <w:rsid w:val="004D2DEC"/>
    <w:rsid w:val="004E2605"/>
    <w:rsid w:val="004E3B08"/>
    <w:rsid w:val="004E4468"/>
    <w:rsid w:val="004F2BE6"/>
    <w:rsid w:val="005130AA"/>
    <w:rsid w:val="00522F5E"/>
    <w:rsid w:val="00524E4B"/>
    <w:rsid w:val="00525B39"/>
    <w:rsid w:val="005278A7"/>
    <w:rsid w:val="00527E8A"/>
    <w:rsid w:val="0053489F"/>
    <w:rsid w:val="00537387"/>
    <w:rsid w:val="00541F3C"/>
    <w:rsid w:val="00542E85"/>
    <w:rsid w:val="0054632E"/>
    <w:rsid w:val="00553EE8"/>
    <w:rsid w:val="00556F50"/>
    <w:rsid w:val="005622DE"/>
    <w:rsid w:val="00562479"/>
    <w:rsid w:val="0057337B"/>
    <w:rsid w:val="00576849"/>
    <w:rsid w:val="005864EC"/>
    <w:rsid w:val="005A015E"/>
    <w:rsid w:val="005A0ACB"/>
    <w:rsid w:val="005A1496"/>
    <w:rsid w:val="005A3FF0"/>
    <w:rsid w:val="005B27E4"/>
    <w:rsid w:val="005B323B"/>
    <w:rsid w:val="005C530C"/>
    <w:rsid w:val="005E1233"/>
    <w:rsid w:val="005E2F17"/>
    <w:rsid w:val="005E7FD8"/>
    <w:rsid w:val="005F01B6"/>
    <w:rsid w:val="005F4C79"/>
    <w:rsid w:val="00600B42"/>
    <w:rsid w:val="006019E8"/>
    <w:rsid w:val="00602AB8"/>
    <w:rsid w:val="00614803"/>
    <w:rsid w:val="0061564D"/>
    <w:rsid w:val="0061666C"/>
    <w:rsid w:val="00616D76"/>
    <w:rsid w:val="00617572"/>
    <w:rsid w:val="00622560"/>
    <w:rsid w:val="006313D7"/>
    <w:rsid w:val="00635F17"/>
    <w:rsid w:val="006423DE"/>
    <w:rsid w:val="00644391"/>
    <w:rsid w:val="00646CC0"/>
    <w:rsid w:val="00647712"/>
    <w:rsid w:val="006522E7"/>
    <w:rsid w:val="00662E12"/>
    <w:rsid w:val="00667955"/>
    <w:rsid w:val="00670110"/>
    <w:rsid w:val="00670807"/>
    <w:rsid w:val="00672AD8"/>
    <w:rsid w:val="00673C06"/>
    <w:rsid w:val="00682DBF"/>
    <w:rsid w:val="006847FD"/>
    <w:rsid w:val="00691142"/>
    <w:rsid w:val="006912C1"/>
    <w:rsid w:val="00691FD7"/>
    <w:rsid w:val="00694A6D"/>
    <w:rsid w:val="00697021"/>
    <w:rsid w:val="006A22E9"/>
    <w:rsid w:val="006B67CE"/>
    <w:rsid w:val="006C3472"/>
    <w:rsid w:val="006C38ED"/>
    <w:rsid w:val="006C5CE9"/>
    <w:rsid w:val="006D3D54"/>
    <w:rsid w:val="006D4F26"/>
    <w:rsid w:val="006D58C3"/>
    <w:rsid w:val="006D6104"/>
    <w:rsid w:val="006D6414"/>
    <w:rsid w:val="006E6182"/>
    <w:rsid w:val="006F3594"/>
    <w:rsid w:val="006F3C60"/>
    <w:rsid w:val="00705285"/>
    <w:rsid w:val="007127CE"/>
    <w:rsid w:val="00716B79"/>
    <w:rsid w:val="00717363"/>
    <w:rsid w:val="00723A28"/>
    <w:rsid w:val="00723AD3"/>
    <w:rsid w:val="00731012"/>
    <w:rsid w:val="007324BD"/>
    <w:rsid w:val="00734D57"/>
    <w:rsid w:val="00736415"/>
    <w:rsid w:val="007514C7"/>
    <w:rsid w:val="00757153"/>
    <w:rsid w:val="00770D2A"/>
    <w:rsid w:val="00781FAE"/>
    <w:rsid w:val="007864F6"/>
    <w:rsid w:val="00791548"/>
    <w:rsid w:val="007921AD"/>
    <w:rsid w:val="007959D1"/>
    <w:rsid w:val="007B0906"/>
    <w:rsid w:val="007B73F5"/>
    <w:rsid w:val="007B7C4B"/>
    <w:rsid w:val="007C09F6"/>
    <w:rsid w:val="007C6A61"/>
    <w:rsid w:val="007C7BFE"/>
    <w:rsid w:val="007D3F19"/>
    <w:rsid w:val="007D4C5A"/>
    <w:rsid w:val="007E296B"/>
    <w:rsid w:val="007F0FC5"/>
    <w:rsid w:val="007F2491"/>
    <w:rsid w:val="007F56E2"/>
    <w:rsid w:val="007F5C36"/>
    <w:rsid w:val="007F77CF"/>
    <w:rsid w:val="007F79C9"/>
    <w:rsid w:val="0080401E"/>
    <w:rsid w:val="008047DB"/>
    <w:rsid w:val="008129A9"/>
    <w:rsid w:val="00815EF0"/>
    <w:rsid w:val="008221A4"/>
    <w:rsid w:val="00823F60"/>
    <w:rsid w:val="00824945"/>
    <w:rsid w:val="00824BD6"/>
    <w:rsid w:val="00835CE7"/>
    <w:rsid w:val="0083672D"/>
    <w:rsid w:val="00840E69"/>
    <w:rsid w:val="00844734"/>
    <w:rsid w:val="008471B5"/>
    <w:rsid w:val="00851B70"/>
    <w:rsid w:val="00853371"/>
    <w:rsid w:val="00857BA2"/>
    <w:rsid w:val="0086030C"/>
    <w:rsid w:val="00865DFB"/>
    <w:rsid w:val="00865F38"/>
    <w:rsid w:val="00872F06"/>
    <w:rsid w:val="00880FD6"/>
    <w:rsid w:val="00887DC3"/>
    <w:rsid w:val="00892B4F"/>
    <w:rsid w:val="00893A15"/>
    <w:rsid w:val="008A2F1D"/>
    <w:rsid w:val="008A2FB7"/>
    <w:rsid w:val="008A7416"/>
    <w:rsid w:val="008B127D"/>
    <w:rsid w:val="008B6852"/>
    <w:rsid w:val="008C26FF"/>
    <w:rsid w:val="008D1D14"/>
    <w:rsid w:val="008E1785"/>
    <w:rsid w:val="008E37A6"/>
    <w:rsid w:val="008E5443"/>
    <w:rsid w:val="008E664B"/>
    <w:rsid w:val="008E7127"/>
    <w:rsid w:val="008E7C8E"/>
    <w:rsid w:val="008F0C18"/>
    <w:rsid w:val="008F3DEA"/>
    <w:rsid w:val="00903C93"/>
    <w:rsid w:val="00904488"/>
    <w:rsid w:val="00912959"/>
    <w:rsid w:val="0091452E"/>
    <w:rsid w:val="00916548"/>
    <w:rsid w:val="00923A14"/>
    <w:rsid w:val="00932E70"/>
    <w:rsid w:val="00936AEC"/>
    <w:rsid w:val="009373F1"/>
    <w:rsid w:val="009526FB"/>
    <w:rsid w:val="009657F9"/>
    <w:rsid w:val="009706A6"/>
    <w:rsid w:val="009771C5"/>
    <w:rsid w:val="00980E7E"/>
    <w:rsid w:val="0099525B"/>
    <w:rsid w:val="009A557B"/>
    <w:rsid w:val="009A6653"/>
    <w:rsid w:val="009C0D16"/>
    <w:rsid w:val="009C203B"/>
    <w:rsid w:val="009C72B7"/>
    <w:rsid w:val="009D57FA"/>
    <w:rsid w:val="009E4BE5"/>
    <w:rsid w:val="009E6F63"/>
    <w:rsid w:val="009F7627"/>
    <w:rsid w:val="00A0052C"/>
    <w:rsid w:val="00A029BA"/>
    <w:rsid w:val="00A13A80"/>
    <w:rsid w:val="00A30E2D"/>
    <w:rsid w:val="00A31B14"/>
    <w:rsid w:val="00A323DC"/>
    <w:rsid w:val="00A33F74"/>
    <w:rsid w:val="00A34E21"/>
    <w:rsid w:val="00A36DCC"/>
    <w:rsid w:val="00A403A2"/>
    <w:rsid w:val="00A65046"/>
    <w:rsid w:val="00A75E71"/>
    <w:rsid w:val="00A76C3E"/>
    <w:rsid w:val="00A76FC7"/>
    <w:rsid w:val="00A815BE"/>
    <w:rsid w:val="00A81F7C"/>
    <w:rsid w:val="00A92E8B"/>
    <w:rsid w:val="00A93E6A"/>
    <w:rsid w:val="00AA4B12"/>
    <w:rsid w:val="00AA4C8A"/>
    <w:rsid w:val="00AA5DA1"/>
    <w:rsid w:val="00AB0E73"/>
    <w:rsid w:val="00AB3349"/>
    <w:rsid w:val="00AB4417"/>
    <w:rsid w:val="00AD30BE"/>
    <w:rsid w:val="00AD69CB"/>
    <w:rsid w:val="00AE369F"/>
    <w:rsid w:val="00B00E7B"/>
    <w:rsid w:val="00B019DE"/>
    <w:rsid w:val="00B026CB"/>
    <w:rsid w:val="00B047CD"/>
    <w:rsid w:val="00B04E3F"/>
    <w:rsid w:val="00B05AE8"/>
    <w:rsid w:val="00B1111A"/>
    <w:rsid w:val="00B152A4"/>
    <w:rsid w:val="00B279CA"/>
    <w:rsid w:val="00B37E6D"/>
    <w:rsid w:val="00B40F44"/>
    <w:rsid w:val="00B45500"/>
    <w:rsid w:val="00B565BE"/>
    <w:rsid w:val="00B6759B"/>
    <w:rsid w:val="00B7498F"/>
    <w:rsid w:val="00B80EAD"/>
    <w:rsid w:val="00B84B8B"/>
    <w:rsid w:val="00B851D4"/>
    <w:rsid w:val="00B868FC"/>
    <w:rsid w:val="00B8749B"/>
    <w:rsid w:val="00B90EF5"/>
    <w:rsid w:val="00B94435"/>
    <w:rsid w:val="00B95072"/>
    <w:rsid w:val="00B97DF5"/>
    <w:rsid w:val="00BA125F"/>
    <w:rsid w:val="00BA333B"/>
    <w:rsid w:val="00BA3D1A"/>
    <w:rsid w:val="00BA4148"/>
    <w:rsid w:val="00BB26CD"/>
    <w:rsid w:val="00BB3FD3"/>
    <w:rsid w:val="00BB42E4"/>
    <w:rsid w:val="00BC2E0B"/>
    <w:rsid w:val="00BC5842"/>
    <w:rsid w:val="00BD0505"/>
    <w:rsid w:val="00BD0BEA"/>
    <w:rsid w:val="00BD17C6"/>
    <w:rsid w:val="00BD391A"/>
    <w:rsid w:val="00BD43B0"/>
    <w:rsid w:val="00BD537E"/>
    <w:rsid w:val="00BE52C8"/>
    <w:rsid w:val="00BF099B"/>
    <w:rsid w:val="00BF277D"/>
    <w:rsid w:val="00BF4577"/>
    <w:rsid w:val="00BF459E"/>
    <w:rsid w:val="00BF77D2"/>
    <w:rsid w:val="00BF7F42"/>
    <w:rsid w:val="00C0028A"/>
    <w:rsid w:val="00C00672"/>
    <w:rsid w:val="00C0067E"/>
    <w:rsid w:val="00C07239"/>
    <w:rsid w:val="00C15513"/>
    <w:rsid w:val="00C259BB"/>
    <w:rsid w:val="00C311E0"/>
    <w:rsid w:val="00C32199"/>
    <w:rsid w:val="00C32E27"/>
    <w:rsid w:val="00C362EF"/>
    <w:rsid w:val="00C364B1"/>
    <w:rsid w:val="00C3790D"/>
    <w:rsid w:val="00C37E4F"/>
    <w:rsid w:val="00C46A02"/>
    <w:rsid w:val="00C47D87"/>
    <w:rsid w:val="00C52866"/>
    <w:rsid w:val="00C57DC3"/>
    <w:rsid w:val="00C627F9"/>
    <w:rsid w:val="00C6584D"/>
    <w:rsid w:val="00C71E40"/>
    <w:rsid w:val="00C73EB8"/>
    <w:rsid w:val="00C74CC2"/>
    <w:rsid w:val="00C762FF"/>
    <w:rsid w:val="00C84BB5"/>
    <w:rsid w:val="00C85AA1"/>
    <w:rsid w:val="00C86327"/>
    <w:rsid w:val="00C86613"/>
    <w:rsid w:val="00C87E7F"/>
    <w:rsid w:val="00C91CB5"/>
    <w:rsid w:val="00C929E0"/>
    <w:rsid w:val="00C95171"/>
    <w:rsid w:val="00CB367D"/>
    <w:rsid w:val="00CB4E5A"/>
    <w:rsid w:val="00CB7927"/>
    <w:rsid w:val="00CC34D6"/>
    <w:rsid w:val="00CC3C14"/>
    <w:rsid w:val="00CC4BE9"/>
    <w:rsid w:val="00CC54A0"/>
    <w:rsid w:val="00CC73D7"/>
    <w:rsid w:val="00CD02AE"/>
    <w:rsid w:val="00CD49B3"/>
    <w:rsid w:val="00CE35F1"/>
    <w:rsid w:val="00CE4578"/>
    <w:rsid w:val="00CE77C3"/>
    <w:rsid w:val="00CF0AD7"/>
    <w:rsid w:val="00CF0BE1"/>
    <w:rsid w:val="00CF63FD"/>
    <w:rsid w:val="00CF70F7"/>
    <w:rsid w:val="00D00DA9"/>
    <w:rsid w:val="00D1121F"/>
    <w:rsid w:val="00D13972"/>
    <w:rsid w:val="00D215AA"/>
    <w:rsid w:val="00D248E4"/>
    <w:rsid w:val="00D2513C"/>
    <w:rsid w:val="00D36004"/>
    <w:rsid w:val="00D3785F"/>
    <w:rsid w:val="00D52A14"/>
    <w:rsid w:val="00D52DD4"/>
    <w:rsid w:val="00D54C6E"/>
    <w:rsid w:val="00D70BDC"/>
    <w:rsid w:val="00D73CC4"/>
    <w:rsid w:val="00D74599"/>
    <w:rsid w:val="00D7587C"/>
    <w:rsid w:val="00D8122E"/>
    <w:rsid w:val="00D83D92"/>
    <w:rsid w:val="00D9101D"/>
    <w:rsid w:val="00D97B7A"/>
    <w:rsid w:val="00DA0469"/>
    <w:rsid w:val="00DA0F7D"/>
    <w:rsid w:val="00DA1447"/>
    <w:rsid w:val="00DA66C0"/>
    <w:rsid w:val="00DA734B"/>
    <w:rsid w:val="00DA7C37"/>
    <w:rsid w:val="00DB41FE"/>
    <w:rsid w:val="00DB5D58"/>
    <w:rsid w:val="00DC64DE"/>
    <w:rsid w:val="00DC71D5"/>
    <w:rsid w:val="00DD13B7"/>
    <w:rsid w:val="00DD28EE"/>
    <w:rsid w:val="00DD529C"/>
    <w:rsid w:val="00DE382D"/>
    <w:rsid w:val="00DE51DD"/>
    <w:rsid w:val="00DF0E75"/>
    <w:rsid w:val="00DF3B0C"/>
    <w:rsid w:val="00DF5A9D"/>
    <w:rsid w:val="00DF6F65"/>
    <w:rsid w:val="00E0185F"/>
    <w:rsid w:val="00E05AB1"/>
    <w:rsid w:val="00E05F8D"/>
    <w:rsid w:val="00E06B49"/>
    <w:rsid w:val="00E14984"/>
    <w:rsid w:val="00E2217D"/>
    <w:rsid w:val="00E22A25"/>
    <w:rsid w:val="00E27E2F"/>
    <w:rsid w:val="00E33111"/>
    <w:rsid w:val="00E413F2"/>
    <w:rsid w:val="00E464C6"/>
    <w:rsid w:val="00E520B9"/>
    <w:rsid w:val="00E54805"/>
    <w:rsid w:val="00E560F1"/>
    <w:rsid w:val="00E63002"/>
    <w:rsid w:val="00E63E9B"/>
    <w:rsid w:val="00E66739"/>
    <w:rsid w:val="00E7027E"/>
    <w:rsid w:val="00E721F1"/>
    <w:rsid w:val="00E74B3F"/>
    <w:rsid w:val="00E75337"/>
    <w:rsid w:val="00E81D85"/>
    <w:rsid w:val="00E833BE"/>
    <w:rsid w:val="00E84088"/>
    <w:rsid w:val="00E8497A"/>
    <w:rsid w:val="00E8567D"/>
    <w:rsid w:val="00E8793F"/>
    <w:rsid w:val="00E87B69"/>
    <w:rsid w:val="00E92319"/>
    <w:rsid w:val="00EA316A"/>
    <w:rsid w:val="00EA5DE4"/>
    <w:rsid w:val="00ED4364"/>
    <w:rsid w:val="00ED58AB"/>
    <w:rsid w:val="00EE067B"/>
    <w:rsid w:val="00EE0CA1"/>
    <w:rsid w:val="00EE6008"/>
    <w:rsid w:val="00F0326D"/>
    <w:rsid w:val="00F10A3D"/>
    <w:rsid w:val="00F12229"/>
    <w:rsid w:val="00F26967"/>
    <w:rsid w:val="00F31154"/>
    <w:rsid w:val="00F333CC"/>
    <w:rsid w:val="00F34F90"/>
    <w:rsid w:val="00F36C08"/>
    <w:rsid w:val="00F4088E"/>
    <w:rsid w:val="00F411B6"/>
    <w:rsid w:val="00F41D13"/>
    <w:rsid w:val="00F425ED"/>
    <w:rsid w:val="00F63A74"/>
    <w:rsid w:val="00F65AC4"/>
    <w:rsid w:val="00F7213E"/>
    <w:rsid w:val="00F825E5"/>
    <w:rsid w:val="00F837F4"/>
    <w:rsid w:val="00F84001"/>
    <w:rsid w:val="00F84EFA"/>
    <w:rsid w:val="00F851CB"/>
    <w:rsid w:val="00F8792F"/>
    <w:rsid w:val="00F93BF4"/>
    <w:rsid w:val="00F9462C"/>
    <w:rsid w:val="00FA364E"/>
    <w:rsid w:val="00FA533F"/>
    <w:rsid w:val="00FA77A3"/>
    <w:rsid w:val="00FC59C4"/>
    <w:rsid w:val="00FC5FB5"/>
    <w:rsid w:val="00FD04C7"/>
    <w:rsid w:val="00FD4E4C"/>
    <w:rsid w:val="00FD53F2"/>
    <w:rsid w:val="00FE1289"/>
    <w:rsid w:val="00FE5228"/>
    <w:rsid w:val="00FE6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1659E3"/>
    <w:pPr>
      <w:keepNext/>
      <w:keepLines/>
      <w:spacing w:before="480"/>
      <w:ind w:left="1134" w:hanging="1134"/>
      <w:outlineLvl w:val="0"/>
    </w:pPr>
    <w:rPr>
      <w:b/>
      <w:sz w:val="28"/>
    </w:rPr>
  </w:style>
  <w:style w:type="paragraph" w:styleId="Heading2">
    <w:name w:val="heading 2"/>
    <w:basedOn w:val="Heading1"/>
    <w:next w:val="Normal"/>
    <w:link w:val="Heading2Char"/>
    <w:uiPriority w:val="99"/>
    <w:qFormat/>
    <w:rsid w:val="00734D57"/>
    <w:pPr>
      <w:spacing w:before="360"/>
      <w:outlineLvl w:val="1"/>
    </w:pPr>
    <w:rPr>
      <w:sz w:val="26"/>
    </w:rPr>
  </w:style>
  <w:style w:type="paragraph" w:styleId="Heading3">
    <w:name w:val="heading 3"/>
    <w:basedOn w:val="Heading1"/>
    <w:next w:val="Normal"/>
    <w:link w:val="Heading3Char"/>
    <w:uiPriority w:val="99"/>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uiPriority w:val="99"/>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uiPriority w:val="99"/>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uiPriority w:val="99"/>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uiPriority w:val="99"/>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uiPriority w:val="99"/>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uiPriority w:val="99"/>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uiPriority w:val="99"/>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uiPriority w:val="99"/>
    <w:rsid w:val="00B026CB"/>
    <w:pPr>
      <w:tabs>
        <w:tab w:val="clear" w:pos="1134"/>
        <w:tab w:val="clear" w:pos="1871"/>
        <w:tab w:val="clear" w:pos="2268"/>
        <w:tab w:val="right" w:pos="9781"/>
      </w:tabs>
    </w:pPr>
    <w:rPr>
      <w:b/>
    </w:rPr>
  </w:style>
  <w:style w:type="paragraph" w:styleId="TOC1">
    <w:name w:val="toc 1"/>
    <w:basedOn w:val="Normal"/>
    <w:uiPriority w:val="39"/>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uiPriority w:val="39"/>
    <w:rsid w:val="00B026CB"/>
  </w:style>
  <w:style w:type="paragraph" w:styleId="TOC3">
    <w:name w:val="toc 3"/>
    <w:basedOn w:val="TOC2"/>
    <w:uiPriority w:val="39"/>
    <w:rsid w:val="00B026CB"/>
  </w:style>
  <w:style w:type="paragraph" w:styleId="TOC4">
    <w:name w:val="toc 4"/>
    <w:basedOn w:val="TOC3"/>
    <w:uiPriority w:val="39"/>
    <w:rsid w:val="00B026CB"/>
  </w:style>
  <w:style w:type="paragraph" w:styleId="TOC5">
    <w:name w:val="toc 5"/>
    <w:basedOn w:val="TOC4"/>
    <w:uiPriority w:val="39"/>
    <w:rsid w:val="00B026CB"/>
  </w:style>
  <w:style w:type="paragraph" w:styleId="TOC6">
    <w:name w:val="toc 6"/>
    <w:basedOn w:val="TOC4"/>
    <w:uiPriority w:val="39"/>
    <w:rsid w:val="00B026CB"/>
  </w:style>
  <w:style w:type="paragraph" w:styleId="TOC7">
    <w:name w:val="toc 7"/>
    <w:basedOn w:val="TOC4"/>
    <w:uiPriority w:val="39"/>
    <w:rsid w:val="00B026CB"/>
  </w:style>
  <w:style w:type="paragraph" w:styleId="TOC8">
    <w:name w:val="toc 8"/>
    <w:basedOn w:val="TOC4"/>
    <w:uiPriority w:val="39"/>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uiPriority w:val="99"/>
    <w:rsid w:val="004A3899"/>
    <w:pPr>
      <w:keepNext/>
      <w:spacing w:before="360"/>
    </w:pPr>
    <w:rPr>
      <w:rFonts w:ascii="Times" w:hAnsi="Times"/>
      <w:b/>
    </w:rPr>
  </w:style>
  <w:style w:type="paragraph" w:customStyle="1" w:styleId="Figure">
    <w:name w:val="Figure"/>
    <w:basedOn w:val="Normal"/>
    <w:next w:val="Figuretitle"/>
    <w:uiPriority w:val="99"/>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uiPriority w:val="99"/>
    <w:semiHidden/>
    <w:rsid w:val="00B026CB"/>
    <w:rPr>
      <w:rFonts w:ascii="Tahoma" w:hAnsi="Tahoma" w:cs="Tahoma"/>
      <w:sz w:val="16"/>
      <w:szCs w:val="16"/>
    </w:rPr>
  </w:style>
  <w:style w:type="character" w:customStyle="1" w:styleId="BalloonTextChar">
    <w:name w:val="Balloon Text Char"/>
    <w:basedOn w:val="DefaultParagraphFont"/>
    <w:link w:val="BalloonText"/>
    <w:uiPriority w:val="99"/>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uiPriority w:val="99"/>
    <w:rsid w:val="00BE2E70"/>
    <w:rPr>
      <w:color w:val="0000FF"/>
      <w:u w:val="single"/>
    </w:rPr>
  </w:style>
  <w:style w:type="paragraph" w:customStyle="1" w:styleId="Normalaftertitle0">
    <w:name w:val="Normal_after_title"/>
    <w:basedOn w:val="Normal"/>
    <w:next w:val="Normal"/>
    <w:uiPriority w:val="99"/>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uiPriority w:val="99"/>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uiPriority w:val="99"/>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F0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1659E3"/>
    <w:pPr>
      <w:keepNext/>
      <w:keepLines/>
      <w:spacing w:before="480"/>
      <w:ind w:left="1134" w:hanging="1134"/>
      <w:outlineLvl w:val="0"/>
    </w:pPr>
    <w:rPr>
      <w:b/>
      <w:sz w:val="28"/>
    </w:rPr>
  </w:style>
  <w:style w:type="paragraph" w:styleId="Heading2">
    <w:name w:val="heading 2"/>
    <w:basedOn w:val="Heading1"/>
    <w:next w:val="Normal"/>
    <w:link w:val="Heading2Char"/>
    <w:uiPriority w:val="99"/>
    <w:qFormat/>
    <w:rsid w:val="00734D57"/>
    <w:pPr>
      <w:spacing w:before="360"/>
      <w:outlineLvl w:val="1"/>
    </w:pPr>
    <w:rPr>
      <w:sz w:val="26"/>
    </w:rPr>
  </w:style>
  <w:style w:type="paragraph" w:styleId="Heading3">
    <w:name w:val="heading 3"/>
    <w:basedOn w:val="Heading1"/>
    <w:next w:val="Normal"/>
    <w:link w:val="Heading3Char"/>
    <w:uiPriority w:val="99"/>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uiPriority w:val="99"/>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uiPriority w:val="99"/>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uiPriority w:val="99"/>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uiPriority w:val="99"/>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uiPriority w:val="99"/>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uiPriority w:val="99"/>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uiPriority w:val="99"/>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uiPriority w:val="99"/>
    <w:rsid w:val="00B026CB"/>
    <w:pPr>
      <w:tabs>
        <w:tab w:val="clear" w:pos="1134"/>
        <w:tab w:val="clear" w:pos="1871"/>
        <w:tab w:val="clear" w:pos="2268"/>
        <w:tab w:val="right" w:pos="9781"/>
      </w:tabs>
    </w:pPr>
    <w:rPr>
      <w:b/>
    </w:rPr>
  </w:style>
  <w:style w:type="paragraph" w:styleId="TOC1">
    <w:name w:val="toc 1"/>
    <w:basedOn w:val="Normal"/>
    <w:uiPriority w:val="39"/>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uiPriority w:val="39"/>
    <w:rsid w:val="00B026CB"/>
  </w:style>
  <w:style w:type="paragraph" w:styleId="TOC3">
    <w:name w:val="toc 3"/>
    <w:basedOn w:val="TOC2"/>
    <w:uiPriority w:val="39"/>
    <w:rsid w:val="00B026CB"/>
  </w:style>
  <w:style w:type="paragraph" w:styleId="TOC4">
    <w:name w:val="toc 4"/>
    <w:basedOn w:val="TOC3"/>
    <w:uiPriority w:val="39"/>
    <w:rsid w:val="00B026CB"/>
  </w:style>
  <w:style w:type="paragraph" w:styleId="TOC5">
    <w:name w:val="toc 5"/>
    <w:basedOn w:val="TOC4"/>
    <w:uiPriority w:val="39"/>
    <w:rsid w:val="00B026CB"/>
  </w:style>
  <w:style w:type="paragraph" w:styleId="TOC6">
    <w:name w:val="toc 6"/>
    <w:basedOn w:val="TOC4"/>
    <w:uiPriority w:val="39"/>
    <w:rsid w:val="00B026CB"/>
  </w:style>
  <w:style w:type="paragraph" w:styleId="TOC7">
    <w:name w:val="toc 7"/>
    <w:basedOn w:val="TOC4"/>
    <w:uiPriority w:val="39"/>
    <w:rsid w:val="00B026CB"/>
  </w:style>
  <w:style w:type="paragraph" w:styleId="TOC8">
    <w:name w:val="toc 8"/>
    <w:basedOn w:val="TOC4"/>
    <w:uiPriority w:val="39"/>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uiPriority w:val="99"/>
    <w:rsid w:val="004A3899"/>
    <w:pPr>
      <w:keepNext/>
      <w:spacing w:before="360"/>
    </w:pPr>
    <w:rPr>
      <w:rFonts w:ascii="Times" w:hAnsi="Times"/>
      <w:b/>
    </w:rPr>
  </w:style>
  <w:style w:type="paragraph" w:customStyle="1" w:styleId="Figure">
    <w:name w:val="Figure"/>
    <w:basedOn w:val="Normal"/>
    <w:next w:val="Figuretitle"/>
    <w:uiPriority w:val="99"/>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uiPriority w:val="99"/>
    <w:semiHidden/>
    <w:rsid w:val="00B026CB"/>
    <w:rPr>
      <w:rFonts w:ascii="Tahoma" w:hAnsi="Tahoma" w:cs="Tahoma"/>
      <w:sz w:val="16"/>
      <w:szCs w:val="16"/>
    </w:rPr>
  </w:style>
  <w:style w:type="character" w:customStyle="1" w:styleId="BalloonTextChar">
    <w:name w:val="Balloon Text Char"/>
    <w:basedOn w:val="DefaultParagraphFont"/>
    <w:link w:val="BalloonText"/>
    <w:uiPriority w:val="99"/>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uiPriority w:val="99"/>
    <w:rsid w:val="00BE2E70"/>
    <w:rPr>
      <w:color w:val="0000FF"/>
      <w:u w:val="single"/>
    </w:rPr>
  </w:style>
  <w:style w:type="paragraph" w:customStyle="1" w:styleId="Normalaftertitle0">
    <w:name w:val="Normal_after_title"/>
    <w:basedOn w:val="Normal"/>
    <w:next w:val="Normal"/>
    <w:uiPriority w:val="99"/>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uiPriority w:val="99"/>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uiPriority w:val="99"/>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F0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C%20-%20ITU\PC_WTSA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B6B6F-2C47-4648-A218-D3F9FE0B48DD}">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32a1a8c5-2265-4ebc-b7a0-2071e2c5c9bb"/>
    <ds:schemaRef ds:uri="http://purl.org/dc/dcmitype/"/>
    <ds:schemaRef ds:uri="http://schemas.microsoft.com/office/2006/metadata/properties"/>
    <ds:schemaRef ds:uri="http://www.w3.org/XML/1998/namespace"/>
    <ds:schemaRef ds:uri="996b2e75-67fd-4955-a3b0-5ab9934cb50b"/>
    <ds:schemaRef ds:uri="http://purl.org/dc/terms/"/>
  </ds:schemaRefs>
</ds:datastoreItem>
</file>

<file path=customXml/itemProps2.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3.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4.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1421BF-F7BF-4185-84DC-37F9918E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PC_WTSA12.dotx</Template>
  <TotalTime>3</TotalTime>
  <Pages>8</Pages>
  <Words>2769</Words>
  <Characters>521</Characters>
  <Application>Microsoft Office Word</Application>
  <DocSecurity>0</DocSecurity>
  <Lines>4</Lines>
  <Paragraphs>6</Paragraphs>
  <ScaleCrop>false</ScaleCrop>
  <HeadingPairs>
    <vt:vector size="2" baseType="variant">
      <vt:variant>
        <vt:lpstr>Title</vt:lpstr>
      </vt:variant>
      <vt:variant>
        <vt:i4>1</vt:i4>
      </vt:variant>
    </vt:vector>
  </HeadingPairs>
  <TitlesOfParts>
    <vt:vector size="1" baseType="lpstr">
      <vt:lpstr>会议录</vt:lpstr>
    </vt:vector>
  </TitlesOfParts>
  <Company>ITU</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会议录</dc:title>
  <dc:creator>L. CIAVALINO</dc:creator>
  <cp:lastModifiedBy>L. CIAVALINO</cp:lastModifiedBy>
  <cp:revision>4</cp:revision>
  <cp:lastPrinted>2013-03-27T17:13:00Z</cp:lastPrinted>
  <dcterms:created xsi:type="dcterms:W3CDTF">2013-04-18T09:35:00Z</dcterms:created>
  <dcterms:modified xsi:type="dcterms:W3CDTF">2013-04-18T09:38:00Z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WTSA-12</vt:lpwstr>
  </property>
</Properties>
</file>