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090FFD" w:rsidP="00B85D56">
            <w:pPr>
              <w:tabs>
                <w:tab w:val="right" w:pos="9639"/>
              </w:tabs>
              <w:jc w:val="left"/>
              <w:rPr>
                <w:rFonts w:ascii="Arial" w:hAnsi="Arial"/>
                <w:b/>
                <w:bCs/>
                <w:sz w:val="36"/>
                <w:lang w:val="fr-CH"/>
              </w:rPr>
            </w:pPr>
            <w:r w:rsidRPr="000D1854">
              <w:rPr>
                <w:rFonts w:ascii="Arial" w:hAnsi="Arial" w:cs="Arial"/>
                <w:b/>
                <w:sz w:val="36"/>
                <w:szCs w:val="36"/>
                <w:lang w:val="fr-CH"/>
              </w:rPr>
              <w:t xml:space="preserve">Résolution </w:t>
            </w:r>
            <w:r w:rsidRPr="000D1854">
              <w:rPr>
                <w:rStyle w:val="href"/>
                <w:rFonts w:ascii="Arial" w:hAnsi="Arial" w:cs="Arial"/>
                <w:b/>
                <w:sz w:val="36"/>
                <w:szCs w:val="36"/>
                <w:lang w:val="fr-CH"/>
              </w:rPr>
              <w:t xml:space="preserve">77 – </w:t>
            </w:r>
            <w:r w:rsidRPr="000D1854">
              <w:rPr>
                <w:rFonts w:ascii="Arial" w:hAnsi="Arial" w:cs="Arial"/>
                <w:b/>
                <w:sz w:val="36"/>
                <w:szCs w:val="36"/>
              </w:rPr>
              <w:t xml:space="preserve">Travaux de normalisation au sein du Secteur de la normalisation </w:t>
            </w:r>
            <w:r>
              <w:rPr>
                <w:rFonts w:ascii="Arial" w:hAnsi="Arial" w:cs="Arial"/>
                <w:b/>
                <w:sz w:val="36"/>
                <w:szCs w:val="36"/>
              </w:rPr>
              <w:br/>
            </w:r>
            <w:r w:rsidRPr="000D1854">
              <w:rPr>
                <w:rFonts w:ascii="Arial" w:hAnsi="Arial" w:cs="Arial"/>
                <w:b/>
                <w:sz w:val="36"/>
                <w:szCs w:val="36"/>
              </w:rPr>
              <w:t xml:space="preserve">des télécommunications de l'UIT sur </w:t>
            </w:r>
            <w:r>
              <w:rPr>
                <w:rFonts w:ascii="Arial" w:hAnsi="Arial" w:cs="Arial"/>
                <w:b/>
                <w:sz w:val="36"/>
                <w:szCs w:val="36"/>
              </w:rPr>
              <w:br/>
            </w:r>
            <w:r w:rsidRPr="000D1854">
              <w:rPr>
                <w:rFonts w:ascii="Arial" w:hAnsi="Arial" w:cs="Arial"/>
                <w:b/>
                <w:sz w:val="36"/>
                <w:szCs w:val="36"/>
              </w:rPr>
              <w:t>les réseaux pilotés par logiciel</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090FFD" w:rsidRPr="00090FFD" w:rsidRDefault="00090FFD" w:rsidP="00090FFD">
      <w:pPr>
        <w:keepNext/>
        <w:keepLines/>
        <w:tabs>
          <w:tab w:val="clear" w:pos="794"/>
          <w:tab w:val="clear" w:pos="1191"/>
          <w:tab w:val="clear" w:pos="1588"/>
          <w:tab w:val="clear" w:pos="1985"/>
        </w:tabs>
        <w:spacing w:before="0" w:line="280" w:lineRule="exact"/>
        <w:jc w:val="center"/>
        <w:rPr>
          <w:caps/>
          <w:sz w:val="28"/>
          <w:lang w:val="fr-CH"/>
        </w:rPr>
      </w:pPr>
      <w:r w:rsidRPr="00090FFD">
        <w:rPr>
          <w:caps/>
          <w:sz w:val="28"/>
          <w:lang w:val="fr-CH"/>
        </w:rPr>
        <w:t>RÉSOLUTION 77 (</w:t>
      </w:r>
      <w:r w:rsidRPr="00090FFD">
        <w:rPr>
          <w:sz w:val="28"/>
          <w:lang w:val="fr-CH"/>
        </w:rPr>
        <w:t>Dubaï, 2012</w:t>
      </w:r>
      <w:r w:rsidRPr="00090FFD">
        <w:rPr>
          <w:caps/>
          <w:sz w:val="28"/>
          <w:lang w:val="fr-CH"/>
        </w:rPr>
        <w:t>)</w:t>
      </w:r>
    </w:p>
    <w:p w:rsidR="00090FFD" w:rsidRPr="00090FFD" w:rsidRDefault="00090FFD" w:rsidP="00090FFD">
      <w:pPr>
        <w:keepNext/>
        <w:keepLines/>
        <w:spacing w:before="360"/>
        <w:jc w:val="center"/>
        <w:rPr>
          <w:b/>
          <w:sz w:val="28"/>
        </w:rPr>
      </w:pPr>
      <w:r w:rsidRPr="00090FFD">
        <w:rPr>
          <w:b/>
          <w:sz w:val="28"/>
        </w:rPr>
        <w:t>Travaux de normalisation au sein du Secteur de la normalisation des télécommunications de l'UIT sur les réseaux pilotés par logiciel</w:t>
      </w:r>
    </w:p>
    <w:p w:rsidR="00090FFD" w:rsidRPr="00090FFD" w:rsidRDefault="00090FFD" w:rsidP="00090FFD">
      <w:pPr>
        <w:keepNext/>
        <w:keepLines/>
        <w:tabs>
          <w:tab w:val="clear" w:pos="794"/>
          <w:tab w:val="clear" w:pos="1191"/>
          <w:tab w:val="clear" w:pos="1588"/>
          <w:tab w:val="clear" w:pos="1985"/>
        </w:tabs>
        <w:spacing w:before="160" w:line="280" w:lineRule="exact"/>
        <w:jc w:val="center"/>
      </w:pPr>
      <w:r w:rsidRPr="00090FFD">
        <w:rPr>
          <w:i/>
          <w:sz w:val="22"/>
        </w:rPr>
        <w:t>(Dubaï, 2012)</w:t>
      </w:r>
    </w:p>
    <w:p w:rsidR="00090FFD" w:rsidRPr="00090FFD" w:rsidRDefault="00090FFD" w:rsidP="00090FFD">
      <w:pPr>
        <w:tabs>
          <w:tab w:val="clear" w:pos="794"/>
          <w:tab w:val="clear" w:pos="1191"/>
          <w:tab w:val="clear" w:pos="1588"/>
          <w:tab w:val="clear" w:pos="1985"/>
          <w:tab w:val="left" w:pos="1134"/>
          <w:tab w:val="left" w:pos="1871"/>
          <w:tab w:val="left" w:pos="2268"/>
        </w:tabs>
        <w:spacing w:before="280"/>
        <w:rPr>
          <w:sz w:val="22"/>
          <w:lang w:val="fr-CH"/>
        </w:rPr>
      </w:pPr>
      <w:r w:rsidRPr="00090FFD">
        <w:rPr>
          <w:sz w:val="22"/>
          <w:lang w:val="fr-CH"/>
        </w:rPr>
        <w:t>L'Assemblée mondiale de normalisation des télécommunications (Dubaï, 2012),</w:t>
      </w:r>
    </w:p>
    <w:p w:rsidR="00090FFD" w:rsidRPr="00090FFD" w:rsidRDefault="00090FFD" w:rsidP="00090FFD">
      <w:pPr>
        <w:keepNext/>
        <w:keepLines/>
        <w:spacing w:before="240" w:line="280" w:lineRule="exact"/>
        <w:ind w:left="794"/>
        <w:jc w:val="left"/>
        <w:rPr>
          <w:i/>
          <w:sz w:val="22"/>
        </w:rPr>
      </w:pPr>
      <w:r w:rsidRPr="00090FFD">
        <w:rPr>
          <w:i/>
          <w:sz w:val="22"/>
        </w:rPr>
        <w:t>considérant</w:t>
      </w:r>
    </w:p>
    <w:p w:rsidR="00090FFD" w:rsidRPr="00090FFD" w:rsidRDefault="00090FFD" w:rsidP="00090FFD">
      <w:pPr>
        <w:spacing w:before="160" w:line="280" w:lineRule="exact"/>
        <w:rPr>
          <w:sz w:val="22"/>
        </w:rPr>
      </w:pPr>
      <w:r w:rsidRPr="00090FFD">
        <w:rPr>
          <w:i/>
          <w:iCs/>
          <w:sz w:val="22"/>
        </w:rPr>
        <w:t>a)</w:t>
      </w:r>
      <w:r w:rsidRPr="00090FFD">
        <w:rPr>
          <w:sz w:val="22"/>
        </w:rPr>
        <w:tab/>
        <w:t>que les réseaux pilotés par logiciel (SDN) vont profondément transformer le paysage du secteur des télécommunications et des technologies de l'information et de la communication (TIC) dans les décennies à venir;</w:t>
      </w:r>
    </w:p>
    <w:p w:rsidR="00090FFD" w:rsidRPr="00090FFD" w:rsidRDefault="00090FFD" w:rsidP="00090FFD">
      <w:pPr>
        <w:spacing w:before="160" w:line="280" w:lineRule="exact"/>
        <w:rPr>
          <w:sz w:val="22"/>
        </w:rPr>
      </w:pPr>
      <w:r w:rsidRPr="00090FFD">
        <w:rPr>
          <w:i/>
          <w:iCs/>
          <w:sz w:val="22"/>
        </w:rPr>
        <w:t>b)</w:t>
      </w:r>
      <w:r w:rsidRPr="00090FFD">
        <w:rPr>
          <w:sz w:val="22"/>
        </w:rPr>
        <w:tab/>
        <w:t>les nombreux avantages que les réseaux SDN peuvent apporter au secteur des télécommunications/TIC;</w:t>
      </w:r>
    </w:p>
    <w:p w:rsidR="00090FFD" w:rsidRPr="00090FFD" w:rsidRDefault="00090FFD" w:rsidP="00090FFD">
      <w:pPr>
        <w:spacing w:before="160" w:line="280" w:lineRule="exact"/>
        <w:rPr>
          <w:sz w:val="22"/>
        </w:rPr>
      </w:pPr>
      <w:r w:rsidRPr="00090FFD">
        <w:rPr>
          <w:i/>
          <w:iCs/>
          <w:sz w:val="22"/>
        </w:rPr>
        <w:t>c)</w:t>
      </w:r>
      <w:r w:rsidRPr="00090FFD">
        <w:rPr>
          <w:sz w:val="22"/>
        </w:rPr>
        <w:tab/>
        <w:t>qu'un grand nombre d'entreprises portent un intérêt croissant à l'utilisation des réseaux SDN dans le secteur des télécommunications/TIC;</w:t>
      </w:r>
    </w:p>
    <w:p w:rsidR="00090FFD" w:rsidRPr="00090FFD" w:rsidRDefault="00090FFD" w:rsidP="00090FFD">
      <w:pPr>
        <w:spacing w:before="160" w:line="280" w:lineRule="exact"/>
        <w:rPr>
          <w:sz w:val="22"/>
        </w:rPr>
      </w:pPr>
      <w:r w:rsidRPr="00090FFD">
        <w:rPr>
          <w:i/>
          <w:iCs/>
          <w:sz w:val="22"/>
        </w:rPr>
        <w:t>d)</w:t>
      </w:r>
      <w:r w:rsidRPr="00090FFD">
        <w:rPr>
          <w:sz w:val="22"/>
        </w:rPr>
        <w:tab/>
        <w:t>qu'une application générale des réseaux SDN nécessitera un système de normes applicables qui ne sont pas encore en place,</w:t>
      </w:r>
    </w:p>
    <w:p w:rsidR="00090FFD" w:rsidRPr="00090FFD" w:rsidRDefault="00090FFD" w:rsidP="00090FFD">
      <w:pPr>
        <w:keepNext/>
        <w:keepLines/>
        <w:spacing w:before="240" w:line="280" w:lineRule="exact"/>
        <w:ind w:left="794"/>
        <w:jc w:val="left"/>
        <w:rPr>
          <w:i/>
          <w:sz w:val="22"/>
        </w:rPr>
      </w:pPr>
      <w:r w:rsidRPr="00090FFD">
        <w:rPr>
          <w:i/>
          <w:sz w:val="22"/>
        </w:rPr>
        <w:t>notant</w:t>
      </w:r>
    </w:p>
    <w:p w:rsidR="00090FFD" w:rsidRPr="00090FFD" w:rsidRDefault="00090FFD" w:rsidP="00090FFD">
      <w:pPr>
        <w:spacing w:before="160" w:line="280" w:lineRule="exact"/>
        <w:rPr>
          <w:sz w:val="22"/>
        </w:rPr>
      </w:pPr>
      <w:r w:rsidRPr="00090FFD">
        <w:rPr>
          <w:i/>
          <w:iCs/>
          <w:sz w:val="22"/>
        </w:rPr>
        <w:t>a)</w:t>
      </w:r>
      <w:r w:rsidRPr="00090FFD">
        <w:rPr>
          <w:sz w:val="22"/>
        </w:rPr>
        <w:tab/>
        <w:t>que le Secteur de la normalisation des télécommunications (UIT</w:t>
      </w:r>
      <w:r w:rsidRPr="00090FFD">
        <w:rPr>
          <w:sz w:val="22"/>
        </w:rPr>
        <w:noBreakHyphen/>
        <w:t>T) devrait jouer un rôle de premier plan dans l'élaboration du système de normes applicables relatives aux réseaux SDN visé ci-dessus;</w:t>
      </w:r>
    </w:p>
    <w:p w:rsidR="00090FFD" w:rsidRPr="00090FFD" w:rsidRDefault="00090FFD" w:rsidP="00090FFD">
      <w:pPr>
        <w:spacing w:before="160" w:line="280" w:lineRule="exact"/>
        <w:rPr>
          <w:sz w:val="22"/>
        </w:rPr>
      </w:pPr>
      <w:r w:rsidRPr="00090FFD">
        <w:rPr>
          <w:i/>
          <w:iCs/>
          <w:sz w:val="22"/>
        </w:rPr>
        <w:t>b)</w:t>
      </w:r>
      <w:r w:rsidRPr="00090FFD">
        <w:rPr>
          <w:sz w:val="22"/>
        </w:rPr>
        <w:tab/>
        <w:t>qu'il conviendrait de créer un écosystème de normes ayant l'UIT</w:t>
      </w:r>
      <w:r w:rsidRPr="00090FFD">
        <w:rPr>
          <w:sz w:val="22"/>
        </w:rPr>
        <w:noBreakHyphen/>
        <w:t>T en son centre,</w:t>
      </w:r>
    </w:p>
    <w:p w:rsidR="00090FFD" w:rsidRPr="00090FFD" w:rsidRDefault="00090FFD" w:rsidP="00090FFD">
      <w:pPr>
        <w:keepNext/>
        <w:keepLines/>
        <w:spacing w:before="240" w:line="280" w:lineRule="exact"/>
        <w:ind w:left="794"/>
        <w:jc w:val="left"/>
        <w:rPr>
          <w:i/>
          <w:sz w:val="22"/>
        </w:rPr>
      </w:pPr>
      <w:r w:rsidRPr="00090FFD">
        <w:rPr>
          <w:i/>
          <w:sz w:val="22"/>
        </w:rPr>
        <w:t>reconnaissant</w:t>
      </w:r>
    </w:p>
    <w:p w:rsidR="00090FFD" w:rsidRPr="00090FFD" w:rsidRDefault="00090FFD" w:rsidP="00090FFD">
      <w:pPr>
        <w:spacing w:before="160" w:line="280" w:lineRule="exact"/>
        <w:rPr>
          <w:sz w:val="22"/>
        </w:rPr>
      </w:pPr>
      <w:r w:rsidRPr="00090FFD">
        <w:rPr>
          <w:i/>
          <w:iCs/>
          <w:sz w:val="22"/>
        </w:rPr>
        <w:t>a)</w:t>
      </w:r>
      <w:r w:rsidRPr="00090FFD">
        <w:rPr>
          <w:sz w:val="22"/>
        </w:rPr>
        <w:tab/>
        <w:t>que l'UIT</w:t>
      </w:r>
      <w:r w:rsidRPr="00090FFD">
        <w:rPr>
          <w:sz w:val="22"/>
        </w:rPr>
        <w:noBreakHyphen/>
        <w:t>T offre des avantages inégalés s</w:t>
      </w:r>
      <w:r w:rsidRPr="00090FFD">
        <w:rPr>
          <w:sz w:val="22"/>
          <w:lang w:val="fr-CH"/>
        </w:rPr>
        <w:t xml:space="preserve">'agissant des </w:t>
      </w:r>
      <w:r w:rsidRPr="00090FFD">
        <w:rPr>
          <w:sz w:val="22"/>
        </w:rPr>
        <w:t>normes relatives aux exigences et à l'architecture;</w:t>
      </w:r>
    </w:p>
    <w:p w:rsidR="00090FFD" w:rsidRPr="00090FFD" w:rsidRDefault="00090FFD" w:rsidP="00090FFD">
      <w:pPr>
        <w:spacing w:before="160" w:line="280" w:lineRule="exact"/>
        <w:rPr>
          <w:sz w:val="22"/>
        </w:rPr>
      </w:pPr>
      <w:r w:rsidRPr="00090FFD">
        <w:rPr>
          <w:i/>
          <w:iCs/>
          <w:sz w:val="22"/>
        </w:rPr>
        <w:t>b)</w:t>
      </w:r>
      <w:r w:rsidRPr="00090FFD">
        <w:rPr>
          <w:sz w:val="22"/>
        </w:rPr>
        <w:tab/>
        <w:t>qu'il faut en premier lieu constituer des bases solides s'agissant des normes relatives aux exigences et à l'architecture des réseaux SDN, afin que la série complète de normes puisse être élaborée en synergie avec l'ensemble du secteur;</w:t>
      </w:r>
    </w:p>
    <w:p w:rsidR="00090FFD" w:rsidRPr="00090FFD" w:rsidRDefault="00090FFD" w:rsidP="00090FFD">
      <w:pPr>
        <w:spacing w:before="160" w:line="280" w:lineRule="exact"/>
        <w:rPr>
          <w:sz w:val="22"/>
        </w:rPr>
      </w:pPr>
      <w:r w:rsidRPr="00090FFD">
        <w:rPr>
          <w:i/>
          <w:iCs/>
          <w:sz w:val="22"/>
        </w:rPr>
        <w:t>c)</w:t>
      </w:r>
      <w:r w:rsidRPr="00090FFD">
        <w:rPr>
          <w:sz w:val="22"/>
        </w:rPr>
        <w:tab/>
        <w:t>que la Commission d'études 13 de l'UIT</w:t>
      </w:r>
      <w:r w:rsidRPr="00090FFD">
        <w:rPr>
          <w:sz w:val="22"/>
        </w:rPr>
        <w:noBreakHyphen/>
        <w:t>T participe à l'étude des réseaux SDN pour le développement des réseaux futurs et collabore avec les organisations de normalisation concernées,</w:t>
      </w:r>
    </w:p>
    <w:p w:rsidR="00090FFD" w:rsidRPr="00090FFD" w:rsidRDefault="00090FFD" w:rsidP="00090FFD">
      <w:pPr>
        <w:keepNext/>
        <w:keepLines/>
        <w:spacing w:before="240" w:line="280" w:lineRule="exact"/>
        <w:ind w:left="794"/>
        <w:jc w:val="left"/>
        <w:rPr>
          <w:i/>
          <w:sz w:val="22"/>
        </w:rPr>
      </w:pPr>
      <w:r w:rsidRPr="00090FFD">
        <w:rPr>
          <w:i/>
          <w:sz w:val="22"/>
        </w:rPr>
        <w:t>décide de charger la Commission d'études 13 de l'UIT</w:t>
      </w:r>
      <w:r w:rsidRPr="00090FFD">
        <w:rPr>
          <w:i/>
          <w:sz w:val="22"/>
        </w:rPr>
        <w:noBreakHyphen/>
        <w:t>T</w:t>
      </w:r>
    </w:p>
    <w:p w:rsidR="00090FFD" w:rsidRPr="00090FFD" w:rsidRDefault="00090FFD" w:rsidP="00090FFD">
      <w:pPr>
        <w:spacing w:before="160" w:line="280" w:lineRule="exact"/>
        <w:rPr>
          <w:sz w:val="22"/>
        </w:rPr>
      </w:pPr>
      <w:r w:rsidRPr="00090FFD">
        <w:rPr>
          <w:sz w:val="22"/>
        </w:rPr>
        <w:t>1</w:t>
      </w:r>
      <w:r w:rsidRPr="00090FFD">
        <w:rPr>
          <w:sz w:val="22"/>
        </w:rPr>
        <w:tab/>
        <w:t>de mettre en place les structures nécessaires au sein de la Commission d'études 13, en vue d'intensifier et d'accélérer les travaux sur l'architecture et les exigences relatives aux réseaux SDN, à partir de la première réunion que tiendra cette commission pendant la prochaine période d'études;</w:t>
      </w:r>
    </w:p>
    <w:p w:rsidR="00090FFD" w:rsidRPr="00090FFD" w:rsidRDefault="00090FFD" w:rsidP="00090FFD">
      <w:pPr>
        <w:spacing w:before="160" w:line="280" w:lineRule="exact"/>
        <w:rPr>
          <w:sz w:val="22"/>
        </w:rPr>
      </w:pPr>
      <w:r w:rsidRPr="00090FFD">
        <w:rPr>
          <w:sz w:val="22"/>
        </w:rPr>
        <w:t>2</w:t>
      </w:r>
      <w:r w:rsidRPr="00090FFD">
        <w:rPr>
          <w:sz w:val="22"/>
        </w:rPr>
        <w:tab/>
        <w:t>de soumettre au Groupe consultatif de la normalisation des télécommunications des recommandations sur la manière de traiter les questions qui ne relèvent pas du mandat de la Commission d'études 13,</w:t>
      </w:r>
    </w:p>
    <w:p w:rsidR="00090FFD" w:rsidRPr="00090FFD" w:rsidRDefault="00090FFD" w:rsidP="00090FFD">
      <w:pPr>
        <w:keepNext/>
        <w:keepLines/>
        <w:spacing w:before="240" w:line="280" w:lineRule="exact"/>
        <w:ind w:left="794"/>
        <w:jc w:val="left"/>
        <w:rPr>
          <w:i/>
          <w:sz w:val="22"/>
        </w:rPr>
      </w:pPr>
      <w:r w:rsidRPr="00090FFD">
        <w:rPr>
          <w:i/>
          <w:sz w:val="22"/>
        </w:rPr>
        <w:lastRenderedPageBreak/>
        <w:t>charge le Groupe consultatif de la normalisation des télécommunications</w:t>
      </w:r>
    </w:p>
    <w:p w:rsidR="00090FFD" w:rsidRPr="00090FFD" w:rsidRDefault="00090FFD" w:rsidP="00090FFD">
      <w:pPr>
        <w:keepNext/>
        <w:keepLines/>
        <w:spacing w:before="160" w:line="280" w:lineRule="exact"/>
        <w:rPr>
          <w:sz w:val="22"/>
        </w:rPr>
      </w:pPr>
      <w:r w:rsidRPr="00090FFD">
        <w:rPr>
          <w:sz w:val="22"/>
        </w:rPr>
        <w:t>d'examiner la question, de tenir compte des contributions de la Commission d'études 13 et des autres commissions d'études concernées et de prendre les mesures nécessaires, selon qu'il conviendra, en vue de déterminer les activités de normalisation sur les réseaux SDN à entreprendre à l'UIT</w:t>
      </w:r>
      <w:r w:rsidRPr="00090FFD">
        <w:rPr>
          <w:sz w:val="22"/>
        </w:rPr>
        <w:noBreakHyphen/>
        <w:t>T, à savoir:</w:t>
      </w:r>
    </w:p>
    <w:p w:rsidR="00090FFD" w:rsidRPr="00090FFD" w:rsidRDefault="00090FFD" w:rsidP="00090FFD">
      <w:pPr>
        <w:spacing w:before="80" w:line="280" w:lineRule="exact"/>
        <w:ind w:left="794" w:hanging="794"/>
        <w:rPr>
          <w:sz w:val="22"/>
        </w:rPr>
      </w:pPr>
      <w:r w:rsidRPr="00090FFD">
        <w:rPr>
          <w:sz w:val="22"/>
        </w:rPr>
        <w:t>•</w:t>
      </w:r>
      <w:r w:rsidRPr="00090FFD">
        <w:rPr>
          <w:sz w:val="22"/>
        </w:rPr>
        <w:tab/>
        <w:t>déterminer la ou les commissions d'études compétentes chargées de prendre des mesures de suivi et d'établir des modalités d'organisation appropriées concernant les réseaux SDN;</w:t>
      </w:r>
    </w:p>
    <w:p w:rsidR="00090FFD" w:rsidRPr="00090FFD" w:rsidRDefault="00090FFD" w:rsidP="00090FFD">
      <w:pPr>
        <w:spacing w:before="80" w:line="280" w:lineRule="exact"/>
        <w:ind w:left="794" w:hanging="794"/>
        <w:rPr>
          <w:sz w:val="22"/>
        </w:rPr>
      </w:pPr>
      <w:r w:rsidRPr="00090FFD">
        <w:rPr>
          <w:sz w:val="22"/>
        </w:rPr>
        <w:t>•</w:t>
      </w:r>
      <w:r w:rsidRPr="00090FFD">
        <w:rPr>
          <w:sz w:val="22"/>
        </w:rPr>
        <w:tab/>
        <w:t>coordonner les travaux sur les questions techniques liées aux réseaux SDN dans l'ensemble des commissions d'études, en fonction de leur domaine de compétence;</w:t>
      </w:r>
    </w:p>
    <w:p w:rsidR="00090FFD" w:rsidRPr="00090FFD" w:rsidRDefault="00090FFD" w:rsidP="00090FFD">
      <w:pPr>
        <w:spacing w:before="80" w:line="280" w:lineRule="exact"/>
        <w:ind w:left="794" w:hanging="794"/>
        <w:rPr>
          <w:sz w:val="22"/>
        </w:rPr>
      </w:pPr>
      <w:r w:rsidRPr="00090FFD">
        <w:rPr>
          <w:sz w:val="22"/>
        </w:rPr>
        <w:t>•</w:t>
      </w:r>
      <w:r w:rsidRPr="00090FFD">
        <w:rPr>
          <w:sz w:val="22"/>
        </w:rPr>
        <w:tab/>
        <w:t>promouvoir la collaboration avec d'autres organisations et forums de normalisation s'occupant des réseaux SDN;</w:t>
      </w:r>
    </w:p>
    <w:p w:rsidR="00090FFD" w:rsidRPr="00090FFD" w:rsidRDefault="00090FFD" w:rsidP="00090FFD">
      <w:pPr>
        <w:spacing w:before="80" w:line="280" w:lineRule="exact"/>
        <w:ind w:left="794" w:hanging="794"/>
        <w:rPr>
          <w:sz w:val="22"/>
        </w:rPr>
      </w:pPr>
      <w:r w:rsidRPr="00090FFD">
        <w:rPr>
          <w:sz w:val="22"/>
        </w:rPr>
        <w:t>•</w:t>
      </w:r>
      <w:r w:rsidRPr="00090FFD">
        <w:rPr>
          <w:sz w:val="22"/>
        </w:rPr>
        <w:tab/>
        <w:t>définir une vision stratégique claire concernant la normalisation des réseaux SDN et le rôle actif et important que l'UIT</w:t>
      </w:r>
      <w:r w:rsidRPr="00090FFD">
        <w:rPr>
          <w:sz w:val="22"/>
        </w:rPr>
        <w:noBreakHyphen/>
        <w:t>T devrait jouer,</w:t>
      </w:r>
    </w:p>
    <w:p w:rsidR="00090FFD" w:rsidRPr="00090FFD" w:rsidRDefault="00090FFD" w:rsidP="00090FFD">
      <w:pPr>
        <w:keepNext/>
        <w:keepLines/>
        <w:spacing w:before="240" w:line="280" w:lineRule="exact"/>
        <w:ind w:left="794"/>
        <w:jc w:val="left"/>
        <w:rPr>
          <w:i/>
          <w:sz w:val="22"/>
        </w:rPr>
      </w:pPr>
      <w:r w:rsidRPr="00090FFD">
        <w:rPr>
          <w:i/>
          <w:sz w:val="22"/>
        </w:rPr>
        <w:t>charge le Directeur du Bureau de la normalisation des télécommunications</w:t>
      </w:r>
    </w:p>
    <w:p w:rsidR="00090FFD" w:rsidRPr="00090FFD" w:rsidRDefault="00090FFD" w:rsidP="00090FFD">
      <w:pPr>
        <w:spacing w:before="160" w:line="280" w:lineRule="exact"/>
        <w:rPr>
          <w:sz w:val="22"/>
        </w:rPr>
      </w:pPr>
      <w:r w:rsidRPr="00090FFD">
        <w:rPr>
          <w:sz w:val="22"/>
        </w:rPr>
        <w:t>1</w:t>
      </w:r>
      <w:r w:rsidRPr="00090FFD">
        <w:rPr>
          <w:sz w:val="22"/>
        </w:rPr>
        <w:tab/>
        <w:t xml:space="preserve">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w:t>
      </w:r>
      <w:r w:rsidRPr="00090FFD">
        <w:rPr>
          <w:sz w:val="22"/>
          <w:lang w:val="fr-CH"/>
        </w:rPr>
        <w:t xml:space="preserve">(Rév. Dubaï, 2012) </w:t>
      </w:r>
      <w:r w:rsidRPr="00090FFD">
        <w:rPr>
          <w:sz w:val="22"/>
        </w:rPr>
        <w:t>de la présente Assemblée) et, en particulier, pour encourager la participation du secteur aux travaux de normalisation sur les réseaux SDN effectués à l'UIT</w:t>
      </w:r>
      <w:r w:rsidRPr="00090FFD">
        <w:rPr>
          <w:sz w:val="22"/>
        </w:rPr>
        <w:noBreakHyphen/>
        <w:t>T;</w:t>
      </w:r>
    </w:p>
    <w:p w:rsidR="00090FFD" w:rsidRPr="00090FFD" w:rsidRDefault="00090FFD" w:rsidP="00090FFD">
      <w:pPr>
        <w:spacing w:before="160" w:line="280" w:lineRule="exact"/>
        <w:rPr>
          <w:sz w:val="22"/>
        </w:rPr>
      </w:pPr>
      <w:r w:rsidRPr="00090FFD">
        <w:rPr>
          <w:sz w:val="22"/>
        </w:rPr>
        <w:t>2</w:t>
      </w:r>
      <w:r w:rsidRPr="00090FFD">
        <w:rPr>
          <w:sz w:val="22"/>
        </w:rPr>
        <w:tab/>
        <w:t>d'organiser un atelier sur les réseaux SDN en 2013, afin de promouvoir ces réseaux dans le cadre de l'UIT</w:t>
      </w:r>
      <w:r w:rsidRPr="00090FFD">
        <w:rPr>
          <w:sz w:val="22"/>
        </w:rPr>
        <w:noBreakHyphen/>
        <w:t>T,</w:t>
      </w:r>
    </w:p>
    <w:p w:rsidR="00090FFD" w:rsidRPr="00090FFD" w:rsidRDefault="00090FFD" w:rsidP="00090FFD">
      <w:pPr>
        <w:keepNext/>
        <w:keepLines/>
        <w:spacing w:before="240" w:line="280" w:lineRule="exact"/>
        <w:ind w:left="794"/>
        <w:jc w:val="left"/>
        <w:rPr>
          <w:i/>
          <w:sz w:val="22"/>
        </w:rPr>
      </w:pPr>
      <w:r w:rsidRPr="00090FFD">
        <w:rPr>
          <w:i/>
          <w:sz w:val="22"/>
        </w:rPr>
        <w:t>invite les Etats Membres, les Membres de Secteur, les Associés et les établissements universitaires</w:t>
      </w:r>
    </w:p>
    <w:p w:rsidR="00090FFD" w:rsidRPr="00090FFD" w:rsidRDefault="00090FFD" w:rsidP="00090FFD">
      <w:pPr>
        <w:spacing w:before="160" w:line="280" w:lineRule="exact"/>
        <w:rPr>
          <w:rFonts w:eastAsia="SimSun"/>
          <w:sz w:val="22"/>
          <w:lang w:val="fr-CH" w:eastAsia="zh-CN"/>
        </w:rPr>
      </w:pPr>
      <w:r w:rsidRPr="00090FFD">
        <w:rPr>
          <w:sz w:val="22"/>
        </w:rPr>
        <w:t>à soumettre des contributions pour faire avancer les travaux de normalisation sur les réseaux SDN à l'UIT</w:t>
      </w:r>
      <w:r w:rsidRPr="00090FFD">
        <w:rPr>
          <w:sz w:val="22"/>
        </w:rPr>
        <w:noBreakHyphen/>
        <w:t>T</w:t>
      </w:r>
      <w:r w:rsidRPr="00090FFD">
        <w:rPr>
          <w:rFonts w:eastAsia="SimSun"/>
          <w:sz w:val="22"/>
          <w:lang w:val="fr-CH" w:eastAsia="zh-CN"/>
        </w:rPr>
        <w:t>.</w:t>
      </w: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090FFD" w:rsidRPr="00090FFD" w:rsidRDefault="00090FFD" w:rsidP="00090FFD">
      <w:pPr>
        <w:spacing w:before="160" w:line="280" w:lineRule="exact"/>
        <w:rPr>
          <w:rFonts w:eastAsia="SimSun"/>
          <w:sz w:val="22"/>
          <w:lang w:val="fr-CH" w:eastAsia="zh-CN"/>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8A" w:rsidRDefault="00A51E8A">
      <w:r>
        <w:separator/>
      </w:r>
    </w:p>
  </w:endnote>
  <w:endnote w:type="continuationSeparator" w:id="0">
    <w:p w:rsidR="00A51E8A" w:rsidRDefault="00A51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C2329">
      <w:rPr>
        <w:b w:val="0"/>
        <w:lang w:val="en-US"/>
      </w:rPr>
      <w:fldChar w:fldCharType="begin"/>
    </w:r>
    <w:r>
      <w:rPr>
        <w:b w:val="0"/>
        <w:lang w:val="en-US"/>
      </w:rPr>
      <w:instrText xml:space="preserve"> PAGE  \* MERGEFORMAT </w:instrText>
    </w:r>
    <w:r w:rsidR="00FC2329">
      <w:rPr>
        <w:b w:val="0"/>
        <w:lang w:val="en-US"/>
      </w:rPr>
      <w:fldChar w:fldCharType="separate"/>
    </w:r>
    <w:r w:rsidR="00F51075">
      <w:rPr>
        <w:b w:val="0"/>
        <w:noProof/>
        <w:lang w:val="en-US"/>
      </w:rPr>
      <w:t>3</w:t>
    </w:r>
    <w:r w:rsidR="00FC2329">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C2329"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090FFD">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090FFD">
      <w:rPr>
        <w:lang w:val="fr-CH"/>
      </w:rPr>
      <w:t>77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090FFD">
      <w:rPr>
        <w:lang w:val="fr-CH"/>
      </w:rPr>
      <w:t>77</w:t>
    </w:r>
    <w:r w:rsidRPr="00415608">
      <w:rPr>
        <w:lang w:val="fr-CH"/>
      </w:rPr>
      <w:tab/>
    </w:r>
    <w:r w:rsidR="00FC2329">
      <w:rPr>
        <w:b w:val="0"/>
      </w:rPr>
      <w:fldChar w:fldCharType="begin"/>
    </w:r>
    <w:r w:rsidRPr="00415608">
      <w:rPr>
        <w:b w:val="0"/>
        <w:lang w:val="fr-CH"/>
      </w:rPr>
      <w:instrText xml:space="preserve"> PAGE  \* MERGEFORMAT </w:instrText>
    </w:r>
    <w:r w:rsidR="00FC2329">
      <w:rPr>
        <w:b w:val="0"/>
      </w:rPr>
      <w:fldChar w:fldCharType="separate"/>
    </w:r>
    <w:r w:rsidR="00090FFD">
      <w:rPr>
        <w:b w:val="0"/>
        <w:noProof/>
        <w:lang w:val="fr-CH"/>
      </w:rPr>
      <w:t>1</w:t>
    </w:r>
    <w:r w:rsidR="00FC2329">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8A" w:rsidRDefault="00A51E8A">
      <w:r>
        <w:t>____________________</w:t>
      </w:r>
    </w:p>
  </w:footnote>
  <w:footnote w:type="continuationSeparator" w:id="0">
    <w:p w:rsidR="00A51E8A" w:rsidRDefault="00A51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C2329">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C2329"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A51E8A"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90FFD"/>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B173B"/>
    <w:rsid w:val="009B27D0"/>
    <w:rsid w:val="009F107E"/>
    <w:rsid w:val="00A20553"/>
    <w:rsid w:val="00A25654"/>
    <w:rsid w:val="00A51E8A"/>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C2329"/>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090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9F4D2-AB79-468F-9A8F-19BD4F5C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5774</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2013-04-26T09:36:00Z</dcterms:created>
  <dcterms:modified xsi:type="dcterms:W3CDTF">2013-04-26T09:36:00Z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