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8968B6" w:rsidRPr="008968B6" w:rsidTr="005569CA">
        <w:trPr>
          <w:trHeight w:hRule="exact" w:val="1418"/>
        </w:trPr>
        <w:tc>
          <w:tcPr>
            <w:tcW w:w="1428" w:type="dxa"/>
            <w:gridSpan w:val="2"/>
          </w:tcPr>
          <w:p w:rsidR="008968B6" w:rsidRPr="008968B6" w:rsidRDefault="00720F3C" w:rsidP="008968B6">
            <w:pPr>
              <w:spacing w:before="120" w:line="240" w:lineRule="auto"/>
              <w:rPr>
                <w:sz w:val="24"/>
                <w:lang w:val="en-GB"/>
              </w:rPr>
            </w:pPr>
            <w:bookmarkStart w:id="0" w:name="dstart"/>
            <w:bookmarkStart w:id="1" w:name="dbreak"/>
            <w:bookmarkStart w:id="2" w:name="InsertLogo"/>
            <w:bookmarkEnd w:id="0"/>
            <w:bookmarkEnd w:id="1"/>
            <w:bookmarkEnd w:id="2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164" name="Picture 16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68B6" w:rsidRPr="008968B6" w:rsidRDefault="008968B6" w:rsidP="008968B6">
            <w:pPr>
              <w:spacing w:before="0" w:line="240" w:lineRule="auto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0" w:line="240" w:lineRule="auto"/>
              <w:rPr>
                <w:rFonts w:ascii="Arial" w:hAnsi="Arial" w:cs="Arial"/>
                <w:sz w:val="24"/>
                <w:lang w:val="en-US"/>
              </w:rPr>
            </w:pPr>
          </w:p>
          <w:p w:rsidR="008968B6" w:rsidRPr="008968B6" w:rsidRDefault="008968B6" w:rsidP="008968B6">
            <w:pPr>
              <w:spacing w:before="284" w:line="240" w:lineRule="auto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8968B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lang w:val="en-GB"/>
              </w:rPr>
              <w:t>International Telecommunication Union</w:t>
            </w:r>
          </w:p>
        </w:tc>
      </w:tr>
      <w:tr w:rsidR="008968B6" w:rsidRPr="008968B6" w:rsidTr="005569CA">
        <w:trPr>
          <w:trHeight w:hRule="exact" w:val="992"/>
        </w:trPr>
        <w:tc>
          <w:tcPr>
            <w:tcW w:w="1428" w:type="dxa"/>
            <w:gridSpan w:val="2"/>
          </w:tcPr>
          <w:p w:rsidR="008968B6" w:rsidRPr="008968B6" w:rsidRDefault="008968B6" w:rsidP="008968B6">
            <w:pPr>
              <w:spacing w:before="0" w:line="240" w:lineRule="auto"/>
              <w:rPr>
                <w:sz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120" w:line="240" w:lineRule="auto"/>
              <w:rPr>
                <w:sz w:val="24"/>
                <w:lang w:val="en-US"/>
              </w:rPr>
            </w:pPr>
          </w:p>
        </w:tc>
      </w:tr>
      <w:tr w:rsidR="008968B6" w:rsidRPr="008968B6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8968B6" w:rsidRPr="008968B6" w:rsidRDefault="008968B6" w:rsidP="008968B6">
            <w:pPr>
              <w:spacing w:before="120" w:line="240" w:lineRule="auto"/>
              <w:rPr>
                <w:b/>
                <w:sz w:val="18"/>
                <w:lang w:val="en-US"/>
              </w:rPr>
            </w:pPr>
            <w:bookmarkStart w:id="3" w:name="dnume" w:colFirst="1" w:colLast="1"/>
            <w:r w:rsidRPr="008968B6"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8968B6" w:rsidRPr="008968B6" w:rsidRDefault="008968B6" w:rsidP="008968B6">
            <w:pPr>
              <w:spacing w:before="24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E16BA5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8968B6" w:rsidRPr="008968B6" w:rsidRDefault="008968B6" w:rsidP="008968B6">
            <w:pPr>
              <w:spacing w:before="120" w:line="240" w:lineRule="auto"/>
              <w:jc w:val="left"/>
              <w:rPr>
                <w:b/>
                <w:sz w:val="20"/>
                <w:lang w:val="en-US"/>
              </w:rPr>
            </w:pPr>
            <w:bookmarkStart w:id="4" w:name="ddatee" w:colFirst="1" w:colLast="1"/>
            <w:bookmarkEnd w:id="3"/>
            <w:r w:rsidRPr="008968B6">
              <w:rPr>
                <w:rFonts w:ascii="Arial" w:hAnsi="Arial"/>
                <w:sz w:val="20"/>
                <w:lang w:val="en-US"/>
              </w:rPr>
              <w:t>TELECOMMUNICATION</w:t>
            </w:r>
            <w:r w:rsidRPr="008968B6">
              <w:rPr>
                <w:rFonts w:ascii="Arial" w:hAnsi="Arial" w:cs="Arial"/>
                <w:sz w:val="20"/>
                <w:lang w:val="en-US"/>
              </w:rPr>
              <w:br/>
            </w:r>
            <w:r w:rsidRPr="008968B6">
              <w:rPr>
                <w:rFonts w:ascii="Arial" w:hAnsi="Arial"/>
                <w:sz w:val="20"/>
                <w:lang w:val="en-US"/>
              </w:rPr>
              <w:t>STANDARDIZATION  SECTOR</w:t>
            </w:r>
            <w:r w:rsidRPr="008968B6">
              <w:rPr>
                <w:rFonts w:ascii="Arial" w:hAnsi="Arial"/>
                <w:sz w:val="20"/>
                <w:lang w:val="en-US"/>
              </w:rPr>
              <w:br/>
              <w:t>OF  ITU</w:t>
            </w:r>
          </w:p>
        </w:tc>
        <w:tc>
          <w:tcPr>
            <w:tcW w:w="3971" w:type="dxa"/>
          </w:tcPr>
          <w:p w:rsidR="008968B6" w:rsidRPr="008968B6" w:rsidRDefault="008968B6" w:rsidP="008968B6">
            <w:pPr>
              <w:spacing w:before="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E16BA5" w:rsidTr="005569CA">
        <w:trPr>
          <w:cantSplit/>
          <w:trHeight w:hRule="exact" w:val="3402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5" w:name="dsece" w:colFirst="1" w:colLast="1"/>
            <w:bookmarkEnd w:id="4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  <w:r w:rsidRPr="008968B6">
              <w:rPr>
                <w:rFonts w:ascii="Arial" w:hAnsi="Arial"/>
                <w:sz w:val="32"/>
                <w:lang w:val="en-US"/>
              </w:rPr>
              <w:t xml:space="preserve">WORLD TELECOMMUNICATION STANDARDIZATION ASSEMBLY </w:t>
            </w:r>
            <w:r w:rsidRPr="008968B6">
              <w:rPr>
                <w:rFonts w:ascii="Arial" w:hAnsi="Arial"/>
                <w:sz w:val="32"/>
                <w:lang w:val="en-US"/>
              </w:rPr>
              <w:br/>
            </w:r>
            <w:r w:rsidR="000E4393" w:rsidRPr="00F81B8E">
              <w:rPr>
                <w:rFonts w:ascii="Arial" w:hAnsi="Arial"/>
                <w:sz w:val="32"/>
                <w:lang w:val="en-GB"/>
              </w:rPr>
              <w:t>Dubai, 20-29 November 2012</w:t>
            </w:r>
          </w:p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</w:p>
        </w:tc>
      </w:tr>
      <w:tr w:rsidR="008968B6" w:rsidRPr="00E16BA5" w:rsidTr="005569CA">
        <w:trPr>
          <w:cantSplit/>
          <w:trHeight w:hRule="exact" w:val="4536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6" w:name="c1tite" w:colFirst="1" w:colLast="1"/>
            <w:bookmarkEnd w:id="5"/>
          </w:p>
        </w:tc>
        <w:tc>
          <w:tcPr>
            <w:tcW w:w="8530" w:type="dxa"/>
            <w:gridSpan w:val="4"/>
          </w:tcPr>
          <w:p w:rsidR="008968B6" w:rsidRPr="008968B6" w:rsidRDefault="008968B6" w:rsidP="002524EB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b/>
                <w:bCs/>
                <w:sz w:val="36"/>
                <w:lang w:val="en-US"/>
              </w:rPr>
            </w:pP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Resolution </w:t>
            </w:r>
            <w:r w:rsidR="00E7762A">
              <w:rPr>
                <w:rFonts w:ascii="Arial" w:hAnsi="Arial"/>
                <w:b/>
                <w:bCs/>
                <w:sz w:val="36"/>
                <w:lang w:val="en-US"/>
              </w:rPr>
              <w:t>7</w:t>
            </w:r>
            <w:r w:rsidR="002524EB">
              <w:rPr>
                <w:rFonts w:ascii="Arial" w:hAnsi="Arial"/>
                <w:b/>
                <w:bCs/>
                <w:sz w:val="36"/>
                <w:lang w:val="en-US"/>
              </w:rPr>
              <w:t>7</w:t>
            </w: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 – </w:t>
            </w:r>
            <w:r w:rsidR="002524EB" w:rsidRPr="002524EB">
              <w:rPr>
                <w:rFonts w:ascii="Arial" w:hAnsi="Arial"/>
                <w:b/>
                <w:bCs/>
                <w:sz w:val="36"/>
                <w:lang w:val="en-US"/>
              </w:rPr>
              <w:t>Standardization work in the ITU Telecommunication Standardization Sector for software-defined networking</w:t>
            </w:r>
          </w:p>
        </w:tc>
      </w:tr>
      <w:bookmarkEnd w:id="6"/>
      <w:tr w:rsidR="008968B6" w:rsidRPr="00E16BA5" w:rsidTr="005569CA">
        <w:trPr>
          <w:cantSplit/>
          <w:trHeight w:hRule="exact" w:val="1418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18"/>
                <w:lang w:val="en-US"/>
              </w:rPr>
            </w:pPr>
            <w:bookmarkStart w:id="7" w:name="dnum2e"/>
            <w:bookmarkEnd w:id="7"/>
          </w:p>
        </w:tc>
      </w:tr>
    </w:tbl>
    <w:p w:rsidR="008968B6" w:rsidRPr="008968B6" w:rsidRDefault="00720F3C" w:rsidP="008968B6">
      <w:pPr>
        <w:tabs>
          <w:tab w:val="right" w:pos="9639"/>
        </w:tabs>
        <w:spacing w:before="240" w:line="240" w:lineRule="auto"/>
        <w:jc w:val="right"/>
        <w:rPr>
          <w:sz w:val="20"/>
          <w:lang w:val="en-US"/>
        </w:rPr>
      </w:pPr>
      <w:bookmarkStart w:id="8" w:name="c2tope"/>
      <w:bookmarkEnd w:id="8"/>
      <w:r>
        <w:rPr>
          <w:noProof/>
          <w:lang w:val="en-US" w:eastAsia="zh-CN"/>
        </w:rPr>
        <w:drawing>
          <wp:inline distT="0" distB="0" distL="0" distR="0">
            <wp:extent cx="666750" cy="752475"/>
            <wp:effectExtent l="0" t="0" r="0" b="9525"/>
            <wp:docPr id="5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B6" w:rsidRPr="008968B6" w:rsidRDefault="008968B6" w:rsidP="008968B6">
      <w:pPr>
        <w:spacing w:before="80" w:line="240" w:lineRule="auto"/>
        <w:jc w:val="left"/>
        <w:rPr>
          <w:i/>
          <w:sz w:val="20"/>
          <w:lang w:val="en-US"/>
        </w:rPr>
      </w:pPr>
    </w:p>
    <w:p w:rsidR="008968B6" w:rsidRPr="008968B6" w:rsidRDefault="008968B6" w:rsidP="008968B6">
      <w:pPr>
        <w:spacing w:before="120" w:line="240" w:lineRule="auto"/>
        <w:jc w:val="left"/>
        <w:rPr>
          <w:sz w:val="24"/>
          <w:lang w:val="en-US"/>
        </w:rPr>
        <w:sectPr w:rsidR="008968B6" w:rsidRPr="008968B6" w:rsidSect="008968B6">
          <w:headerReference w:type="even" r:id="rId10"/>
          <w:headerReference w:type="default" r:id="rId11"/>
          <w:type w:val="oddPage"/>
          <w:pgSz w:w="11907" w:h="16840" w:code="9"/>
          <w:pgMar w:top="1089" w:right="1089" w:bottom="284" w:left="1089" w:header="567" w:footer="284" w:gutter="0"/>
          <w:pgNumType w:start="1"/>
          <w:cols w:space="720"/>
        </w:sectPr>
      </w:pPr>
    </w:p>
    <w:p w:rsidR="008968B6" w:rsidRPr="008968B6" w:rsidRDefault="008968B6" w:rsidP="008968B6">
      <w:pPr>
        <w:spacing w:before="480" w:line="240" w:lineRule="auto"/>
        <w:jc w:val="center"/>
        <w:rPr>
          <w:lang w:val="en-US"/>
        </w:rPr>
      </w:pPr>
      <w:bookmarkStart w:id="9" w:name="irecnoe"/>
      <w:bookmarkEnd w:id="9"/>
      <w:r w:rsidRPr="008968B6">
        <w:rPr>
          <w:lang w:val="en-US"/>
        </w:rPr>
        <w:lastRenderedPageBreak/>
        <w:t>FOREWORD</w:t>
      </w:r>
    </w:p>
    <w:p w:rsidR="000E4393" w:rsidRPr="00F81B8E" w:rsidRDefault="000E4393" w:rsidP="000E4393">
      <w:pPr>
        <w:pStyle w:val="Normalaftertitle"/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International Telecommunication Union (ITU) is the United Nations specialized agency in the field of tele</w:t>
      </w:r>
      <w:r w:rsidRPr="00F81B8E">
        <w:rPr>
          <w:sz w:val="20"/>
          <w:lang w:val="en-GB"/>
        </w:rPr>
        <w:softHyphen/>
        <w:t>com</w:t>
      </w:r>
      <w:r w:rsidRPr="00F81B8E">
        <w:rPr>
          <w:sz w:val="20"/>
          <w:lang w:val="en-GB"/>
        </w:rPr>
        <w:softHyphen/>
        <w:t>mu</w:t>
      </w:r>
      <w:r w:rsidRPr="00F81B8E">
        <w:rPr>
          <w:sz w:val="20"/>
          <w:lang w:val="en-GB"/>
        </w:rPr>
        <w:softHyphen/>
        <w:t>ni</w:t>
      </w:r>
      <w:r w:rsidRPr="00F81B8E">
        <w:rPr>
          <w:sz w:val="20"/>
          <w:lang w:val="en-GB"/>
        </w:rPr>
        <w:softHyphen/>
        <w:t>ca</w:t>
      </w:r>
      <w:r w:rsidRPr="00F81B8E">
        <w:rPr>
          <w:sz w:val="20"/>
          <w:lang w:val="en-GB"/>
        </w:rPr>
        <w:softHyphen/>
        <w:t>tions.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 xml:space="preserve">The </w:t>
      </w:r>
      <w:bookmarkStart w:id="10" w:name="iitexte"/>
      <w:r w:rsidRPr="00F81B8E">
        <w:rPr>
          <w:sz w:val="20"/>
          <w:lang w:val="en-GB"/>
        </w:rPr>
        <w:t>World Telecommunication Standardization Assembly (WTSA), which meets every four years, establishes the topics for study by the ITU</w:t>
      </w:r>
      <w:r w:rsidRPr="00F81B8E">
        <w:rPr>
          <w:sz w:val="20"/>
          <w:lang w:val="en-GB"/>
        </w:rPr>
        <w:noBreakHyphen/>
        <w:t>T study groups which, in turn, produce Recommendations on these topics.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approval of ITU-T Recommendations is covered by the procedure laid down in WTSA Resolution 1</w:t>
      </w:r>
      <w:bookmarkEnd w:id="10"/>
      <w:r w:rsidRPr="00F81B8E">
        <w:rPr>
          <w:sz w:val="20"/>
          <w:lang w:val="en-GB"/>
        </w:rPr>
        <w:t>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In some areas of information technology which fall within ITU-T's purview, the necessary standards are prepared on a collaborative basis with ISO and IEC.</w:t>
      </w: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471930" w:rsidRPr="00F81B8E" w:rsidRDefault="00471930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  <w:r w:rsidRPr="00F81B8E">
        <w:rPr>
          <w:sz w:val="20"/>
          <w:lang w:val="en-GB"/>
        </w:rPr>
        <w:sym w:font="Symbol" w:char="F0E3"/>
      </w:r>
      <w:r w:rsidRPr="00F81B8E">
        <w:rPr>
          <w:sz w:val="20"/>
          <w:lang w:val="en-GB"/>
        </w:rPr>
        <w:t xml:space="preserve"> ITU </w:t>
      </w:r>
      <w:bookmarkStart w:id="11" w:name="iiannee"/>
      <w:bookmarkEnd w:id="11"/>
      <w:r w:rsidRPr="00F81B8E">
        <w:rPr>
          <w:sz w:val="20"/>
          <w:lang w:val="en-GB"/>
        </w:rPr>
        <w:t>2013</w:t>
      </w:r>
    </w:p>
    <w:p w:rsidR="008968B6" w:rsidRPr="008968B6" w:rsidRDefault="000E4393" w:rsidP="000E4393">
      <w:pPr>
        <w:spacing w:before="120" w:line="240" w:lineRule="auto"/>
        <w:rPr>
          <w:lang w:val="en-US"/>
        </w:rPr>
      </w:pPr>
      <w:r w:rsidRPr="00F81B8E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3374BB" w:rsidRPr="000E4393" w:rsidRDefault="003374BB" w:rsidP="006066A0">
      <w:pPr>
        <w:pStyle w:val="ResNo"/>
        <w:rPr>
          <w:lang w:val="en-US"/>
        </w:rPr>
      </w:pPr>
      <w:r w:rsidRPr="000E4393">
        <w:rPr>
          <w:lang w:val="en-US"/>
        </w:rPr>
        <w:lastRenderedPageBreak/>
        <w:t xml:space="preserve">resolution </w:t>
      </w:r>
      <w:r w:rsidR="006B5593">
        <w:rPr>
          <w:rStyle w:val="href"/>
          <w:lang w:val="en-US"/>
        </w:rPr>
        <w:t>7</w:t>
      </w:r>
      <w:r w:rsidR="00460B4F">
        <w:rPr>
          <w:rStyle w:val="href"/>
          <w:lang w:val="en-US"/>
        </w:rPr>
        <w:t>7</w:t>
      </w:r>
      <w:r w:rsidR="00E16BA5">
        <w:rPr>
          <w:rStyle w:val="href"/>
          <w:lang w:val="en-US"/>
        </w:rPr>
        <w:t xml:space="preserve"> </w:t>
      </w:r>
      <w:bookmarkStart w:id="12" w:name="_GoBack"/>
      <w:r w:rsidR="00E16BA5" w:rsidRPr="00F81B8E">
        <w:rPr>
          <w:lang w:val="en-GB"/>
        </w:rPr>
        <w:t>(</w:t>
      </w:r>
      <w:r w:rsidR="00E16BA5" w:rsidRPr="00F81B8E">
        <w:rPr>
          <w:caps w:val="0"/>
          <w:lang w:val="en-GB"/>
        </w:rPr>
        <w:t>Dubai, 2012</w:t>
      </w:r>
      <w:r w:rsidR="00E16BA5" w:rsidRPr="00F81B8E">
        <w:rPr>
          <w:lang w:val="en-GB"/>
        </w:rPr>
        <w:t>)</w:t>
      </w:r>
      <w:bookmarkEnd w:id="12"/>
    </w:p>
    <w:p w:rsidR="00460B4F" w:rsidRPr="00F81B8E" w:rsidRDefault="00460B4F" w:rsidP="00460B4F">
      <w:pPr>
        <w:pStyle w:val="Restitle"/>
        <w:rPr>
          <w:rFonts w:eastAsia="SimSun"/>
          <w:lang w:val="en-GB"/>
        </w:rPr>
      </w:pPr>
      <w:r w:rsidRPr="00F81B8E">
        <w:rPr>
          <w:rFonts w:eastAsia="SimSun"/>
          <w:lang w:val="en-GB"/>
        </w:rPr>
        <w:t>Standardization work in the ITU Telecommunication Standardization</w:t>
      </w:r>
      <w:r w:rsidRPr="00F81B8E">
        <w:rPr>
          <w:rFonts w:eastAsia="SimSun"/>
          <w:lang w:val="en-GB"/>
        </w:rPr>
        <w:br/>
        <w:t xml:space="preserve"> Sector for software-defined networking</w:t>
      </w:r>
    </w:p>
    <w:p w:rsidR="00460B4F" w:rsidRPr="00F81B8E" w:rsidRDefault="00460B4F" w:rsidP="00460B4F">
      <w:pPr>
        <w:pStyle w:val="Resref"/>
        <w:rPr>
          <w:lang w:val="en-GB"/>
        </w:rPr>
      </w:pPr>
      <w:r w:rsidRPr="00F81B8E">
        <w:rPr>
          <w:lang w:val="en-GB"/>
        </w:rPr>
        <w:t>(</w:t>
      </w:r>
      <w:r w:rsidRPr="00F81B8E">
        <w:rPr>
          <w:lang w:val="en-GB" w:eastAsia="ko-KR"/>
        </w:rPr>
        <w:t>Dubai</w:t>
      </w:r>
      <w:r w:rsidRPr="00F81B8E">
        <w:rPr>
          <w:lang w:val="en-GB"/>
        </w:rPr>
        <w:t>, 20</w:t>
      </w:r>
      <w:r w:rsidRPr="00F81B8E">
        <w:rPr>
          <w:lang w:val="en-GB" w:eastAsia="ko-KR"/>
        </w:rPr>
        <w:t>12</w:t>
      </w:r>
      <w:r w:rsidRPr="00F81B8E">
        <w:rPr>
          <w:lang w:val="en-GB"/>
        </w:rPr>
        <w:t>)</w:t>
      </w:r>
    </w:p>
    <w:p w:rsidR="00460B4F" w:rsidRPr="00F81B8E" w:rsidRDefault="00460B4F" w:rsidP="00460B4F">
      <w:pPr>
        <w:pStyle w:val="Normalaftertitle"/>
        <w:rPr>
          <w:rtl/>
          <w:lang w:val="en-GB" w:eastAsia="ko-KR"/>
        </w:rPr>
      </w:pPr>
      <w:r w:rsidRPr="00F81B8E">
        <w:rPr>
          <w:lang w:val="en-GB"/>
        </w:rPr>
        <w:t>The World Telecommunication Standardization Assembly (</w:t>
      </w:r>
      <w:r w:rsidRPr="00F81B8E">
        <w:rPr>
          <w:lang w:val="en-GB" w:eastAsia="ko-KR"/>
        </w:rPr>
        <w:t>Dubai</w:t>
      </w:r>
      <w:r w:rsidRPr="00F81B8E">
        <w:rPr>
          <w:lang w:val="en-GB"/>
        </w:rPr>
        <w:t>, 20</w:t>
      </w:r>
      <w:r w:rsidRPr="00F81B8E">
        <w:rPr>
          <w:lang w:val="en-GB" w:eastAsia="ko-KR"/>
        </w:rPr>
        <w:t>12</w:t>
      </w:r>
      <w:r w:rsidRPr="00F81B8E">
        <w:rPr>
          <w:lang w:val="en-GB"/>
        </w:rPr>
        <w:t>),</w:t>
      </w:r>
      <w:r w:rsidRPr="00F81B8E">
        <w:rPr>
          <w:lang w:val="en-GB" w:eastAsia="ko-KR"/>
        </w:rPr>
        <w:t xml:space="preserve"> </w:t>
      </w:r>
    </w:p>
    <w:p w:rsidR="00460B4F" w:rsidRPr="00F81B8E" w:rsidRDefault="00460B4F" w:rsidP="00460B4F">
      <w:pPr>
        <w:pStyle w:val="Call"/>
        <w:rPr>
          <w:rtl/>
          <w:lang w:val="en-GB"/>
        </w:rPr>
      </w:pPr>
      <w:r w:rsidRPr="00F81B8E">
        <w:rPr>
          <w:lang w:val="en-GB"/>
        </w:rPr>
        <w:t>considering</w:t>
      </w:r>
    </w:p>
    <w:p w:rsidR="00460B4F" w:rsidRPr="00F81B8E" w:rsidRDefault="00460B4F" w:rsidP="00460B4F">
      <w:pPr>
        <w:rPr>
          <w:rFonts w:eastAsia="SimSun"/>
          <w:lang w:val="en-GB"/>
        </w:rPr>
      </w:pPr>
      <w:r w:rsidRPr="00F81B8E">
        <w:rPr>
          <w:rFonts w:eastAsia="SimSun"/>
          <w:i/>
          <w:iCs/>
          <w:lang w:val="en-GB"/>
        </w:rPr>
        <w:t>a)</w:t>
      </w:r>
      <w:r w:rsidRPr="00F81B8E">
        <w:rPr>
          <w:rFonts w:eastAsia="SimSun"/>
          <w:lang w:val="en-GB"/>
        </w:rPr>
        <w:tab/>
        <w:t>the fact that software-defined networking (SDN) will profoundly change the telecommunication and information and communication technology (ICT) industry's landscape in the decades to come;</w:t>
      </w:r>
    </w:p>
    <w:p w:rsidR="00460B4F" w:rsidRPr="00F81B8E" w:rsidRDefault="00460B4F" w:rsidP="00460B4F">
      <w:pPr>
        <w:rPr>
          <w:rFonts w:eastAsia="SimSun"/>
          <w:lang w:val="en-GB" w:eastAsia="zh-CN"/>
        </w:rPr>
      </w:pPr>
      <w:r w:rsidRPr="00F81B8E">
        <w:rPr>
          <w:rFonts w:eastAsia="SimSun"/>
          <w:i/>
          <w:iCs/>
          <w:lang w:val="en-GB" w:eastAsia="zh-CN"/>
        </w:rPr>
        <w:t>b)</w:t>
      </w:r>
      <w:r w:rsidRPr="00F81B8E">
        <w:rPr>
          <w:rFonts w:eastAsia="SimSun"/>
          <w:lang w:val="en-GB" w:eastAsia="zh-CN"/>
        </w:rPr>
        <w:tab/>
        <w:t>the multiple benefits that SDN can bring for the telecommunication/ICT industry;</w:t>
      </w:r>
    </w:p>
    <w:p w:rsidR="00460B4F" w:rsidRPr="00F81B8E" w:rsidRDefault="00460B4F" w:rsidP="00460B4F">
      <w:pPr>
        <w:rPr>
          <w:lang w:val="en-GB"/>
        </w:rPr>
      </w:pPr>
      <w:r w:rsidRPr="00F81B8E">
        <w:rPr>
          <w:rFonts w:eastAsia="SimSun"/>
          <w:i/>
          <w:iCs/>
          <w:lang w:val="en-GB" w:eastAsia="zh-CN"/>
        </w:rPr>
        <w:t>c</w:t>
      </w:r>
      <w:r w:rsidRPr="00F81B8E">
        <w:rPr>
          <w:i/>
          <w:iCs/>
          <w:lang w:val="en-GB"/>
        </w:rPr>
        <w:t>)</w:t>
      </w:r>
      <w:r w:rsidRPr="00F81B8E">
        <w:rPr>
          <w:lang w:val="en-GB"/>
        </w:rPr>
        <w:tab/>
        <w:t xml:space="preserve">the </w:t>
      </w:r>
      <w:r w:rsidRPr="00F81B8E">
        <w:rPr>
          <w:rFonts w:eastAsia="SimSun"/>
          <w:lang w:val="en-GB" w:eastAsia="zh-CN"/>
        </w:rPr>
        <w:t>r</w:t>
      </w:r>
      <w:r w:rsidRPr="00F81B8E">
        <w:rPr>
          <w:lang w:val="en-GB" w:eastAsia="ko-KR"/>
        </w:rPr>
        <w:t xml:space="preserve">apidly growing </w:t>
      </w:r>
      <w:r w:rsidRPr="00F81B8E">
        <w:rPr>
          <w:rFonts w:eastAsia="SimSun"/>
          <w:lang w:val="en-GB" w:eastAsia="zh-CN"/>
        </w:rPr>
        <w:t xml:space="preserve">interest in the use of SDN in the telecommunication/ICT industry on the part of a significant </w:t>
      </w:r>
      <w:r w:rsidRPr="00F81B8E">
        <w:rPr>
          <w:lang w:val="en-GB" w:eastAsia="ko-KR"/>
        </w:rPr>
        <w:t>number of</w:t>
      </w:r>
      <w:r w:rsidRPr="00F81B8E">
        <w:rPr>
          <w:rFonts w:eastAsia="SimSun"/>
          <w:lang w:val="en-GB" w:eastAsia="zh-CN"/>
        </w:rPr>
        <w:t xml:space="preserve"> companies</w:t>
      </w:r>
      <w:r w:rsidRPr="00F81B8E">
        <w:rPr>
          <w:lang w:val="en-GB" w:eastAsia="zh-CN"/>
        </w:rPr>
        <w:t>;</w:t>
      </w:r>
    </w:p>
    <w:p w:rsidR="00460B4F" w:rsidRPr="00F81B8E" w:rsidRDefault="00460B4F" w:rsidP="00460B4F">
      <w:pPr>
        <w:rPr>
          <w:lang w:val="en-GB"/>
        </w:rPr>
      </w:pPr>
      <w:r w:rsidRPr="00F81B8E">
        <w:rPr>
          <w:rFonts w:eastAsia="SimSun"/>
          <w:i/>
          <w:iCs/>
          <w:lang w:val="en-GB" w:eastAsia="zh-CN"/>
        </w:rPr>
        <w:t>d</w:t>
      </w:r>
      <w:r w:rsidRPr="00F81B8E">
        <w:rPr>
          <w:i/>
          <w:iCs/>
          <w:lang w:val="en-GB"/>
        </w:rPr>
        <w:t>)</w:t>
      </w:r>
      <w:r w:rsidRPr="00F81B8E">
        <w:rPr>
          <w:lang w:val="en-GB"/>
        </w:rPr>
        <w:tab/>
        <w:t xml:space="preserve">that </w:t>
      </w:r>
      <w:r w:rsidRPr="00F81B8E">
        <w:rPr>
          <w:rFonts w:eastAsia="SimSun"/>
          <w:lang w:val="en-GB" w:eastAsia="zh-CN"/>
        </w:rPr>
        <w:t>a broad application of SDN will require a system of deployable standards which are not yet in place,</w:t>
      </w:r>
      <w:r w:rsidRPr="00F81B8E">
        <w:rPr>
          <w:lang w:val="en-GB"/>
        </w:rPr>
        <w:t xml:space="preserve"> </w:t>
      </w:r>
    </w:p>
    <w:p w:rsidR="00460B4F" w:rsidRPr="00F81B8E" w:rsidRDefault="00460B4F" w:rsidP="00460B4F">
      <w:pPr>
        <w:pStyle w:val="Call"/>
        <w:rPr>
          <w:rtl/>
          <w:lang w:val="en-GB"/>
        </w:rPr>
      </w:pPr>
      <w:r w:rsidRPr="00F81B8E">
        <w:rPr>
          <w:lang w:val="en-GB"/>
        </w:rPr>
        <w:t>noting</w:t>
      </w:r>
    </w:p>
    <w:p w:rsidR="00460B4F" w:rsidRPr="00F81B8E" w:rsidRDefault="00460B4F" w:rsidP="00460B4F">
      <w:pPr>
        <w:rPr>
          <w:rtl/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that the ITU Telecommunication Standardization Sector (</w:t>
      </w:r>
      <w:r w:rsidRPr="00F81B8E">
        <w:rPr>
          <w:rFonts w:eastAsia="SimSun"/>
          <w:lang w:val="en-GB" w:eastAsia="zh-CN"/>
        </w:rPr>
        <w:t>ITU</w:t>
      </w:r>
      <w:r w:rsidRPr="00F81B8E">
        <w:rPr>
          <w:rFonts w:eastAsia="SimSun"/>
          <w:lang w:val="en-GB" w:eastAsia="zh-CN"/>
        </w:rPr>
        <w:noBreakHyphen/>
        <w:t>T) should play a leading role in the development of the above-mentioned system of deployable SDN standards</w:t>
      </w:r>
      <w:r w:rsidRPr="00F81B8E">
        <w:rPr>
          <w:lang w:val="en-GB"/>
        </w:rPr>
        <w:t>;</w:t>
      </w:r>
    </w:p>
    <w:p w:rsidR="00460B4F" w:rsidRPr="00F81B8E" w:rsidRDefault="00460B4F" w:rsidP="00460B4F">
      <w:pPr>
        <w:rPr>
          <w:rtl/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 xml:space="preserve">that </w:t>
      </w:r>
      <w:r w:rsidRPr="00F81B8E">
        <w:rPr>
          <w:rFonts w:eastAsia="SimSun"/>
          <w:lang w:val="en-GB"/>
        </w:rPr>
        <w:t>a standards ecosystem should be created with ITU</w:t>
      </w:r>
      <w:r w:rsidRPr="00F81B8E">
        <w:rPr>
          <w:rFonts w:eastAsia="SimSun"/>
          <w:lang w:val="en-GB"/>
        </w:rPr>
        <w:noBreakHyphen/>
        <w:t>T at its centre,</w:t>
      </w:r>
    </w:p>
    <w:p w:rsidR="00460B4F" w:rsidRPr="00F81B8E" w:rsidRDefault="00460B4F" w:rsidP="00460B4F">
      <w:pPr>
        <w:pStyle w:val="Call"/>
        <w:rPr>
          <w:rFonts w:eastAsia="SimSun"/>
          <w:lang w:val="en-GB" w:eastAsia="zh-CN"/>
        </w:rPr>
      </w:pPr>
      <w:r w:rsidRPr="00F81B8E">
        <w:rPr>
          <w:lang w:val="en-GB"/>
        </w:rPr>
        <w:t>recognizing</w:t>
      </w:r>
    </w:p>
    <w:p w:rsidR="00460B4F" w:rsidRPr="00F81B8E" w:rsidRDefault="00460B4F" w:rsidP="00460B4F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 xml:space="preserve">that </w:t>
      </w:r>
      <w:r w:rsidRPr="00F81B8E">
        <w:rPr>
          <w:rFonts w:eastAsia="SimSun"/>
          <w:lang w:val="en-GB" w:eastAsia="zh-CN"/>
        </w:rPr>
        <w:t>ITU</w:t>
      </w:r>
      <w:r w:rsidRPr="00F81B8E">
        <w:rPr>
          <w:rFonts w:eastAsia="SimSun"/>
          <w:lang w:val="en-GB" w:eastAsia="zh-CN"/>
        </w:rPr>
        <w:noBreakHyphen/>
        <w:t>T has unmatched advantages when it comes to requirements and architecture standards</w:t>
      </w:r>
      <w:r w:rsidRPr="00F81B8E">
        <w:rPr>
          <w:lang w:val="en-GB"/>
        </w:rPr>
        <w:t>;</w:t>
      </w:r>
    </w:p>
    <w:p w:rsidR="00460B4F" w:rsidRPr="00F81B8E" w:rsidRDefault="00460B4F" w:rsidP="00460B4F">
      <w:pPr>
        <w:rPr>
          <w:rFonts w:eastAsia="SimSun"/>
          <w:lang w:val="en-GB" w:eastAsia="zh-CN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 xml:space="preserve">that </w:t>
      </w:r>
      <w:r w:rsidRPr="00F81B8E">
        <w:rPr>
          <w:rFonts w:eastAsia="SimSun"/>
          <w:lang w:val="en-GB" w:eastAsia="zh-CN"/>
        </w:rPr>
        <w:t>a solid foundation is first required in terms of SDN requirements and architecture standards, so that the whole set of standards may be built through an industry-wide synergy;</w:t>
      </w:r>
    </w:p>
    <w:p w:rsidR="00460B4F" w:rsidRPr="00F81B8E" w:rsidRDefault="00460B4F" w:rsidP="00460B4F">
      <w:pPr>
        <w:rPr>
          <w:rFonts w:eastAsia="SimSun"/>
          <w:lang w:val="en-GB" w:eastAsia="zh-CN"/>
        </w:rPr>
      </w:pPr>
      <w:r w:rsidRPr="00F81B8E">
        <w:rPr>
          <w:rFonts w:eastAsia="SimSun"/>
          <w:i/>
          <w:iCs/>
          <w:lang w:val="en-GB" w:eastAsia="zh-CN"/>
        </w:rPr>
        <w:t>c)</w:t>
      </w:r>
      <w:r w:rsidRPr="00F81B8E">
        <w:rPr>
          <w:rFonts w:eastAsia="SimSun"/>
          <w:lang w:val="en-GB" w:eastAsia="zh-CN"/>
        </w:rPr>
        <w:tab/>
        <w:t>that ITU</w:t>
      </w:r>
      <w:r w:rsidRPr="00F81B8E">
        <w:rPr>
          <w:rFonts w:eastAsia="SimSun"/>
          <w:lang w:val="en-GB" w:eastAsia="zh-CN"/>
        </w:rPr>
        <w:noBreakHyphen/>
        <w:t>T Study Group 13 has been involved in the study of SDN in the development of future networks and is collaborating with relevant standards development organizations (SDOs),</w:t>
      </w:r>
    </w:p>
    <w:p w:rsidR="00460B4F" w:rsidRPr="00F81B8E" w:rsidRDefault="00460B4F" w:rsidP="00460B4F">
      <w:pPr>
        <w:pStyle w:val="Call"/>
        <w:rPr>
          <w:lang w:val="en-GB" w:eastAsia="ko-KR"/>
        </w:rPr>
      </w:pPr>
      <w:r w:rsidRPr="00F81B8E">
        <w:rPr>
          <w:lang w:val="en-GB"/>
        </w:rPr>
        <w:t>resolves</w:t>
      </w:r>
      <w:r w:rsidRPr="00F81B8E">
        <w:rPr>
          <w:rFonts w:eastAsia="SimSun"/>
          <w:lang w:val="en-GB" w:eastAsia="zh-CN"/>
        </w:rPr>
        <w:t xml:space="preserve"> t</w:t>
      </w:r>
      <w:r w:rsidRPr="00F81B8E">
        <w:rPr>
          <w:rFonts w:eastAsia="SimSun"/>
          <w:lang w:val="en-GB"/>
        </w:rPr>
        <w:t>o</w:t>
      </w:r>
      <w:r w:rsidRPr="00F81B8E">
        <w:rPr>
          <w:rFonts w:eastAsia="SimSun"/>
          <w:lang w:val="en-GB" w:eastAsia="zh-CN"/>
        </w:rPr>
        <w:t xml:space="preserve"> </w:t>
      </w:r>
      <w:r w:rsidRPr="00F81B8E">
        <w:rPr>
          <w:lang w:val="en-GB" w:eastAsia="ko-KR"/>
        </w:rPr>
        <w:t>instruct ITU-T Study Group 13</w:t>
      </w:r>
    </w:p>
    <w:p w:rsidR="00460B4F" w:rsidRPr="00F81B8E" w:rsidRDefault="00460B4F" w:rsidP="00460B4F">
      <w:pPr>
        <w:rPr>
          <w:lang w:val="en-GB" w:eastAsia="ko-KR"/>
        </w:rPr>
      </w:pPr>
      <w:r w:rsidRPr="00F81B8E">
        <w:rPr>
          <w:lang w:val="en-GB" w:eastAsia="ko-KR"/>
        </w:rPr>
        <w:t>1</w:t>
      </w:r>
      <w:r w:rsidRPr="00F81B8E">
        <w:rPr>
          <w:lang w:val="en-GB" w:eastAsia="ko-KR"/>
        </w:rPr>
        <w:tab/>
        <w:t>to organize the necessary structures within Study Group 13 to expand and accelerate the work on SDN architecture and requirements, starting with its first meeting in the next study period;</w:t>
      </w:r>
    </w:p>
    <w:p w:rsidR="00460B4F" w:rsidRPr="00F81B8E" w:rsidRDefault="00460B4F" w:rsidP="00460B4F">
      <w:pPr>
        <w:rPr>
          <w:lang w:val="en-GB" w:eastAsia="ko-KR"/>
        </w:rPr>
      </w:pPr>
      <w:r w:rsidRPr="00F81B8E">
        <w:rPr>
          <w:lang w:val="en-GB" w:eastAsia="ko-KR"/>
        </w:rPr>
        <w:t>2</w:t>
      </w:r>
      <w:r w:rsidRPr="00F81B8E">
        <w:rPr>
          <w:lang w:val="en-GB" w:eastAsia="ko-KR"/>
        </w:rPr>
        <w:tab/>
        <w:t>to make recommendations to the Telecommunication Standardization Advisory Group on how to address the topics that are outside the mandate of Study Group 13,</w:t>
      </w:r>
    </w:p>
    <w:p w:rsidR="00460B4F" w:rsidRDefault="00460B4F" w:rsidP="00460B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i/>
          <w:lang w:val="en-GB" w:eastAsia="ko-KR"/>
        </w:rPr>
      </w:pPr>
      <w:r>
        <w:rPr>
          <w:lang w:val="en-GB" w:eastAsia="ko-KR"/>
        </w:rPr>
        <w:br w:type="page"/>
      </w:r>
    </w:p>
    <w:p w:rsidR="00460B4F" w:rsidRPr="00F81B8E" w:rsidRDefault="00460B4F" w:rsidP="00460B4F">
      <w:pPr>
        <w:pStyle w:val="Call"/>
        <w:rPr>
          <w:rtl/>
          <w:lang w:val="en-GB" w:eastAsia="ko-KR"/>
        </w:rPr>
      </w:pPr>
      <w:r w:rsidRPr="00F81B8E">
        <w:rPr>
          <w:lang w:val="en-GB" w:eastAsia="ko-KR"/>
        </w:rPr>
        <w:lastRenderedPageBreak/>
        <w:t>instructs the Telecommunication Standardization Advisory Group</w:t>
      </w:r>
    </w:p>
    <w:p w:rsidR="00460B4F" w:rsidRPr="00F81B8E" w:rsidRDefault="00460B4F" w:rsidP="00460B4F">
      <w:pPr>
        <w:rPr>
          <w:rFonts w:eastAsia="SimSun"/>
          <w:lang w:val="en-GB" w:eastAsia="zh-CN"/>
        </w:rPr>
      </w:pPr>
      <w:r w:rsidRPr="00F81B8E">
        <w:rPr>
          <w:lang w:val="en-GB"/>
        </w:rPr>
        <w:t xml:space="preserve">to examine the matter, consider the input of Study Group 13 and other relevant study groups and take the necessary actions, as appropriate, with a view </w:t>
      </w:r>
      <w:r w:rsidRPr="00F81B8E">
        <w:rPr>
          <w:rFonts w:eastAsia="SimSun"/>
          <w:lang w:val="en-GB" w:eastAsia="zh-CN"/>
        </w:rPr>
        <w:t xml:space="preserve">to deciding </w:t>
      </w:r>
      <w:r w:rsidRPr="00F81B8E">
        <w:rPr>
          <w:lang w:val="en-GB"/>
        </w:rPr>
        <w:t>on</w:t>
      </w:r>
      <w:r w:rsidRPr="00F81B8E">
        <w:rPr>
          <w:rFonts w:eastAsia="SimSun"/>
          <w:lang w:val="en-GB" w:eastAsia="zh-CN"/>
        </w:rPr>
        <w:t xml:space="preserve"> the necessary SDN standardization </w:t>
      </w:r>
      <w:r w:rsidRPr="00F81B8E">
        <w:rPr>
          <w:lang w:val="en-GB"/>
        </w:rPr>
        <w:t>activities</w:t>
      </w:r>
      <w:r w:rsidRPr="00F81B8E">
        <w:rPr>
          <w:rFonts w:eastAsia="SimSun"/>
          <w:lang w:val="en-GB" w:eastAsia="zh-CN"/>
        </w:rPr>
        <w:t xml:space="preserve"> in ITU</w:t>
      </w:r>
      <w:r w:rsidRPr="00F81B8E">
        <w:rPr>
          <w:rFonts w:eastAsia="SimSun"/>
          <w:lang w:val="en-GB" w:eastAsia="zh-CN"/>
        </w:rPr>
        <w:noBreakHyphen/>
        <w:t>T,</w:t>
      </w:r>
      <w:r w:rsidRPr="00F81B8E">
        <w:rPr>
          <w:lang w:val="en-GB"/>
        </w:rPr>
        <w:t xml:space="preserve"> with the following actions</w:t>
      </w:r>
      <w:r w:rsidRPr="00F81B8E">
        <w:rPr>
          <w:rFonts w:eastAsia="SimSun"/>
          <w:lang w:val="en-GB" w:eastAsia="zh-CN"/>
        </w:rPr>
        <w:t xml:space="preserve">: </w:t>
      </w:r>
    </w:p>
    <w:p w:rsidR="00460B4F" w:rsidRPr="00F81B8E" w:rsidRDefault="00460B4F" w:rsidP="00460B4F">
      <w:pPr>
        <w:pStyle w:val="enumlev1"/>
        <w:rPr>
          <w:rFonts w:eastAsia="SimSun"/>
          <w:lang w:val="en-GB" w:eastAsia="zh-CN"/>
        </w:rPr>
      </w:pPr>
      <w:r w:rsidRPr="00F81B8E">
        <w:rPr>
          <w:rFonts w:eastAsia="SimSun"/>
          <w:lang w:val="en-GB" w:eastAsia="zh-CN"/>
        </w:rPr>
        <w:t>•</w:t>
      </w:r>
      <w:r w:rsidRPr="00F81B8E">
        <w:rPr>
          <w:rFonts w:eastAsia="SimSun"/>
          <w:lang w:val="en-GB" w:eastAsia="zh-CN"/>
        </w:rPr>
        <w:tab/>
      </w:r>
      <w:r w:rsidRPr="00F81B8E">
        <w:rPr>
          <w:lang w:val="en-GB"/>
        </w:rPr>
        <w:t xml:space="preserve">identify the relevant study group(s) in which to follow up actions </w:t>
      </w:r>
      <w:r w:rsidRPr="00F81B8E">
        <w:rPr>
          <w:rFonts w:eastAsia="SimSun"/>
          <w:lang w:val="en-GB" w:eastAsia="zh-CN"/>
        </w:rPr>
        <w:t>and establish a suitable organizational arrangement</w:t>
      </w:r>
      <w:r w:rsidRPr="00F81B8E">
        <w:rPr>
          <w:lang w:val="en-GB"/>
        </w:rPr>
        <w:t xml:space="preserve"> on </w:t>
      </w:r>
      <w:r w:rsidRPr="00F81B8E">
        <w:rPr>
          <w:rFonts w:eastAsia="SimSun"/>
          <w:lang w:val="en-GB" w:eastAsia="zh-CN"/>
        </w:rPr>
        <w:t xml:space="preserve">SDN; </w:t>
      </w:r>
    </w:p>
    <w:p w:rsidR="00460B4F" w:rsidRPr="00F81B8E" w:rsidRDefault="00460B4F" w:rsidP="00460B4F">
      <w:pPr>
        <w:pStyle w:val="enumlev1"/>
        <w:rPr>
          <w:rFonts w:eastAsia="SimSun"/>
          <w:lang w:val="en-GB" w:eastAsia="zh-CN"/>
        </w:rPr>
      </w:pPr>
      <w:r w:rsidRPr="00F81B8E">
        <w:rPr>
          <w:rFonts w:eastAsia="SimSun"/>
          <w:lang w:val="en-GB" w:eastAsia="zh-CN"/>
        </w:rPr>
        <w:t>•</w:t>
      </w:r>
      <w:r w:rsidRPr="00F81B8E">
        <w:rPr>
          <w:rFonts w:eastAsia="SimSun"/>
          <w:lang w:val="en-GB" w:eastAsia="zh-CN"/>
        </w:rPr>
        <w:tab/>
        <w:t>coordinate the work on technical issues of SDN across the study groups according to their areas of expertise;</w:t>
      </w:r>
    </w:p>
    <w:p w:rsidR="00460B4F" w:rsidRPr="00F81B8E" w:rsidRDefault="00460B4F" w:rsidP="00460B4F">
      <w:pPr>
        <w:pStyle w:val="enumlev1"/>
        <w:rPr>
          <w:rFonts w:eastAsia="SimSun"/>
          <w:lang w:val="en-GB" w:eastAsia="zh-CN"/>
        </w:rPr>
      </w:pPr>
      <w:r w:rsidRPr="00F81B8E">
        <w:rPr>
          <w:rFonts w:eastAsia="SimSun"/>
          <w:lang w:val="en-GB" w:eastAsia="zh-CN"/>
        </w:rPr>
        <w:t>•</w:t>
      </w:r>
      <w:r w:rsidRPr="00F81B8E">
        <w:rPr>
          <w:rFonts w:eastAsia="SimSun"/>
          <w:lang w:val="en-GB" w:eastAsia="zh-CN"/>
        </w:rPr>
        <w:tab/>
      </w:r>
      <w:r w:rsidRPr="00F81B8E">
        <w:rPr>
          <w:lang w:val="en-GB"/>
        </w:rPr>
        <w:t>promote</w:t>
      </w:r>
      <w:r w:rsidRPr="00F81B8E">
        <w:rPr>
          <w:rFonts w:eastAsia="SimSun"/>
          <w:lang w:val="en-GB" w:eastAsia="zh-CN"/>
        </w:rPr>
        <w:t xml:space="preserve"> collaboration with other SDN-related standards bodies and forums;</w:t>
      </w:r>
    </w:p>
    <w:p w:rsidR="00460B4F" w:rsidRPr="00F81B8E" w:rsidRDefault="00460B4F" w:rsidP="00460B4F">
      <w:pPr>
        <w:pStyle w:val="enumlev1"/>
        <w:rPr>
          <w:rFonts w:eastAsia="SimSun"/>
          <w:lang w:val="en-GB" w:eastAsia="zh-CN"/>
        </w:rPr>
      </w:pPr>
      <w:r w:rsidRPr="00F81B8E">
        <w:rPr>
          <w:rFonts w:eastAsia="SimSun"/>
          <w:lang w:val="en-GB" w:eastAsia="zh-CN"/>
        </w:rPr>
        <w:t>•</w:t>
      </w:r>
      <w:r w:rsidRPr="00F81B8E">
        <w:rPr>
          <w:rFonts w:eastAsia="SimSun"/>
          <w:lang w:val="en-GB" w:eastAsia="zh-CN"/>
        </w:rPr>
        <w:tab/>
        <w:t>define a clear strategic vision for SDN standardization and an important active role that ITU</w:t>
      </w:r>
      <w:r w:rsidRPr="00F81B8E">
        <w:rPr>
          <w:rFonts w:eastAsia="SimSun"/>
          <w:lang w:val="en-GB" w:eastAsia="zh-CN"/>
        </w:rPr>
        <w:noBreakHyphen/>
        <w:t>T should play,</w:t>
      </w:r>
    </w:p>
    <w:p w:rsidR="00460B4F" w:rsidRPr="00F81B8E" w:rsidRDefault="00460B4F" w:rsidP="00460B4F">
      <w:pPr>
        <w:pStyle w:val="Call"/>
        <w:rPr>
          <w:lang w:val="en-GB" w:eastAsia="ko-KR"/>
        </w:rPr>
      </w:pPr>
      <w:r w:rsidRPr="00F81B8E">
        <w:rPr>
          <w:lang w:val="en-GB"/>
        </w:rPr>
        <w:t>instructs the Director of the Telecommunication Standardization Bureau</w:t>
      </w:r>
    </w:p>
    <w:p w:rsidR="00460B4F" w:rsidRPr="00F81B8E" w:rsidRDefault="00460B4F" w:rsidP="00460B4F">
      <w:pPr>
        <w:rPr>
          <w:rFonts w:eastAsia="SimSun"/>
          <w:lang w:val="en-GB" w:eastAsia="zh-CN"/>
        </w:rPr>
      </w:pPr>
      <w:r w:rsidRPr="00F81B8E">
        <w:rPr>
          <w:rFonts w:eastAsia="SimSun"/>
          <w:lang w:val="en-GB" w:eastAsia="zh-CN"/>
        </w:rPr>
        <w:t>1</w:t>
      </w:r>
      <w:r w:rsidRPr="00F81B8E">
        <w:rPr>
          <w:rFonts w:eastAsia="SimSun"/>
          <w:lang w:val="en-GB" w:eastAsia="zh-CN"/>
        </w:rPr>
        <w:tab/>
      </w:r>
      <w:r w:rsidRPr="00F81B8E">
        <w:rPr>
          <w:lang w:val="en-GB"/>
        </w:rPr>
        <w:t>to</w:t>
      </w:r>
      <w:r w:rsidRPr="00F81B8E">
        <w:rPr>
          <w:color w:val="000000"/>
          <w:szCs w:val="24"/>
          <w:lang w:val="en-GB"/>
        </w:rPr>
        <w:t> </w:t>
      </w:r>
      <w:r w:rsidRPr="00F81B8E">
        <w:rPr>
          <w:lang w:val="en-GB"/>
        </w:rPr>
        <w:t>provide</w:t>
      </w:r>
      <w:r w:rsidRPr="00F81B8E">
        <w:rPr>
          <w:color w:val="000000"/>
          <w:szCs w:val="24"/>
          <w:lang w:val="en-GB"/>
        </w:rPr>
        <w:t xml:space="preserve"> the </w:t>
      </w:r>
      <w:r w:rsidRPr="00F81B8E">
        <w:rPr>
          <w:lang w:val="en-GB"/>
        </w:rPr>
        <w:t>necessary assistance with</w:t>
      </w:r>
      <w:r w:rsidRPr="00F81B8E">
        <w:rPr>
          <w:color w:val="000000"/>
          <w:szCs w:val="24"/>
          <w:lang w:val="en-GB"/>
        </w:rPr>
        <w:t> </w:t>
      </w:r>
      <w:r w:rsidRPr="00F81B8E">
        <w:rPr>
          <w:lang w:val="en-GB"/>
        </w:rPr>
        <w:t>a</w:t>
      </w:r>
      <w:r w:rsidRPr="00F81B8E">
        <w:rPr>
          <w:color w:val="000000"/>
          <w:szCs w:val="24"/>
          <w:lang w:val="en-GB"/>
        </w:rPr>
        <w:t> </w:t>
      </w:r>
      <w:r w:rsidRPr="00F81B8E">
        <w:rPr>
          <w:lang w:val="en-GB"/>
        </w:rPr>
        <w:t>view to expediting</w:t>
      </w:r>
      <w:r w:rsidRPr="00F81B8E">
        <w:rPr>
          <w:color w:val="000000"/>
          <w:szCs w:val="24"/>
          <w:lang w:val="en-GB"/>
        </w:rPr>
        <w:t> </w:t>
      </w:r>
      <w:r w:rsidRPr="00F81B8E">
        <w:rPr>
          <w:lang w:val="en-GB"/>
        </w:rPr>
        <w:t>such efforts, in particular using any opportunity within the allocated budget</w:t>
      </w:r>
      <w:r w:rsidRPr="00F81B8E">
        <w:rPr>
          <w:rFonts w:eastAsia="SimSun"/>
          <w:lang w:val="en-GB" w:eastAsia="zh-CN"/>
        </w:rPr>
        <w:t xml:space="preserve"> to exchange opinions with the telecommunication/ICT industry </w:t>
      </w:r>
      <w:r w:rsidRPr="00F81B8E">
        <w:rPr>
          <w:color w:val="000000"/>
          <w:szCs w:val="24"/>
          <w:lang w:val="en-GB"/>
        </w:rPr>
        <w:t>including through</w:t>
      </w:r>
      <w:r w:rsidRPr="00F81B8E">
        <w:rPr>
          <w:rFonts w:eastAsia="SimSun"/>
          <w:lang w:val="en-GB" w:eastAsia="zh-CN"/>
        </w:rPr>
        <w:t xml:space="preserve"> the chief technology officer (CTO) meetings (under Resolution 68 (Rev. Dubai, 2012) of this assembly) and in particular to promote participation of the industry in SDN standardization work in ITU</w:t>
      </w:r>
      <w:r w:rsidRPr="00F81B8E">
        <w:rPr>
          <w:rFonts w:eastAsia="SimSun"/>
          <w:lang w:val="en-GB" w:eastAsia="zh-CN"/>
        </w:rPr>
        <w:noBreakHyphen/>
        <w:t>T;</w:t>
      </w:r>
    </w:p>
    <w:p w:rsidR="00460B4F" w:rsidRPr="00F81B8E" w:rsidRDefault="00460B4F" w:rsidP="00460B4F">
      <w:pPr>
        <w:rPr>
          <w:rFonts w:eastAsia="SimSun"/>
          <w:lang w:val="en-GB" w:eastAsia="zh-CN"/>
        </w:rPr>
      </w:pPr>
      <w:r w:rsidRPr="00F81B8E">
        <w:rPr>
          <w:rFonts w:eastAsia="SimSun"/>
          <w:lang w:val="en-GB" w:eastAsia="zh-CN"/>
        </w:rPr>
        <w:t>2</w:t>
      </w:r>
      <w:r w:rsidRPr="00F81B8E">
        <w:rPr>
          <w:rFonts w:eastAsia="SimSun"/>
          <w:lang w:val="en-GB" w:eastAsia="zh-CN"/>
        </w:rPr>
        <w:tab/>
        <w:t>to organize a workshop on SDN in 2013 in order to promote SDN within ITU-T,</w:t>
      </w:r>
    </w:p>
    <w:p w:rsidR="00460B4F" w:rsidRPr="00F81B8E" w:rsidRDefault="00460B4F" w:rsidP="00460B4F">
      <w:pPr>
        <w:pStyle w:val="Call"/>
        <w:rPr>
          <w:rtl/>
          <w:lang w:val="en-GB"/>
        </w:rPr>
      </w:pPr>
      <w:r w:rsidRPr="00F81B8E">
        <w:rPr>
          <w:lang w:val="en-GB"/>
        </w:rPr>
        <w:t>invites Member States</w:t>
      </w:r>
      <w:r w:rsidRPr="00F81B8E">
        <w:rPr>
          <w:rFonts w:eastAsia="MS Mincho"/>
          <w:lang w:val="en-GB" w:eastAsia="ja-JP"/>
        </w:rPr>
        <w:t>,</w:t>
      </w:r>
      <w:r w:rsidRPr="00F81B8E">
        <w:rPr>
          <w:lang w:val="en-GB"/>
        </w:rPr>
        <w:t xml:space="preserve"> Sector Members</w:t>
      </w:r>
      <w:r w:rsidRPr="00F81B8E">
        <w:rPr>
          <w:rFonts w:eastAsia="MS Mincho"/>
          <w:lang w:val="en-GB" w:eastAsia="ja-JP"/>
        </w:rPr>
        <w:t>, Associates and academia</w:t>
      </w:r>
      <w:r w:rsidRPr="00F81B8E">
        <w:rPr>
          <w:lang w:val="en-GB"/>
        </w:rPr>
        <w:t xml:space="preserve"> </w:t>
      </w:r>
    </w:p>
    <w:p w:rsidR="00460B4F" w:rsidRPr="00F81B8E" w:rsidRDefault="00460B4F" w:rsidP="00460B4F">
      <w:pPr>
        <w:rPr>
          <w:rFonts w:eastAsia="SimSun"/>
          <w:lang w:val="en-GB" w:eastAsia="zh-CN"/>
        </w:rPr>
      </w:pPr>
      <w:r w:rsidRPr="00F81B8E">
        <w:rPr>
          <w:lang w:val="en-GB"/>
        </w:rPr>
        <w:t xml:space="preserve">to submit contributions </w:t>
      </w:r>
      <w:r w:rsidRPr="00F81B8E">
        <w:rPr>
          <w:rFonts w:eastAsia="SimSun"/>
          <w:lang w:val="en-GB" w:eastAsia="zh-CN"/>
        </w:rPr>
        <w:t>for developing SDN standardization in ITU</w:t>
      </w:r>
      <w:r w:rsidRPr="00F81B8E">
        <w:rPr>
          <w:rFonts w:eastAsia="SimSun"/>
          <w:lang w:val="en-GB" w:eastAsia="zh-CN"/>
        </w:rPr>
        <w:noBreakHyphen/>
        <w:t>T.</w:t>
      </w:r>
    </w:p>
    <w:p w:rsidR="00460B4F" w:rsidRDefault="00460B4F" w:rsidP="00460B4F">
      <w:pPr>
        <w:rPr>
          <w:lang w:val="en-GB"/>
        </w:rPr>
      </w:pPr>
    </w:p>
    <w:p w:rsidR="00460B4F" w:rsidRDefault="00460B4F" w:rsidP="00460B4F">
      <w:pPr>
        <w:rPr>
          <w:lang w:val="en-GB"/>
        </w:rPr>
      </w:pPr>
    </w:p>
    <w:p w:rsidR="00460B4F" w:rsidRDefault="00460B4F" w:rsidP="00460B4F">
      <w:pPr>
        <w:rPr>
          <w:lang w:val="en-GB"/>
        </w:rPr>
      </w:pPr>
    </w:p>
    <w:p w:rsidR="00460B4F" w:rsidRDefault="00460B4F" w:rsidP="00460B4F">
      <w:pPr>
        <w:rPr>
          <w:lang w:val="en-GB"/>
        </w:rPr>
      </w:pPr>
    </w:p>
    <w:p w:rsidR="00460B4F" w:rsidRDefault="00460B4F" w:rsidP="00460B4F">
      <w:pPr>
        <w:rPr>
          <w:lang w:val="en-GB"/>
        </w:rPr>
      </w:pPr>
    </w:p>
    <w:p w:rsidR="00460B4F" w:rsidRDefault="00460B4F" w:rsidP="00460B4F">
      <w:pPr>
        <w:rPr>
          <w:lang w:val="en-GB"/>
        </w:rPr>
      </w:pPr>
    </w:p>
    <w:p w:rsidR="00460B4F" w:rsidRDefault="00460B4F" w:rsidP="00460B4F">
      <w:pPr>
        <w:rPr>
          <w:lang w:val="en-GB"/>
        </w:rPr>
      </w:pPr>
    </w:p>
    <w:p w:rsidR="00460B4F" w:rsidRDefault="00460B4F" w:rsidP="00460B4F">
      <w:pPr>
        <w:rPr>
          <w:lang w:val="en-GB"/>
        </w:rPr>
      </w:pPr>
    </w:p>
    <w:p w:rsidR="00B06757" w:rsidRPr="00B06757" w:rsidRDefault="00B06757" w:rsidP="00460B4F">
      <w:pPr>
        <w:pStyle w:val="Restitle"/>
        <w:rPr>
          <w:lang w:val="en-GB"/>
        </w:rPr>
      </w:pPr>
    </w:p>
    <w:sectPr w:rsidR="00B06757" w:rsidRPr="00B06757" w:rsidSect="00FC6F33">
      <w:headerReference w:type="even" r:id="rId14"/>
      <w:footerReference w:type="even" r:id="rId15"/>
      <w:footerReference w:type="default" r:id="rId16"/>
      <w:footnotePr>
        <w:pos w:val="beneathText"/>
        <w:numRestart w:val="eachSect"/>
      </w:footnotePr>
      <w:type w:val="oddPage"/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CD" w:rsidRDefault="008075CD">
      <w:r>
        <w:separator/>
      </w:r>
    </w:p>
  </w:endnote>
  <w:endnote w:type="continuationSeparator" w:id="0">
    <w:p w:rsidR="008075CD" w:rsidRDefault="0080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E4" w:rsidRPr="00FC6F33" w:rsidRDefault="00FC6F33" w:rsidP="00FC6F33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05DF4">
      <w:rPr>
        <w:noProof/>
      </w:rPr>
      <w:t>2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605DF4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F4" w:rsidRPr="00B73379" w:rsidRDefault="00C72AF4" w:rsidP="00C72AF4">
    <w:pPr>
      <w:pStyle w:val="FooterQP"/>
      <w:rPr>
        <w:lang w:val="en-US"/>
      </w:rPr>
    </w:pP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16BA5">
      <w:rPr>
        <w:b w:val="0"/>
        <w:bCs/>
        <w:noProof/>
        <w:lang w:val="en-US"/>
      </w:rPr>
      <w:t>2</w:t>
    </w:r>
    <w:r w:rsidRPr="00B73379">
      <w:rPr>
        <w:b w:val="0"/>
        <w:bCs/>
      </w:rPr>
      <w:fldChar w:fldCharType="end"/>
    </w:r>
    <w:r>
      <w:rPr>
        <w:lang w:val="en-US"/>
      </w:rPr>
      <w:tab/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E16BA5">
      <w:rPr>
        <w:noProof/>
      </w:rPr>
      <w:t>77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F4" w:rsidRPr="00FC6F33" w:rsidRDefault="00605DF4" w:rsidP="00FC6F33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066A0">
      <w:rPr>
        <w:noProof/>
      </w:rPr>
      <w:t>77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6066A0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CD" w:rsidRDefault="008075CD">
      <w:r>
        <w:t>____________________</w:t>
      </w:r>
    </w:p>
  </w:footnote>
  <w:footnote w:type="continuationSeparator" w:id="0">
    <w:p w:rsidR="008075CD" w:rsidRDefault="00807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B6" w:rsidRDefault="008968B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B6" w:rsidRDefault="008968B6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F4" w:rsidRDefault="00C72AF4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8"/>
  </w:num>
  <w:num w:numId="2">
    <w:abstractNumId w:val="13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</w:num>
  <w:num w:numId="6">
    <w:abstractNumId w:val="8"/>
  </w:num>
  <w:num w:numId="7">
    <w:abstractNumId w:val="6"/>
  </w:num>
  <w:num w:numId="8">
    <w:abstractNumId w:val="2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"/>
  </w:num>
  <w:num w:numId="12">
    <w:abstractNumId w:val="14"/>
  </w:num>
  <w:num w:numId="13">
    <w:abstractNumId w:val="15"/>
  </w:num>
  <w:num w:numId="14">
    <w:abstractNumId w:val="23"/>
  </w:num>
  <w:num w:numId="15">
    <w:abstractNumId w:val="12"/>
  </w:num>
  <w:num w:numId="16">
    <w:abstractNumId w:val="27"/>
  </w:num>
  <w:num w:numId="17">
    <w:abstractNumId w:val="24"/>
  </w:num>
  <w:num w:numId="18">
    <w:abstractNumId w:val="19"/>
  </w:num>
  <w:num w:numId="19">
    <w:abstractNumId w:val="9"/>
  </w:num>
  <w:num w:numId="20">
    <w:abstractNumId w:val="16"/>
  </w:num>
  <w:num w:numId="21">
    <w:abstractNumId w:val="10"/>
  </w:num>
  <w:num w:numId="22">
    <w:abstractNumId w:val="22"/>
  </w:num>
  <w:num w:numId="23">
    <w:abstractNumId w:val="7"/>
  </w:num>
  <w:num w:numId="24">
    <w:abstractNumId w:val="2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26"/>
    <w:rsid w:val="00001053"/>
    <w:rsid w:val="00011D78"/>
    <w:rsid w:val="00017B45"/>
    <w:rsid w:val="0003503D"/>
    <w:rsid w:val="000362C1"/>
    <w:rsid w:val="000409CD"/>
    <w:rsid w:val="00066EDE"/>
    <w:rsid w:val="00067992"/>
    <w:rsid w:val="000B071B"/>
    <w:rsid w:val="000B47CD"/>
    <w:rsid w:val="000B5A36"/>
    <w:rsid w:val="000C22AE"/>
    <w:rsid w:val="000C331E"/>
    <w:rsid w:val="000D378F"/>
    <w:rsid w:val="000D3CE4"/>
    <w:rsid w:val="000D5219"/>
    <w:rsid w:val="000D6DAE"/>
    <w:rsid w:val="000E31FB"/>
    <w:rsid w:val="000E4393"/>
    <w:rsid w:val="000E77C5"/>
    <w:rsid w:val="00113415"/>
    <w:rsid w:val="001309FB"/>
    <w:rsid w:val="00140FDA"/>
    <w:rsid w:val="0016708A"/>
    <w:rsid w:val="00184063"/>
    <w:rsid w:val="001A0696"/>
    <w:rsid w:val="001A31C9"/>
    <w:rsid w:val="001B4A76"/>
    <w:rsid w:val="001C5240"/>
    <w:rsid w:val="001C604C"/>
    <w:rsid w:val="002204D5"/>
    <w:rsid w:val="002210D5"/>
    <w:rsid w:val="0022202A"/>
    <w:rsid w:val="00227040"/>
    <w:rsid w:val="00246C17"/>
    <w:rsid w:val="002524EB"/>
    <w:rsid w:val="0026429C"/>
    <w:rsid w:val="002742C3"/>
    <w:rsid w:val="002C182C"/>
    <w:rsid w:val="002D5607"/>
    <w:rsid w:val="00323A12"/>
    <w:rsid w:val="00331B2F"/>
    <w:rsid w:val="00331B48"/>
    <w:rsid w:val="003374BB"/>
    <w:rsid w:val="0038237B"/>
    <w:rsid w:val="003C3FD9"/>
    <w:rsid w:val="003C4586"/>
    <w:rsid w:val="003D116F"/>
    <w:rsid w:val="003D7A8C"/>
    <w:rsid w:val="003F293E"/>
    <w:rsid w:val="003F3EE0"/>
    <w:rsid w:val="00443663"/>
    <w:rsid w:val="004568D2"/>
    <w:rsid w:val="00460B4F"/>
    <w:rsid w:val="004612A7"/>
    <w:rsid w:val="00462F6A"/>
    <w:rsid w:val="00467305"/>
    <w:rsid w:val="00471930"/>
    <w:rsid w:val="0048772A"/>
    <w:rsid w:val="004947A6"/>
    <w:rsid w:val="004A1E15"/>
    <w:rsid w:val="004F2E56"/>
    <w:rsid w:val="00501F47"/>
    <w:rsid w:val="00504D1F"/>
    <w:rsid w:val="00522B42"/>
    <w:rsid w:val="00524FB2"/>
    <w:rsid w:val="00555B84"/>
    <w:rsid w:val="005569CA"/>
    <w:rsid w:val="00562EF2"/>
    <w:rsid w:val="005722AD"/>
    <w:rsid w:val="00574CFF"/>
    <w:rsid w:val="005B4298"/>
    <w:rsid w:val="005C5595"/>
    <w:rsid w:val="005D1D45"/>
    <w:rsid w:val="005D45C9"/>
    <w:rsid w:val="00601999"/>
    <w:rsid w:val="00605DF4"/>
    <w:rsid w:val="006066A0"/>
    <w:rsid w:val="00611CD0"/>
    <w:rsid w:val="00631549"/>
    <w:rsid w:val="006425B4"/>
    <w:rsid w:val="00653C1B"/>
    <w:rsid w:val="00664462"/>
    <w:rsid w:val="00665F6E"/>
    <w:rsid w:val="006678D7"/>
    <w:rsid w:val="00693D4F"/>
    <w:rsid w:val="00697D23"/>
    <w:rsid w:val="006B0459"/>
    <w:rsid w:val="006B21A6"/>
    <w:rsid w:val="006B5593"/>
    <w:rsid w:val="006B5987"/>
    <w:rsid w:val="006D724B"/>
    <w:rsid w:val="006E13C5"/>
    <w:rsid w:val="00704AD8"/>
    <w:rsid w:val="00707551"/>
    <w:rsid w:val="007116DC"/>
    <w:rsid w:val="0071403C"/>
    <w:rsid w:val="00720F3C"/>
    <w:rsid w:val="00727B22"/>
    <w:rsid w:val="007352F1"/>
    <w:rsid w:val="0074102F"/>
    <w:rsid w:val="00753A69"/>
    <w:rsid w:val="007550BF"/>
    <w:rsid w:val="00773B43"/>
    <w:rsid w:val="00780423"/>
    <w:rsid w:val="00783EB8"/>
    <w:rsid w:val="007958DD"/>
    <w:rsid w:val="00797473"/>
    <w:rsid w:val="007B42DA"/>
    <w:rsid w:val="007E0240"/>
    <w:rsid w:val="007E76BC"/>
    <w:rsid w:val="008039C9"/>
    <w:rsid w:val="008075CD"/>
    <w:rsid w:val="00825222"/>
    <w:rsid w:val="00851E30"/>
    <w:rsid w:val="00874152"/>
    <w:rsid w:val="008968B6"/>
    <w:rsid w:val="008B4CF6"/>
    <w:rsid w:val="008C7FC3"/>
    <w:rsid w:val="008D2DB4"/>
    <w:rsid w:val="008D6D8D"/>
    <w:rsid w:val="009055E3"/>
    <w:rsid w:val="00905B41"/>
    <w:rsid w:val="00914267"/>
    <w:rsid w:val="00916468"/>
    <w:rsid w:val="00916DDD"/>
    <w:rsid w:val="0092650E"/>
    <w:rsid w:val="00931EE1"/>
    <w:rsid w:val="009330E7"/>
    <w:rsid w:val="0093423B"/>
    <w:rsid w:val="00934946"/>
    <w:rsid w:val="0095090C"/>
    <w:rsid w:val="00974C0C"/>
    <w:rsid w:val="009755D7"/>
    <w:rsid w:val="00982620"/>
    <w:rsid w:val="00985CBA"/>
    <w:rsid w:val="009B33F4"/>
    <w:rsid w:val="009B4C66"/>
    <w:rsid w:val="009C2357"/>
    <w:rsid w:val="009D10A5"/>
    <w:rsid w:val="009D26AE"/>
    <w:rsid w:val="009F7009"/>
    <w:rsid w:val="00A01A91"/>
    <w:rsid w:val="00A24E9A"/>
    <w:rsid w:val="00A26B1A"/>
    <w:rsid w:val="00A83D3D"/>
    <w:rsid w:val="00A976AC"/>
    <w:rsid w:val="00AA2D89"/>
    <w:rsid w:val="00AC7876"/>
    <w:rsid w:val="00AD1DE8"/>
    <w:rsid w:val="00AE4C26"/>
    <w:rsid w:val="00AF00E5"/>
    <w:rsid w:val="00B06757"/>
    <w:rsid w:val="00B06F6C"/>
    <w:rsid w:val="00B130BD"/>
    <w:rsid w:val="00B23929"/>
    <w:rsid w:val="00B3059C"/>
    <w:rsid w:val="00B33CAA"/>
    <w:rsid w:val="00B50CB4"/>
    <w:rsid w:val="00B50D4E"/>
    <w:rsid w:val="00B50F17"/>
    <w:rsid w:val="00B56BC0"/>
    <w:rsid w:val="00B67290"/>
    <w:rsid w:val="00B71AB9"/>
    <w:rsid w:val="00B73379"/>
    <w:rsid w:val="00B73B62"/>
    <w:rsid w:val="00B75029"/>
    <w:rsid w:val="00B92804"/>
    <w:rsid w:val="00BB34EA"/>
    <w:rsid w:val="00BE0ACB"/>
    <w:rsid w:val="00BE58E6"/>
    <w:rsid w:val="00BF610E"/>
    <w:rsid w:val="00C1149D"/>
    <w:rsid w:val="00C12E70"/>
    <w:rsid w:val="00C32F69"/>
    <w:rsid w:val="00C42785"/>
    <w:rsid w:val="00C64078"/>
    <w:rsid w:val="00C72AF4"/>
    <w:rsid w:val="00CD10C2"/>
    <w:rsid w:val="00CD3865"/>
    <w:rsid w:val="00CE29CC"/>
    <w:rsid w:val="00CE6C93"/>
    <w:rsid w:val="00CE767E"/>
    <w:rsid w:val="00CF024D"/>
    <w:rsid w:val="00D23AE8"/>
    <w:rsid w:val="00D32C23"/>
    <w:rsid w:val="00D36665"/>
    <w:rsid w:val="00D422A1"/>
    <w:rsid w:val="00D4292A"/>
    <w:rsid w:val="00D457B6"/>
    <w:rsid w:val="00D66950"/>
    <w:rsid w:val="00D8497D"/>
    <w:rsid w:val="00D94D9E"/>
    <w:rsid w:val="00DA7D60"/>
    <w:rsid w:val="00DB2AF8"/>
    <w:rsid w:val="00DB5592"/>
    <w:rsid w:val="00DE0739"/>
    <w:rsid w:val="00DE48B4"/>
    <w:rsid w:val="00DF31C3"/>
    <w:rsid w:val="00E03ABC"/>
    <w:rsid w:val="00E154E2"/>
    <w:rsid w:val="00E16BA5"/>
    <w:rsid w:val="00E300EC"/>
    <w:rsid w:val="00E40876"/>
    <w:rsid w:val="00E5070F"/>
    <w:rsid w:val="00E51820"/>
    <w:rsid w:val="00E56BAB"/>
    <w:rsid w:val="00E6713A"/>
    <w:rsid w:val="00E67297"/>
    <w:rsid w:val="00E758D6"/>
    <w:rsid w:val="00E7762A"/>
    <w:rsid w:val="00E82452"/>
    <w:rsid w:val="00E83C1C"/>
    <w:rsid w:val="00E87FFB"/>
    <w:rsid w:val="00E96B10"/>
    <w:rsid w:val="00E96B11"/>
    <w:rsid w:val="00E96C27"/>
    <w:rsid w:val="00EA7B7B"/>
    <w:rsid w:val="00EE1126"/>
    <w:rsid w:val="00EE2FE2"/>
    <w:rsid w:val="00F0099E"/>
    <w:rsid w:val="00F12607"/>
    <w:rsid w:val="00F15F98"/>
    <w:rsid w:val="00F34748"/>
    <w:rsid w:val="00F67E96"/>
    <w:rsid w:val="00FA70B7"/>
    <w:rsid w:val="00FC6F33"/>
    <w:rsid w:val="00FD23A9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uiPriority w:val="9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FC6F3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hps">
    <w:name w:val="hps"/>
    <w:rsid w:val="00066EDE"/>
  </w:style>
  <w:style w:type="character" w:customStyle="1" w:styleId="Heading1Char">
    <w:name w:val="Heading 1 Char"/>
    <w:link w:val="Heading1"/>
    <w:uiPriority w:val="99"/>
    <w:locked/>
    <w:rsid w:val="0026429C"/>
    <w:rPr>
      <w:rFonts w:ascii="Times New Roman" w:hAnsi="Times New Roman"/>
      <w:b/>
      <w:sz w:val="24"/>
      <w:lang w:val="fr-FR" w:eastAsia="en-US"/>
    </w:rPr>
  </w:style>
  <w:style w:type="paragraph" w:customStyle="1" w:styleId="StyleRecrefBefore6pt">
    <w:name w:val="Style Rec_ref + Before:  6 pt"/>
    <w:basedOn w:val="Recref"/>
    <w:rsid w:val="00AF00E5"/>
    <w:pPr>
      <w:keepNext w:val="0"/>
      <w:keepLines w:val="0"/>
      <w:overflowPunct/>
      <w:autoSpaceDE/>
      <w:autoSpaceDN/>
      <w:adjustRightInd/>
      <w:spacing w:before="120" w:line="240" w:lineRule="auto"/>
      <w:textAlignment w:val="auto"/>
    </w:pPr>
    <w:rPr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uiPriority w:val="9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FC6F3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hps">
    <w:name w:val="hps"/>
    <w:rsid w:val="00066EDE"/>
  </w:style>
  <w:style w:type="character" w:customStyle="1" w:styleId="Heading1Char">
    <w:name w:val="Heading 1 Char"/>
    <w:link w:val="Heading1"/>
    <w:uiPriority w:val="99"/>
    <w:locked/>
    <w:rsid w:val="0026429C"/>
    <w:rPr>
      <w:rFonts w:ascii="Times New Roman" w:hAnsi="Times New Roman"/>
      <w:b/>
      <w:sz w:val="24"/>
      <w:lang w:val="fr-FR" w:eastAsia="en-US"/>
    </w:rPr>
  </w:style>
  <w:style w:type="paragraph" w:customStyle="1" w:styleId="StyleRecrefBefore6pt">
    <w:name w:val="Style Rec_ref + Before:  6 pt"/>
    <w:basedOn w:val="Recref"/>
    <w:rsid w:val="00AF00E5"/>
    <w:pPr>
      <w:keepNext w:val="0"/>
      <w:keepLines w:val="0"/>
      <w:overflowPunct/>
      <w:autoSpaceDE/>
      <w:autoSpaceDN/>
      <w:adjustRightInd/>
      <w:spacing w:before="120" w:line="240" w:lineRule="auto"/>
      <w:textAlignment w:val="auto"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194</TotalTime>
  <Pages>4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Rec. Book 1 Resolutions ITU-T Series A Recommendations:</vt:lpstr>
    </vt:vector>
  </TitlesOfParts>
  <Company>ITU</Company>
  <LinksUpToDate>false</LinksUpToDate>
  <CharactersWithSpaces>4677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ITU-T study group re</dc:creator>
  <cp:keywords>.Book 1,,Book 1</cp:keywords>
  <dc:description>ASM                                 1.12.04      SP_x000d_
Corr. BAT                         8.12.04      SP</dc:description>
  <cp:lastModifiedBy>Al-Yammouni, Hala</cp:lastModifiedBy>
  <cp:revision>88</cp:revision>
  <cp:lastPrinted>2008-12-10T09:03:00Z</cp:lastPrinted>
  <dcterms:created xsi:type="dcterms:W3CDTF">2013-04-17T14:43:00Z</dcterms:created>
  <dcterms:modified xsi:type="dcterms:W3CDTF">2013-04-23T14:22:00Z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