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B8759C" w:rsidP="00B85D56">
            <w:pPr>
              <w:tabs>
                <w:tab w:val="right" w:pos="9639"/>
              </w:tabs>
              <w:jc w:val="left"/>
              <w:rPr>
                <w:rFonts w:ascii="Arial" w:hAnsi="Arial"/>
                <w:b/>
                <w:bCs/>
                <w:sz w:val="36"/>
                <w:lang w:val="fr-CH"/>
              </w:rPr>
            </w:pPr>
            <w:r w:rsidRPr="00DF58D2">
              <w:rPr>
                <w:rFonts w:ascii="Arial" w:hAnsi="Arial" w:cs="Arial"/>
                <w:b/>
                <w:sz w:val="36"/>
                <w:szCs w:val="36"/>
                <w:lang w:val="fr-CH"/>
              </w:rPr>
              <w:t xml:space="preserve">Résolution </w:t>
            </w:r>
            <w:r w:rsidRPr="00DF58D2">
              <w:rPr>
                <w:rStyle w:val="href"/>
                <w:rFonts w:ascii="Arial" w:hAnsi="Arial" w:cs="Arial"/>
                <w:b/>
                <w:sz w:val="36"/>
                <w:szCs w:val="36"/>
                <w:lang w:val="fr-CH"/>
              </w:rPr>
              <w:t xml:space="preserve">75 – </w:t>
            </w:r>
            <w:r w:rsidRPr="00DF58D2">
              <w:rPr>
                <w:rFonts w:ascii="Arial" w:hAnsi="Arial" w:cs="Arial"/>
                <w:b/>
                <w:sz w:val="36"/>
                <w:szCs w:val="36"/>
                <w:lang w:val="fr-CH"/>
              </w:rPr>
              <w:t xml:space="preserve">Contribution du Secteur </w:t>
            </w:r>
            <w:r>
              <w:rPr>
                <w:rFonts w:ascii="Arial" w:hAnsi="Arial" w:cs="Arial"/>
                <w:b/>
                <w:sz w:val="36"/>
                <w:szCs w:val="36"/>
                <w:lang w:val="fr-CH"/>
              </w:rPr>
              <w:br/>
            </w:r>
            <w:r w:rsidRPr="00DF58D2">
              <w:rPr>
                <w:rFonts w:ascii="Arial" w:hAnsi="Arial" w:cs="Arial"/>
                <w:b/>
                <w:sz w:val="36"/>
                <w:szCs w:val="36"/>
                <w:lang w:val="fr-CH"/>
              </w:rPr>
              <w:t xml:space="preserve">de la normalisation des télécommunications </w:t>
            </w:r>
            <w:r w:rsidRPr="00DF58D2">
              <w:rPr>
                <w:rFonts w:ascii="Arial" w:hAnsi="Arial" w:cs="Arial"/>
                <w:b/>
                <w:sz w:val="36"/>
                <w:szCs w:val="36"/>
                <w:lang w:val="fr-CH"/>
              </w:rPr>
              <w:br/>
              <w:t xml:space="preserve">de l'UIT à la mise en œuvre des résultats </w:t>
            </w:r>
            <w:r>
              <w:rPr>
                <w:rFonts w:ascii="Arial" w:hAnsi="Arial" w:cs="Arial"/>
                <w:b/>
                <w:sz w:val="36"/>
                <w:szCs w:val="36"/>
                <w:lang w:val="fr-CH"/>
              </w:rPr>
              <w:br/>
            </w:r>
            <w:r w:rsidRPr="00DF58D2">
              <w:rPr>
                <w:rFonts w:ascii="Arial" w:hAnsi="Arial" w:cs="Arial"/>
                <w:b/>
                <w:sz w:val="36"/>
                <w:szCs w:val="36"/>
                <w:lang w:val="fr-CH"/>
              </w:rPr>
              <w:t>du Sommet mondial sur la société de l'information</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B8759C" w:rsidRPr="00B8759C" w:rsidRDefault="00B8759C" w:rsidP="00B8759C">
      <w:pPr>
        <w:keepNext/>
        <w:keepLines/>
        <w:tabs>
          <w:tab w:val="clear" w:pos="794"/>
          <w:tab w:val="clear" w:pos="1191"/>
          <w:tab w:val="clear" w:pos="1588"/>
          <w:tab w:val="clear" w:pos="1985"/>
        </w:tabs>
        <w:spacing w:before="0" w:line="280" w:lineRule="exact"/>
        <w:jc w:val="center"/>
        <w:rPr>
          <w:caps/>
          <w:sz w:val="28"/>
          <w:lang w:val="fr-CH"/>
        </w:rPr>
      </w:pPr>
      <w:r w:rsidRPr="00B8759C">
        <w:rPr>
          <w:caps/>
          <w:sz w:val="28"/>
          <w:lang w:val="fr-CH"/>
        </w:rPr>
        <w:t>RÉSOLUTION 75 (</w:t>
      </w:r>
      <w:r w:rsidRPr="00B8759C">
        <w:rPr>
          <w:sz w:val="28"/>
          <w:lang w:val="fr-CH"/>
        </w:rPr>
        <w:t>Rév. Dubaï, 2012</w:t>
      </w:r>
      <w:r w:rsidRPr="00B8759C">
        <w:rPr>
          <w:caps/>
          <w:sz w:val="28"/>
          <w:lang w:val="fr-CH"/>
        </w:rPr>
        <w:t>)</w:t>
      </w:r>
    </w:p>
    <w:p w:rsidR="00B8759C" w:rsidRPr="00B8759C" w:rsidRDefault="00B8759C" w:rsidP="00B8759C">
      <w:pPr>
        <w:keepNext/>
        <w:keepLines/>
        <w:spacing w:before="360"/>
        <w:jc w:val="center"/>
        <w:rPr>
          <w:b/>
          <w:sz w:val="28"/>
          <w:lang w:val="fr-CH"/>
        </w:rPr>
      </w:pPr>
      <w:r w:rsidRPr="00B8759C">
        <w:rPr>
          <w:b/>
          <w:sz w:val="28"/>
          <w:lang w:val="fr-CH"/>
        </w:rPr>
        <w:t xml:space="preserve">Contribution du Secteur de la normalisation des télécommunications </w:t>
      </w:r>
      <w:r w:rsidRPr="00B8759C">
        <w:rPr>
          <w:b/>
          <w:sz w:val="28"/>
          <w:lang w:val="fr-CH"/>
        </w:rPr>
        <w:br/>
        <w:t xml:space="preserve">de l'UIT à la mise en œuvre des résultats du Sommet mondial </w:t>
      </w:r>
      <w:r w:rsidRPr="00B8759C">
        <w:rPr>
          <w:b/>
          <w:sz w:val="28"/>
          <w:lang w:val="fr-CH"/>
        </w:rPr>
        <w:br/>
        <w:t>sur la société de l'information</w:t>
      </w:r>
    </w:p>
    <w:p w:rsidR="00B8759C" w:rsidRPr="00B8759C" w:rsidRDefault="00B8759C" w:rsidP="00B8759C">
      <w:pPr>
        <w:keepNext/>
        <w:keepLines/>
        <w:tabs>
          <w:tab w:val="clear" w:pos="794"/>
          <w:tab w:val="clear" w:pos="1191"/>
          <w:tab w:val="clear" w:pos="1588"/>
          <w:tab w:val="clear" w:pos="1985"/>
        </w:tabs>
        <w:spacing w:before="160" w:line="280" w:lineRule="exact"/>
        <w:jc w:val="center"/>
        <w:rPr>
          <w:i/>
          <w:sz w:val="22"/>
        </w:rPr>
      </w:pPr>
      <w:r w:rsidRPr="00B8759C">
        <w:rPr>
          <w:i/>
          <w:sz w:val="22"/>
        </w:rPr>
        <w:t>(Johannesburg, 2008; Dubaï, 2012)</w:t>
      </w:r>
    </w:p>
    <w:p w:rsidR="00B8759C" w:rsidRPr="00B8759C" w:rsidRDefault="00B8759C" w:rsidP="00B8759C">
      <w:pPr>
        <w:tabs>
          <w:tab w:val="clear" w:pos="794"/>
          <w:tab w:val="clear" w:pos="1191"/>
          <w:tab w:val="clear" w:pos="1588"/>
          <w:tab w:val="clear" w:pos="1985"/>
          <w:tab w:val="left" w:pos="1134"/>
          <w:tab w:val="left" w:pos="1871"/>
          <w:tab w:val="left" w:pos="2268"/>
        </w:tabs>
        <w:spacing w:before="280"/>
        <w:rPr>
          <w:sz w:val="22"/>
          <w:lang w:val="fr-CH"/>
        </w:rPr>
      </w:pPr>
      <w:r w:rsidRPr="00B8759C">
        <w:rPr>
          <w:sz w:val="22"/>
          <w:lang w:val="fr-CH"/>
        </w:rPr>
        <w:t>L'Assemblée mondiale de normalisation des télécommunications (Dubaï, 2012),</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considérant</w:t>
      </w:r>
    </w:p>
    <w:p w:rsidR="00B8759C" w:rsidRPr="00B8759C" w:rsidRDefault="00B8759C" w:rsidP="00B8759C">
      <w:pPr>
        <w:spacing w:before="160" w:line="280" w:lineRule="exact"/>
        <w:rPr>
          <w:sz w:val="22"/>
          <w:lang w:val="fr-CH"/>
        </w:rPr>
      </w:pPr>
      <w:r w:rsidRPr="00B8759C">
        <w:rPr>
          <w:i/>
          <w:iCs/>
          <w:sz w:val="22"/>
          <w:lang w:val="fr-CH"/>
        </w:rPr>
        <w:t>a)</w:t>
      </w:r>
      <w:r w:rsidRPr="00B8759C">
        <w:rPr>
          <w:sz w:val="22"/>
          <w:lang w:val="fr-CH"/>
        </w:rPr>
        <w:tab/>
        <w:t>les résultats pertinents des deux phases du Sommet mondial sur la société de l'information (SMSI);</w:t>
      </w:r>
    </w:p>
    <w:p w:rsidR="00B8759C" w:rsidRPr="00B8759C" w:rsidRDefault="00B8759C" w:rsidP="00B8759C">
      <w:pPr>
        <w:spacing w:before="160" w:line="280" w:lineRule="exact"/>
        <w:rPr>
          <w:sz w:val="22"/>
          <w:lang w:val="fr-CH"/>
        </w:rPr>
      </w:pPr>
      <w:r w:rsidRPr="00B8759C">
        <w:rPr>
          <w:i/>
          <w:iCs/>
          <w:sz w:val="22"/>
          <w:lang w:val="fr-CH"/>
        </w:rPr>
        <w:t>b)</w:t>
      </w:r>
      <w:r w:rsidRPr="00B8759C">
        <w:rPr>
          <w:sz w:val="22"/>
          <w:lang w:val="fr-CH"/>
        </w:rPr>
        <w:tab/>
        <w:t>les Résolutions et Décisions pertinentes liées à la mise en œuvre des résultats des deux phases du SMSI et aux questions de politiques publiques internationales relatives à l'Internet, adoptées par la Conférence de plénipotentiaires (Guadalajara, 2010) et par le Conseil de l'UIT à sa session de 2011:</w:t>
      </w:r>
    </w:p>
    <w:p w:rsidR="00B8759C" w:rsidRPr="00B8759C" w:rsidRDefault="00B8759C" w:rsidP="00B8759C">
      <w:pPr>
        <w:spacing w:before="80" w:line="280" w:lineRule="exact"/>
        <w:ind w:left="794" w:hanging="794"/>
        <w:rPr>
          <w:sz w:val="22"/>
          <w:lang w:val="fr-CH"/>
        </w:rPr>
      </w:pPr>
      <w:r w:rsidRPr="00B8759C">
        <w:rPr>
          <w:sz w:val="22"/>
          <w:lang w:val="fr-CH"/>
        </w:rPr>
        <w:t>i)</w:t>
      </w:r>
      <w:r w:rsidRPr="00B8759C">
        <w:rPr>
          <w:sz w:val="22"/>
          <w:lang w:val="fr-CH"/>
        </w:rPr>
        <w:tab/>
        <w:t>la Résolution 71 (Rév. Guadalajara, 2010) de la Conférence de plénipotentiaires relative au Plan stratégique de l'Union pour la période 2012</w:t>
      </w:r>
      <w:r w:rsidRPr="00B8759C">
        <w:rPr>
          <w:sz w:val="22"/>
          <w:lang w:val="fr-CH"/>
        </w:rPr>
        <w:noBreakHyphen/>
        <w:t>2015;</w:t>
      </w:r>
    </w:p>
    <w:p w:rsidR="00B8759C" w:rsidRPr="00B8759C" w:rsidRDefault="00B8759C" w:rsidP="00B8759C">
      <w:pPr>
        <w:spacing w:before="80" w:line="280" w:lineRule="exact"/>
        <w:ind w:left="794" w:hanging="794"/>
        <w:rPr>
          <w:sz w:val="22"/>
          <w:lang w:val="fr-CH"/>
        </w:rPr>
      </w:pPr>
      <w:r w:rsidRPr="00B8759C">
        <w:rPr>
          <w:sz w:val="22"/>
          <w:lang w:val="fr-CH"/>
        </w:rPr>
        <w:t>ii)</w:t>
      </w:r>
      <w:r w:rsidRPr="00B8759C">
        <w:rPr>
          <w:sz w:val="22"/>
          <w:lang w:val="fr-CH"/>
        </w:rPr>
        <w:tab/>
        <w:t>la Résolution 101 (Rév. Guadalajara, 2010) de la Conférence de plénipotentiaires relative aux réseaux fondés sur le protocole Internet;</w:t>
      </w:r>
    </w:p>
    <w:p w:rsidR="00B8759C" w:rsidRPr="00B8759C" w:rsidRDefault="00B8759C" w:rsidP="00B8759C">
      <w:pPr>
        <w:spacing w:before="80" w:line="280" w:lineRule="exact"/>
        <w:ind w:left="794" w:hanging="794"/>
        <w:rPr>
          <w:sz w:val="22"/>
          <w:lang w:val="fr-CH"/>
        </w:rPr>
      </w:pPr>
      <w:r w:rsidRPr="00B8759C">
        <w:rPr>
          <w:sz w:val="22"/>
          <w:lang w:val="fr-CH"/>
        </w:rPr>
        <w:t>iii)</w:t>
      </w:r>
      <w:r w:rsidRPr="00B8759C">
        <w:rPr>
          <w:sz w:val="22"/>
          <w:lang w:val="fr-CH"/>
        </w:rPr>
        <w:tab/>
        <w:t>la Résolution 102 (Rév. Guadalajara, 2010) de la Conférence de plénipotentiaires relative au rôle de l'UIT concernant les questions de politiques publiques internationales ayant trait à l'Internet et à la gestion des ressources de l'Internet, y compris les noms de domaine et les adresses;</w:t>
      </w:r>
    </w:p>
    <w:p w:rsidR="00B8759C" w:rsidRPr="00B8759C" w:rsidRDefault="00B8759C" w:rsidP="00B8759C">
      <w:pPr>
        <w:spacing w:before="80" w:line="280" w:lineRule="exact"/>
        <w:ind w:left="794" w:hanging="794"/>
        <w:rPr>
          <w:sz w:val="22"/>
          <w:lang w:val="fr-CH"/>
        </w:rPr>
      </w:pPr>
      <w:r w:rsidRPr="00B8759C">
        <w:rPr>
          <w:sz w:val="22"/>
          <w:lang w:val="fr-CH"/>
        </w:rPr>
        <w:t>iv)</w:t>
      </w:r>
      <w:r w:rsidRPr="00B8759C">
        <w:rPr>
          <w:sz w:val="22"/>
          <w:lang w:val="fr-CH"/>
        </w:rPr>
        <w:tab/>
        <w:t>la Résolution 130 (Rév. Guadalajara, 2010) de la Conférence de plénipotentiaires relative au renforcement du rôle de l'UIT dans l'instauration de la confiance et de la sécurité dans l'utilisation des technologies de l'information et de la communication (TIC);</w:t>
      </w:r>
    </w:p>
    <w:p w:rsidR="00B8759C" w:rsidRPr="00B8759C" w:rsidRDefault="00B8759C" w:rsidP="00B8759C">
      <w:pPr>
        <w:spacing w:before="80" w:line="280" w:lineRule="exact"/>
        <w:ind w:left="794" w:hanging="794"/>
        <w:rPr>
          <w:sz w:val="22"/>
          <w:lang w:val="fr-CH"/>
        </w:rPr>
      </w:pPr>
      <w:r w:rsidRPr="00B8759C">
        <w:rPr>
          <w:sz w:val="22"/>
          <w:lang w:val="fr-CH"/>
        </w:rPr>
        <w:t>v)</w:t>
      </w:r>
      <w:r w:rsidRPr="00B8759C">
        <w:rPr>
          <w:sz w:val="22"/>
          <w:lang w:val="fr-CH"/>
        </w:rPr>
        <w:tab/>
        <w:t>la Résolution 133 (Rév. Guadalajara, 2010) de la Conférence de plénipotentiaires relative au rôle des administrations des Etats Membres dans la gestion des noms de domaine (multilingues) internationalisés;</w:t>
      </w:r>
    </w:p>
    <w:p w:rsidR="00B8759C" w:rsidRPr="00B8759C" w:rsidRDefault="00B8759C" w:rsidP="00B8759C">
      <w:pPr>
        <w:spacing w:before="80" w:line="280" w:lineRule="exact"/>
        <w:ind w:left="794" w:hanging="794"/>
        <w:rPr>
          <w:sz w:val="22"/>
          <w:lang w:val="fr-CH"/>
        </w:rPr>
      </w:pPr>
      <w:r w:rsidRPr="00B8759C">
        <w:rPr>
          <w:sz w:val="22"/>
          <w:lang w:val="fr-CH"/>
        </w:rPr>
        <w:t>vi)</w:t>
      </w:r>
      <w:r w:rsidRPr="00B8759C">
        <w:rPr>
          <w:sz w:val="22"/>
          <w:lang w:val="fr-CH"/>
        </w:rPr>
        <w:tab/>
        <w:t xml:space="preserve">la Résolution 140 (Rév. Guadalajara, 2010) de la Conférence de plénipotentiaires relative au rôle de l'UIT dans la mise en œuvre des résultats du SMSI; </w:t>
      </w:r>
    </w:p>
    <w:p w:rsidR="00B8759C" w:rsidRPr="00B8759C" w:rsidRDefault="00B8759C" w:rsidP="00B8759C">
      <w:pPr>
        <w:spacing w:before="80" w:line="280" w:lineRule="exact"/>
        <w:ind w:left="794" w:hanging="794"/>
        <w:rPr>
          <w:sz w:val="22"/>
          <w:lang w:val="fr-CH"/>
        </w:rPr>
      </w:pPr>
      <w:r w:rsidRPr="00B8759C">
        <w:rPr>
          <w:sz w:val="22"/>
          <w:lang w:val="fr-CH"/>
        </w:rPr>
        <w:t>vii)</w:t>
      </w:r>
      <w:r w:rsidRPr="00B8759C">
        <w:rPr>
          <w:sz w:val="22"/>
          <w:lang w:val="fr-CH"/>
        </w:rPr>
        <w:tab/>
        <w:t>la Décision 562 adoptée par le Conseil de l'UIT à sa session de 2011 relative à la convocation du cinquième Forum mondial des politiques de télécommunication et des TIC (FMPT-13);</w:t>
      </w:r>
    </w:p>
    <w:p w:rsidR="00B8759C" w:rsidRPr="00B8759C" w:rsidRDefault="00B8759C" w:rsidP="00B8759C">
      <w:pPr>
        <w:spacing w:before="80" w:line="280" w:lineRule="exact"/>
        <w:ind w:left="794" w:hanging="794"/>
        <w:rPr>
          <w:sz w:val="22"/>
        </w:rPr>
      </w:pPr>
      <w:r w:rsidRPr="00B8759C">
        <w:rPr>
          <w:sz w:val="22"/>
        </w:rPr>
        <w:t>viii)</w:t>
      </w:r>
      <w:r w:rsidRPr="00B8759C">
        <w:rPr>
          <w:sz w:val="22"/>
        </w:rPr>
        <w:tab/>
        <w:t>la Résolution 172 (Guadalajara, 2010) de la Conférence de plénipotentiaires relative à l'examen d'ensemble de la mise en œuvre des résultats du SMSI;</w:t>
      </w:r>
    </w:p>
    <w:p w:rsidR="00B8759C" w:rsidRPr="00B8759C" w:rsidRDefault="00B8759C" w:rsidP="00B8759C">
      <w:pPr>
        <w:spacing w:before="80" w:line="280" w:lineRule="exact"/>
        <w:ind w:left="794" w:hanging="794"/>
        <w:rPr>
          <w:sz w:val="22"/>
        </w:rPr>
      </w:pPr>
      <w:r w:rsidRPr="00B8759C">
        <w:rPr>
          <w:sz w:val="22"/>
        </w:rPr>
        <w:t>ix)</w:t>
      </w:r>
      <w:r w:rsidRPr="00B8759C">
        <w:rPr>
          <w:sz w:val="22"/>
        </w:rPr>
        <w:tab/>
        <w:t>la Résolution 178 (Guadalajara, 2010) de la Conférence de plénipotentiaires relative au rôle de l'UIT dans l'organisation des travaux sur les aspects techniques des réseaux de télécommunication afin de prendre en charge l'Internet;</w:t>
      </w:r>
    </w:p>
    <w:p w:rsidR="00B8759C" w:rsidRPr="00B8759C" w:rsidRDefault="00B8759C" w:rsidP="00B8759C">
      <w:pPr>
        <w:spacing w:before="160" w:line="280" w:lineRule="exact"/>
        <w:rPr>
          <w:sz w:val="22"/>
          <w:lang w:val="fr-CH"/>
        </w:rPr>
      </w:pPr>
      <w:r w:rsidRPr="00B8759C">
        <w:rPr>
          <w:i/>
          <w:iCs/>
          <w:sz w:val="22"/>
          <w:lang w:val="fr-CH"/>
        </w:rPr>
        <w:t>c)</w:t>
      </w:r>
      <w:r w:rsidRPr="00B8759C">
        <w:rPr>
          <w:sz w:val="22"/>
          <w:lang w:val="fr-CH"/>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rsidR="00B8759C" w:rsidRPr="00B8759C" w:rsidRDefault="00B8759C" w:rsidP="00B8759C">
      <w:pPr>
        <w:spacing w:before="160" w:line="280" w:lineRule="exact"/>
        <w:rPr>
          <w:sz w:val="22"/>
          <w:lang w:val="fr-CH"/>
        </w:rPr>
      </w:pPr>
      <w:r w:rsidRPr="00B8759C">
        <w:rPr>
          <w:i/>
          <w:iCs/>
          <w:sz w:val="22"/>
          <w:lang w:val="fr-CH"/>
        </w:rPr>
        <w:br w:type="page"/>
      </w:r>
      <w:r w:rsidRPr="00B8759C">
        <w:rPr>
          <w:i/>
          <w:iCs/>
          <w:sz w:val="22"/>
          <w:lang w:val="fr-CH"/>
        </w:rPr>
        <w:lastRenderedPageBreak/>
        <w:t>d)</w:t>
      </w:r>
      <w:r w:rsidRPr="00B8759C">
        <w:rPr>
          <w:sz w:val="22"/>
          <w:lang w:val="fr-CH"/>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B8759C">
        <w:rPr>
          <w:i/>
          <w:iCs/>
          <w:sz w:val="22"/>
          <w:lang w:val="fr-CH"/>
        </w:rPr>
        <w:t>a)</w:t>
      </w:r>
      <w:r w:rsidRPr="00B8759C">
        <w:rPr>
          <w:sz w:val="22"/>
          <w:lang w:val="fr-CH"/>
        </w:rPr>
        <w:t xml:space="preserve"> à </w:t>
      </w:r>
      <w:r w:rsidRPr="00B8759C">
        <w:rPr>
          <w:i/>
          <w:iCs/>
          <w:sz w:val="22"/>
          <w:lang w:val="fr-CH"/>
        </w:rPr>
        <w:t>e)</w:t>
      </w:r>
      <w:r w:rsidRPr="00B8759C">
        <w:rPr>
          <w:sz w:val="22"/>
          <w:lang w:val="fr-CH"/>
        </w:rPr>
        <w:t xml:space="preserve"> du paragraphe 35 de l'Agenda de Tunis pour la société de l'information,</w:t>
      </w:r>
    </w:p>
    <w:p w:rsidR="00B8759C" w:rsidRPr="00B8759C" w:rsidRDefault="00B8759C" w:rsidP="00B8759C">
      <w:pPr>
        <w:keepNext/>
        <w:keepLines/>
        <w:spacing w:before="240" w:line="280" w:lineRule="exact"/>
        <w:ind w:left="794"/>
        <w:jc w:val="left"/>
        <w:rPr>
          <w:i/>
          <w:sz w:val="22"/>
        </w:rPr>
      </w:pPr>
      <w:r w:rsidRPr="00B8759C">
        <w:rPr>
          <w:i/>
          <w:sz w:val="22"/>
        </w:rPr>
        <w:t>considérant en outre</w:t>
      </w:r>
    </w:p>
    <w:p w:rsidR="00B8759C" w:rsidRPr="00B8759C" w:rsidRDefault="00B8759C" w:rsidP="00B8759C">
      <w:pPr>
        <w:spacing w:before="160" w:line="280" w:lineRule="exact"/>
        <w:rPr>
          <w:sz w:val="22"/>
          <w:lang w:val="fr-CH"/>
        </w:rPr>
      </w:pPr>
      <w:r w:rsidRPr="00B8759C">
        <w:rPr>
          <w:i/>
          <w:iCs/>
          <w:sz w:val="22"/>
          <w:lang w:val="fr-CH"/>
        </w:rPr>
        <w:t>a)</w:t>
      </w:r>
      <w:r w:rsidRPr="00B8759C">
        <w:rPr>
          <w:sz w:val="22"/>
          <w:lang w:val="fr-CH"/>
        </w:rPr>
        <w:tab/>
        <w:t>que la création, conformément à la Résolution 1336 du Conseil, du Groupe de travail du Conseil sur les questions de politiques publiques internationales relatives à l'Internet, ouvert aux seuls Etats Membres, était nécessaire pour promouvoir le renforcement de la coopération et encourager la participation des gouvernements à l'examen des questions de politiques publiques internationales relatives à l'Internet;</w:t>
      </w:r>
    </w:p>
    <w:p w:rsidR="00B8759C" w:rsidRPr="00B8759C" w:rsidRDefault="00B8759C" w:rsidP="00B8759C">
      <w:pPr>
        <w:spacing w:before="160" w:line="280" w:lineRule="exact"/>
        <w:rPr>
          <w:sz w:val="22"/>
          <w:lang w:val="fr-CH"/>
        </w:rPr>
      </w:pPr>
      <w:r w:rsidRPr="00B8759C">
        <w:rPr>
          <w:i/>
          <w:iCs/>
          <w:sz w:val="22"/>
          <w:lang w:val="fr-CH"/>
        </w:rPr>
        <w:t>b)</w:t>
      </w:r>
      <w:r w:rsidRPr="00B8759C">
        <w:rPr>
          <w:sz w:val="22"/>
          <w:lang w:val="fr-CH"/>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reconnaissant</w:t>
      </w:r>
    </w:p>
    <w:p w:rsidR="00B8759C" w:rsidRPr="00B8759C" w:rsidRDefault="00B8759C" w:rsidP="00B8759C">
      <w:pPr>
        <w:spacing w:before="160" w:line="280" w:lineRule="exact"/>
        <w:rPr>
          <w:sz w:val="22"/>
          <w:lang w:val="fr-CH"/>
        </w:rPr>
      </w:pPr>
      <w:r w:rsidRPr="00B8759C">
        <w:rPr>
          <w:sz w:val="22"/>
          <w:lang w:val="fr-CH"/>
        </w:rPr>
        <w:t>que, par sa Résolution 140 (Rév. Guadalajara, 2010), la Conférence de plénipotentiaires a décidé que l'UIT devait terminer le rapport relatif à la mise en œuvre des résultats du SMSI, pour ce qui est de l'UIT, en 2014,</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reconnaissant en outre</w:t>
      </w:r>
    </w:p>
    <w:p w:rsidR="00B8759C" w:rsidRPr="00B8759C" w:rsidRDefault="00B8759C" w:rsidP="00B8759C">
      <w:pPr>
        <w:spacing w:before="160" w:line="280" w:lineRule="exact"/>
        <w:rPr>
          <w:sz w:val="22"/>
          <w:lang w:val="fr-CH"/>
        </w:rPr>
      </w:pPr>
      <w:r w:rsidRPr="00B8759C">
        <w:rPr>
          <w:i/>
          <w:iCs/>
          <w:sz w:val="22"/>
          <w:lang w:val="fr-CH"/>
        </w:rPr>
        <w:t>a)</w:t>
      </w:r>
      <w:r w:rsidRPr="00B8759C">
        <w:rPr>
          <w:sz w:val="22"/>
          <w:lang w:val="fr-CH"/>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rsidR="00B8759C" w:rsidRPr="00B8759C" w:rsidRDefault="00B8759C" w:rsidP="00B8759C">
      <w:pPr>
        <w:spacing w:before="160" w:line="280" w:lineRule="exact"/>
        <w:rPr>
          <w:sz w:val="22"/>
          <w:lang w:val="fr-CH"/>
        </w:rPr>
      </w:pPr>
      <w:r w:rsidRPr="00B8759C">
        <w:rPr>
          <w:i/>
          <w:iCs/>
          <w:sz w:val="22"/>
          <w:lang w:val="fr-CH"/>
        </w:rPr>
        <w:t>b)</w:t>
      </w:r>
      <w:r w:rsidRPr="00B8759C">
        <w:rPr>
          <w:sz w:val="22"/>
          <w:lang w:val="fr-CH"/>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rsidR="00B8759C" w:rsidRPr="00B8759C" w:rsidRDefault="00B8759C" w:rsidP="00B8759C">
      <w:pPr>
        <w:spacing w:before="160" w:line="280" w:lineRule="exact"/>
        <w:rPr>
          <w:sz w:val="22"/>
          <w:lang w:val="fr-CH"/>
        </w:rPr>
      </w:pPr>
      <w:r w:rsidRPr="00B8759C">
        <w:rPr>
          <w:i/>
          <w:iCs/>
          <w:sz w:val="22"/>
          <w:lang w:val="fr-CH"/>
        </w:rPr>
        <w:t>c)</w:t>
      </w:r>
      <w:r w:rsidRPr="00B8759C">
        <w:rPr>
          <w:sz w:val="22"/>
          <w:lang w:val="fr-CH"/>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rsidR="00B8759C" w:rsidRPr="00B8759C" w:rsidRDefault="00B8759C" w:rsidP="00B8759C">
      <w:pPr>
        <w:spacing w:before="160" w:line="280" w:lineRule="exact"/>
        <w:rPr>
          <w:sz w:val="22"/>
          <w:lang w:val="fr-CH"/>
        </w:rPr>
      </w:pPr>
      <w:r w:rsidRPr="00B8759C">
        <w:rPr>
          <w:i/>
          <w:iCs/>
          <w:sz w:val="22"/>
          <w:lang w:val="fr-CH"/>
        </w:rPr>
        <w:t>d)</w:t>
      </w:r>
      <w:r w:rsidRPr="00B8759C">
        <w:rPr>
          <w:sz w:val="22"/>
          <w:lang w:val="fr-CH"/>
        </w:rPr>
        <w:tab/>
        <w:t>que le processus tendant à renforcer la coopération, lancé à l'initiative du Secrétaire général de l'ONU, associant toutes les organisations compétentes avant la fin du premier trimestre de 2006, fera intervenir toutes les parties prenantes selon leurs rôles respectifs, progressera aussi vite que 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 comme énoncé au paragraphe 71 de l'Agenda de Tunis,</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lastRenderedPageBreak/>
        <w:t>tenant compte</w:t>
      </w:r>
    </w:p>
    <w:p w:rsidR="00B8759C" w:rsidRPr="00B8759C" w:rsidRDefault="00B8759C" w:rsidP="00B8759C">
      <w:pPr>
        <w:spacing w:before="160" w:line="280" w:lineRule="exact"/>
        <w:rPr>
          <w:sz w:val="22"/>
          <w:lang w:val="fr-CH"/>
        </w:rPr>
      </w:pPr>
      <w:r w:rsidRPr="00B8759C">
        <w:rPr>
          <w:i/>
          <w:iCs/>
          <w:sz w:val="22"/>
          <w:lang w:val="fr-CH"/>
        </w:rPr>
        <w:t>a)</w:t>
      </w:r>
      <w:r w:rsidRPr="00B8759C">
        <w:rPr>
          <w:sz w:val="22"/>
          <w:lang w:val="fr-CH"/>
        </w:rPr>
        <w:tab/>
        <w:t>de la Résolution 30 (Rév. Hyderabad, 2010) de la Conférence mondiale de développement des télécommunications (CMDT) relative au rôle du Secteur du développement des télécommunications de l'UIT dans la mise en œuvre des résultats du SMSI;</w:t>
      </w:r>
    </w:p>
    <w:p w:rsidR="00B8759C" w:rsidRPr="00B8759C" w:rsidRDefault="00B8759C" w:rsidP="00B8759C">
      <w:pPr>
        <w:spacing w:before="160" w:line="280" w:lineRule="exact"/>
        <w:rPr>
          <w:sz w:val="22"/>
          <w:lang w:val="fr-CH"/>
        </w:rPr>
      </w:pPr>
      <w:r w:rsidRPr="00B8759C">
        <w:rPr>
          <w:i/>
          <w:iCs/>
          <w:sz w:val="22"/>
          <w:lang w:val="fr-CH"/>
        </w:rPr>
        <w:t>b)</w:t>
      </w:r>
      <w:r w:rsidRPr="00B8759C">
        <w:rPr>
          <w:sz w:val="22"/>
          <w:lang w:val="fr-CH"/>
        </w:rPr>
        <w:tab/>
        <w:t xml:space="preserve">de la Résolution 61 (Genève, 2012) de l'Assemblée des radiocommunications relative à la contribution de </w:t>
      </w:r>
      <w:r w:rsidRPr="00B8759C">
        <w:rPr>
          <w:sz w:val="22"/>
        </w:rPr>
        <w:t>l'UIT-R à la mise en œuvre des résultats du SMSI;</w:t>
      </w:r>
    </w:p>
    <w:p w:rsidR="00B8759C" w:rsidRPr="00B8759C" w:rsidRDefault="00B8759C" w:rsidP="00B8759C">
      <w:pPr>
        <w:spacing w:before="160" w:line="280" w:lineRule="exact"/>
        <w:rPr>
          <w:sz w:val="22"/>
          <w:lang w:val="fr-CH"/>
        </w:rPr>
      </w:pPr>
      <w:r w:rsidRPr="00B8759C">
        <w:rPr>
          <w:i/>
          <w:iCs/>
          <w:sz w:val="22"/>
          <w:lang w:val="fr-CH"/>
        </w:rPr>
        <w:t>c)</w:t>
      </w:r>
      <w:r w:rsidRPr="00B8759C">
        <w:rPr>
          <w:sz w:val="22"/>
          <w:lang w:val="fr-CH"/>
        </w:rPr>
        <w:tab/>
        <w:t xml:space="preserve">des programmes, activités et initiatives régionales menés conformément aux décisions de la CMDT-10 en vue de réduire la fracture numérique; </w:t>
      </w:r>
    </w:p>
    <w:p w:rsidR="00B8759C" w:rsidRPr="00B8759C" w:rsidRDefault="00B8759C" w:rsidP="00B8759C">
      <w:pPr>
        <w:spacing w:before="160" w:line="280" w:lineRule="exact"/>
        <w:rPr>
          <w:sz w:val="22"/>
          <w:lang w:val="fr-CH"/>
        </w:rPr>
      </w:pPr>
      <w:r w:rsidRPr="00B8759C">
        <w:rPr>
          <w:i/>
          <w:iCs/>
          <w:sz w:val="22"/>
          <w:lang w:val="fr-CH"/>
        </w:rPr>
        <w:t>d)</w:t>
      </w:r>
      <w:r w:rsidRPr="00B8759C">
        <w:rPr>
          <w:sz w:val="22"/>
          <w:lang w:val="fr-CH"/>
        </w:rPr>
        <w:tab/>
        <w:t>des travaux pertinents déjà accomplis ou devant être menés par l'UIT sous la direction du Groupe de travail du Conseil sur le SMSI (GT-SMSI) en ce qui concerne la mise en œuvre des résultats du SMSI,</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notant</w:t>
      </w:r>
    </w:p>
    <w:p w:rsidR="00B8759C" w:rsidRPr="00B8759C" w:rsidRDefault="00B8759C" w:rsidP="00B8759C">
      <w:pPr>
        <w:spacing w:before="160" w:line="280" w:lineRule="exact"/>
        <w:rPr>
          <w:sz w:val="22"/>
          <w:lang w:val="fr-CH"/>
        </w:rPr>
      </w:pPr>
      <w:r w:rsidRPr="00B8759C">
        <w:rPr>
          <w:i/>
          <w:iCs/>
          <w:sz w:val="22"/>
          <w:lang w:val="fr-CH"/>
        </w:rPr>
        <w:t>a)</w:t>
      </w:r>
      <w:r w:rsidRPr="00B8759C">
        <w:rPr>
          <w:sz w:val="22"/>
          <w:lang w:val="fr-CH"/>
        </w:rPr>
        <w:tab/>
        <w:t xml:space="preserve">la Résolution 1332 du Conseil concernant le rôle de l'UIT dans la mise en œuvre des résultats du SMSI jusqu'en 2015 et les activités futures au-delà du SMSI+10; </w:t>
      </w:r>
    </w:p>
    <w:p w:rsidR="00B8759C" w:rsidRPr="00B8759C" w:rsidRDefault="00B8759C" w:rsidP="00B8759C">
      <w:pPr>
        <w:keepNext/>
        <w:keepLines/>
        <w:spacing w:before="160" w:line="280" w:lineRule="exact"/>
        <w:rPr>
          <w:sz w:val="22"/>
          <w:lang w:val="fr-CH"/>
        </w:rPr>
      </w:pPr>
      <w:r w:rsidRPr="00B8759C">
        <w:rPr>
          <w:i/>
          <w:iCs/>
          <w:sz w:val="22"/>
          <w:lang w:val="fr-CH"/>
        </w:rPr>
        <w:t>b)</w:t>
      </w:r>
      <w:r w:rsidRPr="00B8759C">
        <w:rPr>
          <w:sz w:val="22"/>
          <w:lang w:val="fr-CH"/>
        </w:rPr>
        <w:tab/>
        <w:t xml:space="preserve">la Résolution 1334 du Conseil concernant le </w:t>
      </w:r>
      <w:r w:rsidRPr="00B8759C">
        <w:rPr>
          <w:sz w:val="22"/>
        </w:rPr>
        <w:t>rôle de l'UIT dans l'examen d'ensemble de la mise en œuvre des résultats du SMSI</w:t>
      </w:r>
      <w:r w:rsidRPr="00B8759C">
        <w:rPr>
          <w:sz w:val="22"/>
          <w:lang w:val="fr-CH"/>
        </w:rPr>
        <w:t>;</w:t>
      </w:r>
    </w:p>
    <w:p w:rsidR="00B8759C" w:rsidRPr="00B8759C" w:rsidRDefault="00B8759C" w:rsidP="00B8759C">
      <w:pPr>
        <w:keepNext/>
        <w:keepLines/>
        <w:spacing w:before="160" w:line="280" w:lineRule="exact"/>
        <w:rPr>
          <w:rFonts w:cs="Calibri"/>
          <w:sz w:val="22"/>
          <w:szCs w:val="24"/>
          <w:lang w:val="fr-CH"/>
        </w:rPr>
      </w:pPr>
      <w:r w:rsidRPr="00B8759C">
        <w:rPr>
          <w:i/>
          <w:iCs/>
          <w:sz w:val="22"/>
          <w:lang w:val="fr-CH"/>
        </w:rPr>
        <w:t>c)</w:t>
      </w:r>
      <w:r w:rsidRPr="00B8759C">
        <w:rPr>
          <w:i/>
          <w:iCs/>
          <w:sz w:val="22"/>
          <w:lang w:val="fr-CH"/>
        </w:rPr>
        <w:tab/>
      </w:r>
      <w:r w:rsidRPr="00B8759C">
        <w:rPr>
          <w:sz w:val="22"/>
          <w:lang w:val="fr-CH"/>
        </w:rPr>
        <w:t>la Résolution 1336 du Conseil concernant le Groupe de travail du Conseil sur les questions de politiques publiques internationales relatives à l'Internet</w:t>
      </w:r>
      <w:r w:rsidRPr="00B8759C">
        <w:rPr>
          <w:rFonts w:cs="Calibri"/>
          <w:sz w:val="22"/>
          <w:szCs w:val="24"/>
          <w:lang w:val="fr-CH"/>
        </w:rPr>
        <w:t>,</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notant en outre</w:t>
      </w:r>
    </w:p>
    <w:p w:rsidR="00B8759C" w:rsidRPr="00B8759C" w:rsidRDefault="00B8759C" w:rsidP="00B8759C">
      <w:pPr>
        <w:spacing w:before="160" w:line="280" w:lineRule="exact"/>
        <w:rPr>
          <w:sz w:val="22"/>
          <w:lang w:val="fr-CH"/>
        </w:rPr>
      </w:pPr>
      <w:r w:rsidRPr="00B8759C">
        <w:rPr>
          <w:sz w:val="22"/>
          <w:lang w:val="fr-CH"/>
        </w:rPr>
        <w:t>que, comme indiqué dans la Résolution 1332 du Conseil, le Secrétaire général de l'UIT a créé le Groupe spécial sur le SMSI chargé de formuler des stratégies et de coordonner les politiques et activités de l'UIT en rapport avec le SMSI,</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décide</w:t>
      </w:r>
    </w:p>
    <w:p w:rsidR="00B8759C" w:rsidRPr="00B8759C" w:rsidRDefault="00B8759C" w:rsidP="00B8759C">
      <w:pPr>
        <w:spacing w:before="160" w:line="280" w:lineRule="exact"/>
        <w:rPr>
          <w:sz w:val="22"/>
          <w:lang w:val="fr-CH"/>
        </w:rPr>
      </w:pPr>
      <w:r w:rsidRPr="00B8759C">
        <w:rPr>
          <w:sz w:val="22"/>
          <w:lang w:val="fr-CH"/>
        </w:rPr>
        <w:t>1</w:t>
      </w:r>
      <w:r w:rsidRPr="00B8759C">
        <w:rPr>
          <w:sz w:val="22"/>
          <w:lang w:val="fr-CH"/>
        </w:rPr>
        <w:tab/>
        <w:t>que l'UIT-T doit poursuivre ses travaux sur la mise en œuvre des résultats du SMSI et les activités de suivi, dans le cadre de son mandat;</w:t>
      </w:r>
    </w:p>
    <w:p w:rsidR="00B8759C" w:rsidRPr="00B8759C" w:rsidRDefault="00B8759C" w:rsidP="00B8759C">
      <w:pPr>
        <w:spacing w:before="160" w:line="280" w:lineRule="exact"/>
        <w:rPr>
          <w:sz w:val="22"/>
          <w:lang w:val="fr-CH"/>
        </w:rPr>
      </w:pPr>
      <w:r w:rsidRPr="00B8759C">
        <w:rPr>
          <w:sz w:val="22"/>
          <w:lang w:val="fr-CH"/>
        </w:rPr>
        <w:t>2</w:t>
      </w:r>
      <w:r w:rsidRPr="00B8759C">
        <w:rPr>
          <w:sz w:val="22"/>
          <w:lang w:val="fr-CH"/>
        </w:rPr>
        <w:tab/>
        <w:t>que l'UIT-T doit mener à bien les activités qui relèvent de sa compétence et participer avec d'autres parties prenantes, s'il y a lieu, à la mise en œuvre de toutes les grandes orientations et des autres résultats pertinents du SMSI;</w:t>
      </w:r>
    </w:p>
    <w:p w:rsidR="00B8759C" w:rsidRPr="00B8759C" w:rsidRDefault="00B8759C" w:rsidP="00B8759C">
      <w:pPr>
        <w:spacing w:before="160" w:line="280" w:lineRule="exact"/>
        <w:rPr>
          <w:sz w:val="22"/>
        </w:rPr>
      </w:pPr>
      <w:r w:rsidRPr="00B8759C">
        <w:rPr>
          <w:sz w:val="22"/>
        </w:rPr>
        <w:t>3</w:t>
      </w:r>
      <w:r w:rsidRPr="00B8759C">
        <w:rPr>
          <w:sz w:val="22"/>
        </w:rPr>
        <w:tab/>
        <w:t xml:space="preserve">que les commissions d'études concernées de l'UIT-T doivent tenir compte, dans leurs études, des résultats des travaux du Groupe de travail du Conseil sur les questions de politiques publiques internationales relatives à l'Internet, </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charge le Directeur du Bureau de la normalisation des télécommunications</w:t>
      </w:r>
    </w:p>
    <w:p w:rsidR="00B8759C" w:rsidRPr="00B8759C" w:rsidRDefault="00B8759C" w:rsidP="00B8759C">
      <w:pPr>
        <w:spacing w:before="160" w:line="280" w:lineRule="exact"/>
        <w:rPr>
          <w:sz w:val="22"/>
          <w:lang w:val="fr-CH"/>
        </w:rPr>
      </w:pPr>
      <w:r w:rsidRPr="00B8759C">
        <w:rPr>
          <w:sz w:val="22"/>
          <w:lang w:val="fr-CH"/>
        </w:rPr>
        <w:t>1</w:t>
      </w:r>
      <w:r w:rsidRPr="00B8759C">
        <w:rPr>
          <w:sz w:val="22"/>
          <w:lang w:val="fr-CH"/>
        </w:rPr>
        <w:tab/>
        <w:t>de communiquer au GT-SMSI un résumé détaillé des activités menées par l'UIT-T en ce qui concerne la mise en œuvre des résultats du SMSI;</w:t>
      </w:r>
    </w:p>
    <w:p w:rsidR="00B8759C" w:rsidRPr="00B8759C" w:rsidRDefault="00B8759C" w:rsidP="00B8759C">
      <w:pPr>
        <w:spacing w:before="160" w:line="280" w:lineRule="exact"/>
        <w:rPr>
          <w:sz w:val="22"/>
          <w:lang w:val="fr-CH"/>
        </w:rPr>
      </w:pPr>
      <w:r w:rsidRPr="00B8759C">
        <w:rPr>
          <w:sz w:val="22"/>
          <w:lang w:val="fr-CH"/>
        </w:rPr>
        <w:t>2</w:t>
      </w:r>
      <w:r w:rsidRPr="00B8759C">
        <w:rPr>
          <w:sz w:val="22"/>
          <w:lang w:val="fr-CH"/>
        </w:rPr>
        <w:tab/>
        <w:t>de faire en sorte que, pour les activités relatives au SMSI, des objectifs concrets et des délais soient fixés et pris en compte dans les plans opérationnels de l'UIT-T, conformément à la Résolution 140 (Rév. Guadalajara, 2010) de la Conférence de plénipotentiaires;</w:t>
      </w:r>
    </w:p>
    <w:p w:rsidR="00B8759C" w:rsidRPr="00B8759C" w:rsidRDefault="00B8759C" w:rsidP="00B8759C">
      <w:pPr>
        <w:spacing w:before="160" w:line="280" w:lineRule="exact"/>
        <w:rPr>
          <w:sz w:val="22"/>
          <w:lang w:val="fr-CH"/>
        </w:rPr>
      </w:pPr>
      <w:r w:rsidRPr="00B8759C">
        <w:rPr>
          <w:sz w:val="22"/>
          <w:lang w:val="fr-CH"/>
        </w:rPr>
        <w:br w:type="page"/>
      </w:r>
      <w:r w:rsidRPr="00B8759C">
        <w:rPr>
          <w:sz w:val="22"/>
          <w:lang w:val="fr-CH"/>
        </w:rPr>
        <w:lastRenderedPageBreak/>
        <w:t>3</w:t>
      </w:r>
      <w:r w:rsidRPr="00B8759C">
        <w:rPr>
          <w:sz w:val="22"/>
          <w:lang w:val="fr-CH"/>
        </w:rPr>
        <w:tab/>
        <w:t>de fournir des renseignements sur les grandes tendances qui se font jour, compte tenu des activités de l'UIT</w:t>
      </w:r>
      <w:r w:rsidRPr="00B8759C">
        <w:rPr>
          <w:sz w:val="22"/>
          <w:lang w:val="fr-CH"/>
        </w:rPr>
        <w:noBreakHyphen/>
        <w:t>T;</w:t>
      </w:r>
    </w:p>
    <w:p w:rsidR="00B8759C" w:rsidRPr="00B8759C" w:rsidRDefault="00B8759C" w:rsidP="00B8759C">
      <w:pPr>
        <w:spacing w:before="160" w:line="280" w:lineRule="exact"/>
        <w:rPr>
          <w:sz w:val="22"/>
          <w:lang w:val="fr-CH"/>
        </w:rPr>
      </w:pPr>
      <w:r w:rsidRPr="00B8759C">
        <w:rPr>
          <w:sz w:val="22"/>
          <w:lang w:val="fr-CH"/>
        </w:rPr>
        <w:t>4</w:t>
      </w:r>
      <w:r w:rsidRPr="00B8759C">
        <w:rPr>
          <w:sz w:val="22"/>
          <w:lang w:val="fr-CH"/>
        </w:rPr>
        <w:tab/>
        <w:t>de prendre les mesures nécessaires pour faciliter les activités de mise en œuvre de la présente Résolution,</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invite les Etats Membres et les Membres de Secteur</w:t>
      </w:r>
    </w:p>
    <w:p w:rsidR="00B8759C" w:rsidRPr="00B8759C" w:rsidRDefault="00B8759C" w:rsidP="00B8759C">
      <w:pPr>
        <w:keepNext/>
        <w:keepLines/>
        <w:spacing w:before="160" w:line="280" w:lineRule="exact"/>
        <w:rPr>
          <w:sz w:val="22"/>
          <w:lang w:val="fr-CH"/>
        </w:rPr>
      </w:pPr>
      <w:r w:rsidRPr="00B8759C">
        <w:rPr>
          <w:sz w:val="22"/>
          <w:lang w:val="fr-CH"/>
        </w:rPr>
        <w:t>1</w:t>
      </w:r>
      <w:r w:rsidRPr="00B8759C">
        <w:rPr>
          <w:sz w:val="22"/>
          <w:lang w:val="fr-CH"/>
        </w:rPr>
        <w:tab/>
        <w:t>à présenter des contributions aux commissions d'études pertinentes de l'UIT-T et au Groupe consultatif de la normalisation des télécommunications, s'il y a lieu, et à contribuer aux travaux du GT-SMSI sur la mise en œuvre des résultats du SMSI, dans le cadre du mandat de l'UIT;</w:t>
      </w:r>
    </w:p>
    <w:p w:rsidR="00B8759C" w:rsidRPr="00B8759C" w:rsidRDefault="00B8759C" w:rsidP="00B8759C">
      <w:pPr>
        <w:keepNext/>
        <w:keepLines/>
        <w:spacing w:before="160" w:line="280" w:lineRule="exact"/>
        <w:rPr>
          <w:sz w:val="22"/>
          <w:lang w:val="fr-CH"/>
        </w:rPr>
      </w:pPr>
      <w:r w:rsidRPr="00B8759C">
        <w:rPr>
          <w:sz w:val="22"/>
          <w:lang w:val="fr-CH"/>
        </w:rPr>
        <w:t>2</w:t>
      </w:r>
      <w:r w:rsidRPr="00B8759C">
        <w:rPr>
          <w:sz w:val="22"/>
          <w:lang w:val="fr-CH"/>
        </w:rPr>
        <w:tab/>
        <w:t>à coopérer et à collaborer avec le Directeur du TSB à la mise en œuvre des résultats pertinents du SMSI au sein de l'UIT-T,</w:t>
      </w:r>
    </w:p>
    <w:p w:rsidR="00B8759C" w:rsidRPr="00B8759C" w:rsidRDefault="00B8759C" w:rsidP="00B8759C">
      <w:pPr>
        <w:keepNext/>
        <w:keepLines/>
        <w:spacing w:before="240" w:line="280" w:lineRule="exact"/>
        <w:ind w:left="794"/>
        <w:jc w:val="left"/>
        <w:rPr>
          <w:i/>
          <w:sz w:val="22"/>
          <w:lang w:val="fr-CH"/>
        </w:rPr>
      </w:pPr>
      <w:r w:rsidRPr="00B8759C">
        <w:rPr>
          <w:i/>
          <w:sz w:val="22"/>
          <w:lang w:val="fr-CH"/>
        </w:rPr>
        <w:t>invite les Etats Membres</w:t>
      </w:r>
    </w:p>
    <w:p w:rsidR="00B8759C" w:rsidRPr="00B8759C" w:rsidRDefault="00B8759C" w:rsidP="00B8759C">
      <w:pPr>
        <w:spacing w:before="160" w:line="280" w:lineRule="exact"/>
        <w:rPr>
          <w:sz w:val="22"/>
          <w:lang w:val="fr-CH"/>
        </w:rPr>
      </w:pPr>
      <w:r w:rsidRPr="00B8759C">
        <w:rPr>
          <w:sz w:val="22"/>
          <w:lang w:val="fr-CH"/>
        </w:rPr>
        <w:t>à présenter des contributions au Groupe de travail du Conseil sur les questions de politiques publiques internationales relatives à l'Internet.</w:t>
      </w: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B8759C" w:rsidRPr="00B8759C" w:rsidRDefault="00B8759C" w:rsidP="00B8759C">
      <w:pPr>
        <w:spacing w:before="160" w:line="280" w:lineRule="exact"/>
        <w:rPr>
          <w:sz w:val="22"/>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FA" w:rsidRDefault="00362BFA">
      <w:r>
        <w:separator/>
      </w:r>
    </w:p>
  </w:endnote>
  <w:endnote w:type="continuationSeparator" w:id="0">
    <w:p w:rsidR="00362BFA" w:rsidRDefault="00362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7301B">
      <w:rPr>
        <w:b w:val="0"/>
        <w:lang w:val="en-US"/>
      </w:rPr>
      <w:fldChar w:fldCharType="begin"/>
    </w:r>
    <w:r>
      <w:rPr>
        <w:b w:val="0"/>
        <w:lang w:val="en-US"/>
      </w:rPr>
      <w:instrText xml:space="preserve"> PAGE  \* MERGEFORMAT </w:instrText>
    </w:r>
    <w:r w:rsidR="00F7301B">
      <w:rPr>
        <w:b w:val="0"/>
        <w:lang w:val="en-US"/>
      </w:rPr>
      <w:fldChar w:fldCharType="separate"/>
    </w:r>
    <w:r w:rsidR="00F51075">
      <w:rPr>
        <w:b w:val="0"/>
        <w:noProof/>
        <w:lang w:val="en-US"/>
      </w:rPr>
      <w:t>3</w:t>
    </w:r>
    <w:r w:rsidR="00F7301B">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7301B"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B8759C">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B8759C">
      <w:rPr>
        <w:lang w:val="fr-CH"/>
      </w:rPr>
      <w:t>75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B8759C">
      <w:rPr>
        <w:lang w:val="fr-CH"/>
      </w:rPr>
      <w:t>75</w:t>
    </w:r>
    <w:r w:rsidRPr="00415608">
      <w:rPr>
        <w:lang w:val="fr-CH"/>
      </w:rPr>
      <w:tab/>
    </w:r>
    <w:r w:rsidR="00F7301B">
      <w:rPr>
        <w:b w:val="0"/>
      </w:rPr>
      <w:fldChar w:fldCharType="begin"/>
    </w:r>
    <w:r w:rsidRPr="00415608">
      <w:rPr>
        <w:b w:val="0"/>
        <w:lang w:val="fr-CH"/>
      </w:rPr>
      <w:instrText xml:space="preserve"> PAGE  \* MERGEFORMAT </w:instrText>
    </w:r>
    <w:r w:rsidR="00F7301B">
      <w:rPr>
        <w:b w:val="0"/>
      </w:rPr>
      <w:fldChar w:fldCharType="separate"/>
    </w:r>
    <w:r w:rsidR="00B8759C">
      <w:rPr>
        <w:b w:val="0"/>
        <w:noProof/>
        <w:lang w:val="fr-CH"/>
      </w:rPr>
      <w:t>3</w:t>
    </w:r>
    <w:r w:rsidR="00F7301B">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FA" w:rsidRDefault="00362BFA">
      <w:r>
        <w:t>____________________</w:t>
      </w:r>
    </w:p>
  </w:footnote>
  <w:footnote w:type="continuationSeparator" w:id="0">
    <w:p w:rsidR="00362BFA" w:rsidRDefault="00362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7301B">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7301B"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362BFA"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2BFA"/>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8759C"/>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7301B"/>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B87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F7EE-FD6A-4414-981B-7E64A6BE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12438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2013-04-26T09:32:00Z</dcterms:created>
  <dcterms:modified xsi:type="dcterms:W3CDTF">2013-04-26T09:32:00Z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