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7.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1" w:rightFromText="181" w:vertAnchor="page" w:horzAnchor="margin" w:tblpY="506"/>
        <w:tblOverlap w:val="never"/>
        <w:tblW w:w="10740" w:type="dxa"/>
        <w:tblLayout w:type="fixed"/>
        <w:tblLook w:val="0000" w:firstRow="0" w:lastRow="0" w:firstColumn="0" w:lastColumn="0" w:noHBand="0" w:noVBand="0"/>
      </w:tblPr>
      <w:tblGrid>
        <w:gridCol w:w="817"/>
        <w:gridCol w:w="4253"/>
        <w:gridCol w:w="5670"/>
      </w:tblGrid>
      <w:tr w:rsidR="00EA2A26" w:rsidRPr="0033681A" w14:paraId="7078E33C" w14:textId="77777777" w:rsidTr="00367A2B">
        <w:trPr>
          <w:trHeight w:hRule="exact" w:val="426"/>
        </w:trPr>
        <w:tc>
          <w:tcPr>
            <w:tcW w:w="5070" w:type="dxa"/>
            <w:gridSpan w:val="2"/>
          </w:tcPr>
          <w:p w14:paraId="1C1FE4AD" w14:textId="77777777" w:rsidR="00EA2A26" w:rsidRPr="0033681A" w:rsidRDefault="00EA2A26" w:rsidP="00A3085D">
            <w:pPr>
              <w:spacing w:before="60"/>
              <w:rPr>
                <w:rFonts w:ascii="Arial" w:eastAsia="Avenir Next W1G Medium" w:hAnsi="Arial" w:cs="Arial"/>
                <w:noProof/>
                <w:szCs w:val="24"/>
              </w:rPr>
            </w:pPr>
            <w:bookmarkStart w:id="0" w:name="c2tope"/>
            <w:bookmarkEnd w:id="0"/>
            <w:r w:rsidRPr="0033681A">
              <w:rPr>
                <w:rFonts w:ascii="Arial" w:hAnsi="Arial" w:cs="Arial"/>
                <w:b/>
                <w:color w:val="009CD6"/>
                <w:spacing w:val="-4"/>
                <w:sz w:val="32"/>
                <w:szCs w:val="32"/>
              </w:rPr>
              <w:t>ITU</w:t>
            </w:r>
            <w:r w:rsidRPr="0033681A">
              <w:rPr>
                <w:rFonts w:ascii="Arial" w:hAnsi="Arial" w:cs="Arial"/>
                <w:b/>
                <w:color w:val="292829"/>
                <w:spacing w:val="-4"/>
                <w:sz w:val="32"/>
                <w:szCs w:val="32"/>
              </w:rPr>
              <w:t>Publications</w:t>
            </w:r>
          </w:p>
        </w:tc>
        <w:tc>
          <w:tcPr>
            <w:tcW w:w="5670" w:type="dxa"/>
          </w:tcPr>
          <w:p w14:paraId="0E9475D3" w14:textId="4988F2A4" w:rsidR="00EA2A26" w:rsidRPr="00EA2A26" w:rsidRDefault="00347EE0" w:rsidP="00A3085D">
            <w:pPr>
              <w:spacing w:before="60"/>
              <w:jc w:val="right"/>
              <w:rPr>
                <w:rFonts w:ascii="Arial" w:eastAsia="Avenir Next W1G Medium" w:hAnsi="Arial" w:cs="Arial"/>
                <w:sz w:val="24"/>
                <w:szCs w:val="24"/>
              </w:rPr>
            </w:pPr>
            <w:r w:rsidRPr="00347EE0">
              <w:rPr>
                <w:rFonts w:ascii="Arial" w:eastAsia="Avenir Next W1G Medium" w:hAnsi="Arial" w:cs="Arial"/>
                <w:b/>
                <w:spacing w:val="-4"/>
                <w:sz w:val="24"/>
                <w:szCs w:val="24"/>
              </w:rPr>
              <w:t>Unión Internacional de Telecomunicaciones</w:t>
            </w:r>
          </w:p>
        </w:tc>
      </w:tr>
      <w:tr w:rsidR="00EA2A26" w:rsidRPr="0033681A" w14:paraId="42C85EB6" w14:textId="77777777" w:rsidTr="00367A2B">
        <w:trPr>
          <w:trHeight w:hRule="exact" w:val="992"/>
        </w:trPr>
        <w:tc>
          <w:tcPr>
            <w:tcW w:w="5070" w:type="dxa"/>
            <w:gridSpan w:val="2"/>
          </w:tcPr>
          <w:p w14:paraId="68B26EDA" w14:textId="32FCBD5F" w:rsidR="00EA2A26" w:rsidRPr="00EA2A26" w:rsidRDefault="00347EE0" w:rsidP="00367A2B">
            <w:pPr>
              <w:spacing w:before="0"/>
              <w:rPr>
                <w:rFonts w:ascii="Arial" w:eastAsia="Avenir Next W1G Medium" w:hAnsi="Arial" w:cs="Arial"/>
                <w:sz w:val="24"/>
                <w:szCs w:val="24"/>
              </w:rPr>
            </w:pPr>
            <w:r>
              <w:rPr>
                <w:rFonts w:ascii="Arial" w:eastAsia="Avenir Next W1G Medium" w:hAnsi="Arial" w:cs="Arial"/>
                <w:sz w:val="24"/>
                <w:szCs w:val="24"/>
              </w:rPr>
              <w:t>Resoluciones</w:t>
            </w:r>
          </w:p>
        </w:tc>
        <w:tc>
          <w:tcPr>
            <w:tcW w:w="5670" w:type="dxa"/>
          </w:tcPr>
          <w:p w14:paraId="20539D5B" w14:textId="66840162" w:rsidR="00EA2A26" w:rsidRPr="00EA2A26" w:rsidRDefault="00347EE0" w:rsidP="00367A2B">
            <w:pPr>
              <w:spacing w:before="0"/>
              <w:jc w:val="right"/>
              <w:rPr>
                <w:rFonts w:ascii="Arial" w:eastAsia="Avenir Next W1G Medium" w:hAnsi="Arial" w:cs="Arial"/>
                <w:sz w:val="24"/>
                <w:szCs w:val="24"/>
              </w:rPr>
            </w:pPr>
            <w:r w:rsidRPr="00347EE0">
              <w:rPr>
                <w:rFonts w:ascii="Arial" w:eastAsia="Avenir Next W1G Medium" w:hAnsi="Arial" w:cs="Arial"/>
                <w:sz w:val="24"/>
                <w:szCs w:val="24"/>
              </w:rPr>
              <w:t>Sector de Normalización</w:t>
            </w:r>
          </w:p>
        </w:tc>
      </w:tr>
      <w:tr w:rsidR="00EA2A26" w:rsidRPr="0033681A" w14:paraId="6AE027A4" w14:textId="77777777" w:rsidTr="00367A2B">
        <w:tblPrEx>
          <w:tblCellMar>
            <w:left w:w="85" w:type="dxa"/>
            <w:right w:w="85" w:type="dxa"/>
          </w:tblCellMar>
        </w:tblPrEx>
        <w:trPr>
          <w:gridBefore w:val="1"/>
          <w:wBefore w:w="817" w:type="dxa"/>
          <w:trHeight w:val="709"/>
        </w:trPr>
        <w:tc>
          <w:tcPr>
            <w:tcW w:w="9923" w:type="dxa"/>
            <w:gridSpan w:val="2"/>
          </w:tcPr>
          <w:p w14:paraId="1BE63DDE" w14:textId="77777777" w:rsidR="00EA2A26" w:rsidRPr="0033681A" w:rsidRDefault="00EA2A26" w:rsidP="00367A2B">
            <w:pPr>
              <w:pStyle w:val="BodyText"/>
              <w:spacing w:before="440"/>
              <w:rPr>
                <w:b w:val="0"/>
                <w:bCs w:val="0"/>
                <w:spacing w:val="-6"/>
                <w:sz w:val="44"/>
                <w:szCs w:val="44"/>
                <w:lang w:val="en-GB"/>
              </w:rPr>
            </w:pPr>
          </w:p>
        </w:tc>
      </w:tr>
      <w:tr w:rsidR="00EA2A26" w:rsidRPr="00613D5C" w14:paraId="09112B91" w14:textId="77777777" w:rsidTr="00367A2B">
        <w:tblPrEx>
          <w:tblCellMar>
            <w:left w:w="85" w:type="dxa"/>
            <w:right w:w="85" w:type="dxa"/>
          </w:tblCellMar>
        </w:tblPrEx>
        <w:trPr>
          <w:gridBefore w:val="1"/>
          <w:wBefore w:w="817" w:type="dxa"/>
          <w:trHeight w:val="129"/>
        </w:trPr>
        <w:tc>
          <w:tcPr>
            <w:tcW w:w="9923" w:type="dxa"/>
            <w:gridSpan w:val="2"/>
          </w:tcPr>
          <w:p w14:paraId="345DAF0C" w14:textId="77777777" w:rsidR="00EA2A26" w:rsidRPr="00613D5C" w:rsidRDefault="00EA2A26" w:rsidP="00367A2B">
            <w:pPr>
              <w:pStyle w:val="BodyText"/>
              <w:spacing w:before="120" w:after="240"/>
              <w:rPr>
                <w:spacing w:val="-6"/>
                <w:sz w:val="44"/>
                <w:szCs w:val="44"/>
                <w:lang w:val="en-GB"/>
              </w:rPr>
            </w:pPr>
          </w:p>
        </w:tc>
      </w:tr>
      <w:tr w:rsidR="00EA2A26" w:rsidRPr="006C6819" w14:paraId="594C2C35" w14:textId="77777777" w:rsidTr="00367A2B">
        <w:trPr>
          <w:trHeight w:val="80"/>
        </w:trPr>
        <w:tc>
          <w:tcPr>
            <w:tcW w:w="817" w:type="dxa"/>
          </w:tcPr>
          <w:p w14:paraId="72C102BC" w14:textId="77777777" w:rsidR="00EA2A26" w:rsidRPr="00613D5C" w:rsidRDefault="00EA2A26" w:rsidP="00367A2B">
            <w:pPr>
              <w:tabs>
                <w:tab w:val="right" w:pos="9639"/>
              </w:tabs>
              <w:rPr>
                <w:rFonts w:ascii="Arial" w:hAnsi="Arial" w:cs="Arial"/>
                <w:sz w:val="18"/>
              </w:rPr>
            </w:pPr>
          </w:p>
        </w:tc>
        <w:tc>
          <w:tcPr>
            <w:tcW w:w="9923" w:type="dxa"/>
            <w:gridSpan w:val="2"/>
            <w:tcBorders>
              <w:bottom w:val="single" w:sz="8" w:space="0" w:color="auto"/>
            </w:tcBorders>
          </w:tcPr>
          <w:p w14:paraId="46F1491F" w14:textId="6458DB41" w:rsidR="00EA2A26" w:rsidRPr="008B7E09" w:rsidRDefault="00347EE0" w:rsidP="00EA2A26">
            <w:pPr>
              <w:widowControl w:val="0"/>
              <w:tabs>
                <w:tab w:val="clear" w:pos="794"/>
                <w:tab w:val="clear" w:pos="1191"/>
                <w:tab w:val="clear" w:pos="1588"/>
                <w:tab w:val="clear" w:pos="1985"/>
              </w:tabs>
              <w:overflowPunct/>
              <w:adjustRightInd/>
              <w:spacing w:before="276" w:line="240" w:lineRule="auto"/>
              <w:jc w:val="left"/>
              <w:textAlignment w:val="auto"/>
              <w:rPr>
                <w:rFonts w:ascii="Arial" w:hAnsi="Arial" w:cs="Arial"/>
                <w:sz w:val="36"/>
                <w:szCs w:val="36"/>
                <w:lang w:val="es-ES"/>
              </w:rPr>
            </w:pPr>
            <w:r w:rsidRPr="008B7E09">
              <w:rPr>
                <w:rFonts w:ascii="Arial" w:hAnsi="Arial" w:cs="Arial"/>
                <w:sz w:val="36"/>
                <w:szCs w:val="36"/>
                <w:lang w:val="es-ES"/>
              </w:rPr>
              <w:t xml:space="preserve">ASAMBLEA MUNDIAL DE NORMALIZACIÓN DE LAS TELECOMUNICACIONES </w:t>
            </w:r>
            <w:r w:rsidR="00EA2A26" w:rsidRPr="008B7E09">
              <w:rPr>
                <w:rFonts w:ascii="Arial" w:hAnsi="Arial" w:cs="Arial"/>
                <w:sz w:val="36"/>
                <w:szCs w:val="36"/>
                <w:lang w:val="es-ES"/>
              </w:rPr>
              <w:br/>
            </w:r>
            <w:r w:rsidRPr="008B7E09">
              <w:rPr>
                <w:rFonts w:ascii="Arial" w:hAnsi="Arial" w:cs="Arial"/>
                <w:sz w:val="36"/>
                <w:szCs w:val="36"/>
                <w:lang w:val="es-ES"/>
              </w:rPr>
              <w:t>Nueva Delhi</w:t>
            </w:r>
            <w:r w:rsidR="00EA2A26" w:rsidRPr="008B7E09">
              <w:rPr>
                <w:rFonts w:ascii="Arial" w:hAnsi="Arial" w:cs="Arial"/>
                <w:sz w:val="36"/>
                <w:szCs w:val="36"/>
                <w:lang w:val="es-ES"/>
              </w:rPr>
              <w:t xml:space="preserve">, 15-24 </w:t>
            </w:r>
            <w:r w:rsidRPr="008B7E09">
              <w:rPr>
                <w:rFonts w:ascii="Arial" w:hAnsi="Arial" w:cs="Arial"/>
                <w:sz w:val="36"/>
                <w:szCs w:val="36"/>
                <w:lang w:val="es-ES"/>
              </w:rPr>
              <w:t>de octubre de</w:t>
            </w:r>
            <w:r w:rsidR="00423BC5" w:rsidRPr="008B7E09">
              <w:rPr>
                <w:rFonts w:ascii="Arial" w:hAnsi="Arial" w:cs="Arial"/>
                <w:sz w:val="36"/>
                <w:szCs w:val="36"/>
                <w:lang w:val="es-ES"/>
              </w:rPr>
              <w:t xml:space="preserve"> </w:t>
            </w:r>
            <w:r w:rsidR="00EA2A26" w:rsidRPr="008B7E09">
              <w:rPr>
                <w:rFonts w:ascii="Arial" w:hAnsi="Arial" w:cs="Arial"/>
                <w:sz w:val="36"/>
                <w:szCs w:val="36"/>
                <w:lang w:val="es-ES"/>
              </w:rPr>
              <w:t>2024</w:t>
            </w:r>
          </w:p>
          <w:p w14:paraId="318F1603" w14:textId="77777777" w:rsidR="00EA2A26" w:rsidRPr="008B7E09" w:rsidRDefault="00EA2A26" w:rsidP="00367A2B">
            <w:pPr>
              <w:rPr>
                <w:lang w:val="es-ES"/>
              </w:rPr>
            </w:pPr>
          </w:p>
        </w:tc>
      </w:tr>
      <w:tr w:rsidR="00EA2A26" w:rsidRPr="006C6819" w14:paraId="40EA4FB7" w14:textId="77777777" w:rsidTr="00367A2B">
        <w:trPr>
          <w:trHeight w:val="743"/>
        </w:trPr>
        <w:tc>
          <w:tcPr>
            <w:tcW w:w="817" w:type="dxa"/>
          </w:tcPr>
          <w:p w14:paraId="5A48D328" w14:textId="77777777" w:rsidR="00EA2A26" w:rsidRPr="008B7E09" w:rsidRDefault="00EA2A26" w:rsidP="00367A2B">
            <w:pPr>
              <w:tabs>
                <w:tab w:val="right" w:pos="9639"/>
              </w:tabs>
              <w:rPr>
                <w:rFonts w:ascii="Arial" w:hAnsi="Arial" w:cs="Arial"/>
                <w:sz w:val="48"/>
                <w:szCs w:val="48"/>
                <w:lang w:val="es-ES"/>
              </w:rPr>
            </w:pPr>
          </w:p>
        </w:tc>
        <w:tc>
          <w:tcPr>
            <w:tcW w:w="9923" w:type="dxa"/>
            <w:gridSpan w:val="2"/>
            <w:tcBorders>
              <w:top w:val="single" w:sz="8" w:space="0" w:color="auto"/>
            </w:tcBorders>
          </w:tcPr>
          <w:p w14:paraId="36D98092" w14:textId="61F2D960" w:rsidR="00EA2A26" w:rsidRPr="00251518" w:rsidRDefault="00347EE0" w:rsidP="00251518">
            <w:pPr>
              <w:pStyle w:val="BodyText"/>
              <w:spacing w:before="440" w:line="240" w:lineRule="auto"/>
              <w:jc w:val="left"/>
              <w:rPr>
                <w:spacing w:val="-6"/>
                <w:sz w:val="44"/>
                <w:szCs w:val="44"/>
                <w:lang w:val="es-ES"/>
              </w:rPr>
            </w:pPr>
            <w:r w:rsidRPr="00251518">
              <w:rPr>
                <w:spacing w:val="-6"/>
                <w:sz w:val="44"/>
                <w:szCs w:val="44"/>
                <w:lang w:val="es-ES"/>
              </w:rPr>
              <w:t>Resolución</w:t>
            </w:r>
            <w:r w:rsidR="00EA2A26" w:rsidRPr="00251518">
              <w:rPr>
                <w:spacing w:val="-6"/>
                <w:sz w:val="44"/>
                <w:szCs w:val="44"/>
                <w:lang w:val="es-ES"/>
              </w:rPr>
              <w:t xml:space="preserve"> </w:t>
            </w:r>
            <w:r w:rsidR="006C6819">
              <w:rPr>
                <w:spacing w:val="-6"/>
                <w:sz w:val="44"/>
                <w:szCs w:val="44"/>
                <w:lang w:val="es-ES"/>
              </w:rPr>
              <w:t>74</w:t>
            </w:r>
            <w:r w:rsidR="00845E8E" w:rsidRPr="00251518">
              <w:rPr>
                <w:spacing w:val="-6"/>
                <w:sz w:val="44"/>
                <w:szCs w:val="44"/>
                <w:lang w:val="es-ES"/>
              </w:rPr>
              <w:t xml:space="preserve"> – </w:t>
            </w:r>
            <w:r w:rsidR="006C6819" w:rsidRPr="006C6819">
              <w:rPr>
                <w:spacing w:val="-6"/>
                <w:sz w:val="44"/>
                <w:szCs w:val="44"/>
                <w:lang w:val="es-ES"/>
              </w:rPr>
              <w:t>Mejora de la participación de Miembros de Sector de los países en desarrollo en la labor del Sector de Normalización de las Telecomunicaciones de la UIT</w:t>
            </w:r>
          </w:p>
          <w:p w14:paraId="51262F1D" w14:textId="77777777" w:rsidR="00EA2A26" w:rsidRPr="00251518" w:rsidRDefault="00EA2A26" w:rsidP="00367A2B">
            <w:pPr>
              <w:rPr>
                <w:lang w:val="es-ES"/>
              </w:rPr>
            </w:pPr>
          </w:p>
        </w:tc>
      </w:tr>
    </w:tbl>
    <w:p w14:paraId="7800F3B2" w14:textId="77777777" w:rsidR="00EA2A26" w:rsidRPr="00251518" w:rsidRDefault="00EA2A26" w:rsidP="00EA2A26">
      <w:pPr>
        <w:tabs>
          <w:tab w:val="clear" w:pos="794"/>
          <w:tab w:val="clear" w:pos="1191"/>
          <w:tab w:val="clear" w:pos="1588"/>
          <w:tab w:val="clear" w:pos="1985"/>
        </w:tabs>
        <w:overflowPunct/>
        <w:autoSpaceDE/>
        <w:autoSpaceDN/>
        <w:adjustRightInd/>
        <w:spacing w:before="0"/>
        <w:jc w:val="center"/>
        <w:textAlignment w:val="auto"/>
        <w:rPr>
          <w:sz w:val="18"/>
          <w:lang w:val="es-ES"/>
        </w:rPr>
      </w:pPr>
      <w:r w:rsidRPr="0033681A">
        <w:rPr>
          <w:rFonts w:ascii="Arial" w:eastAsia="Avenir Next W1G Medium" w:hAnsi="Arial" w:cs="Arial"/>
          <w:noProof/>
          <w:szCs w:val="24"/>
        </w:rPr>
        <mc:AlternateContent>
          <mc:Choice Requires="wpg">
            <w:drawing>
              <wp:anchor distT="0" distB="0" distL="114300" distR="114300" simplePos="0" relativeHeight="251660288" behindDoc="1" locked="0" layoutInCell="1" allowOverlap="1" wp14:anchorId="14C388CF" wp14:editId="2C642E50">
                <wp:simplePos x="0" y="0"/>
                <wp:positionH relativeFrom="page">
                  <wp:posOffset>6350</wp:posOffset>
                </wp:positionH>
                <wp:positionV relativeFrom="page">
                  <wp:posOffset>908685</wp:posOffset>
                </wp:positionV>
                <wp:extent cx="7772400" cy="229870"/>
                <wp:effectExtent l="0" t="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772400" cy="229870"/>
                          <a:chOff x="0" y="1784"/>
                          <a:chExt cx="11906" cy="362"/>
                        </a:xfrm>
                      </wpg:grpSpPr>
                      <wps:wsp>
                        <wps:cNvPr id="31" name="docshape4"/>
                        <wps:cNvSpPr>
                          <a:spLocks noChangeArrowheads="1"/>
                        </wps:cNvSpPr>
                        <wps:spPr bwMode="auto">
                          <a:xfrm>
                            <a:off x="0" y="1817"/>
                            <a:ext cx="11906" cy="329"/>
                          </a:xfrm>
                          <a:prstGeom prst="rect">
                            <a:avLst/>
                          </a:prstGeom>
                          <a:solidFill>
                            <a:srgbClr val="9D170A"/>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32" name="docshape5"/>
                        <wps:cNvSpPr>
                          <a:spLocks/>
                        </wps:cNvSpPr>
                        <wps:spPr bwMode="auto">
                          <a:xfrm>
                            <a:off x="1109" y="1784"/>
                            <a:ext cx="627" cy="314"/>
                          </a:xfrm>
                          <a:custGeom>
                            <a:avLst/>
                            <a:gdLst>
                              <a:gd name="T0" fmla="+- 0 1736 1109"/>
                              <a:gd name="T1" fmla="*/ T0 w 627"/>
                              <a:gd name="T2" fmla="+- 0 1784 1784"/>
                              <a:gd name="T3" fmla="*/ 1784 h 314"/>
                              <a:gd name="T4" fmla="+- 0 1109 1109"/>
                              <a:gd name="T5" fmla="*/ T4 w 627"/>
                              <a:gd name="T6" fmla="+- 0 1784 1784"/>
                              <a:gd name="T7" fmla="*/ 1784 h 314"/>
                              <a:gd name="T8" fmla="+- 0 1423 1109"/>
                              <a:gd name="T9" fmla="*/ T8 w 627"/>
                              <a:gd name="T10" fmla="+- 0 2097 1784"/>
                              <a:gd name="T11" fmla="*/ 2097 h 314"/>
                              <a:gd name="T12" fmla="+- 0 1736 1109"/>
                              <a:gd name="T13" fmla="*/ T12 w 627"/>
                              <a:gd name="T14" fmla="+- 0 1784 1784"/>
                              <a:gd name="T15" fmla="*/ 1784 h 314"/>
                            </a:gdLst>
                            <a:ahLst/>
                            <a:cxnLst>
                              <a:cxn ang="0">
                                <a:pos x="T1" y="T3"/>
                              </a:cxn>
                              <a:cxn ang="0">
                                <a:pos x="T5" y="T7"/>
                              </a:cxn>
                              <a:cxn ang="0">
                                <a:pos x="T9" y="T11"/>
                              </a:cxn>
                              <a:cxn ang="0">
                                <a:pos x="T13" y="T15"/>
                              </a:cxn>
                            </a:cxnLst>
                            <a:rect l="0" t="0" r="r" b="b"/>
                            <a:pathLst>
                              <a:path w="627" h="314">
                                <a:moveTo>
                                  <a:pt x="627" y="0"/>
                                </a:moveTo>
                                <a:lnTo>
                                  <a:pt x="0" y="0"/>
                                </a:lnTo>
                                <a:lnTo>
                                  <a:pt x="314" y="313"/>
                                </a:lnTo>
                                <a:lnTo>
                                  <a:pt x="627" y="0"/>
                                </a:lnTo>
                                <a:close/>
                              </a:path>
                            </a:pathLst>
                          </a:cu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337CC4C1" id="Group 30" o:spid="_x0000_s1026" style="position:absolute;margin-left:.5pt;margin-top:71.55pt;width:612pt;height:18.1pt;z-index:-251656192;mso-position-horizontal-relative:page;mso-position-vertical-relative:page" coordorigin=",1784" coordsize="11906,3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">
                <v:rect id="docshape4" o:spid="_x0000_s1027" style="position:absolute;top:1817;width:11906;height: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" fillcolor="#9d170a" stroked="f"/>
                <v:shape id="docshape5" o:spid="_x0000_s1028" style="position:absolute;left:1109;top:1784;width:627;height:314;visibility:visible;mso-wrap-style:square;v-text-anchor:top" coordsize="627,3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" path="m627,l,,314,313,627,xe" stroked="f">
                  <v:path arrowok="t" o:connecttype="custom" o:connectlocs="627,1784;0,1784;314,2097;627,1784" o:connectangles="0,0,0,0"/>
                </v:shape>
                <w10:wrap anchorx="page" anchory="page"/>
              </v:group>
            </w:pict>
          </mc:Fallback>
        </mc:AlternateContent>
      </w:r>
      <w:r w:rsidRPr="0033681A">
        <w:rPr>
          <w:noProof/>
        </w:rPr>
        <w:drawing>
          <wp:anchor distT="0" distB="0" distL="0" distR="0" simplePos="0" relativeHeight="251659264" behindDoc="1" locked="0" layoutInCell="1" allowOverlap="1" wp14:anchorId="1A5186FC" wp14:editId="44B435CE">
            <wp:simplePos x="0" y="0"/>
            <wp:positionH relativeFrom="page">
              <wp:posOffset>6355080</wp:posOffset>
            </wp:positionH>
            <wp:positionV relativeFrom="page">
              <wp:posOffset>9591675</wp:posOffset>
            </wp:positionV>
            <wp:extent cx="737870" cy="813435"/>
            <wp:effectExtent l="0" t="0" r="0" b="0"/>
            <wp:wrapNone/>
            <wp:docPr id="1" name="image1.png" descr="Logo, 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png" descr="Logo, icon&#10;&#10;Description automatically generated"/>
                    <pic:cNvPicPr/>
                  </pic:nvPicPr>
                  <pic:blipFill>
                    <a:blip r:embed="rId7" cstate="print"/>
                    <a:stretch>
                      <a:fillRect/>
                    </a:stretch>
                  </pic:blipFill>
                  <pic:spPr>
                    <a:xfrm>
                      <a:off x="0" y="0"/>
                      <a:ext cx="737870" cy="813435"/>
                    </a:xfrm>
                    <a:prstGeom prst="rect">
                      <a:avLst/>
                    </a:prstGeom>
                  </pic:spPr>
                </pic:pic>
              </a:graphicData>
            </a:graphic>
            <wp14:sizeRelH relativeFrom="margin">
              <wp14:pctWidth>0</wp14:pctWidth>
            </wp14:sizeRelH>
            <wp14:sizeRelV relativeFrom="margin">
              <wp14:pctHeight>0</wp14:pctHeight>
            </wp14:sizeRelV>
          </wp:anchor>
        </w:drawing>
      </w:r>
    </w:p>
    <w:p w14:paraId="5791FA29" w14:textId="77777777" w:rsidR="00EA2A26" w:rsidRPr="00251518" w:rsidRDefault="00EA2A26" w:rsidP="00EA2A26">
      <w:pPr>
        <w:jc w:val="left"/>
        <w:rPr>
          <w:lang w:val="es-ES"/>
        </w:rPr>
        <w:sectPr w:rsidR="00EA2A26" w:rsidRPr="00251518" w:rsidSect="00EA2A26">
          <w:headerReference w:type="even" r:id="rId8"/>
          <w:headerReference w:type="default" r:id="rId9"/>
          <w:footerReference w:type="even" r:id="rId10"/>
          <w:footerReference w:type="default" r:id="rId11"/>
          <w:headerReference w:type="first" r:id="rId12"/>
          <w:footerReference w:type="first" r:id="rId13"/>
          <w:type w:val="oddPage"/>
          <w:pgSz w:w="11907" w:h="16840" w:code="9"/>
          <w:pgMar w:top="1038" w:right="601" w:bottom="1860" w:left="618" w:header="567" w:footer="284" w:gutter="0"/>
          <w:pgNumType w:start="1"/>
          <w:cols w:space="720"/>
          <w:titlePg/>
          <w:docGrid w:linePitch="326"/>
        </w:sectPr>
      </w:pPr>
    </w:p>
    <w:p w14:paraId="4E8E85DC" w14:textId="7A3BA8F4" w:rsidR="008968B6" w:rsidRPr="00DC1CCA" w:rsidRDefault="00347EE0" w:rsidP="00AA1264">
      <w:pPr>
        <w:spacing w:before="480" w:line="240" w:lineRule="auto"/>
        <w:jc w:val="center"/>
        <w:rPr>
          <w:lang w:val="es-ES"/>
        </w:rPr>
      </w:pPr>
      <w:bookmarkStart w:id="1" w:name="irecnoe"/>
      <w:bookmarkEnd w:id="1"/>
      <w:r w:rsidRPr="00DC1CCA">
        <w:rPr>
          <w:lang w:val="es-ES"/>
        </w:rPr>
        <w:lastRenderedPageBreak/>
        <w:t>PREFACIO</w:t>
      </w:r>
    </w:p>
    <w:p w14:paraId="224BFE8E"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Unión Internacional de Telecomunicaciones (UIT) es el organismo especializado de las Naciones Unidas en el campo de las telecomunicaciones y de las tecnologías de la información y la comunicación. El Sector de Normalización de las Telecomunicaciones de la UIT (UIT-T) es un órgano permanente de la UIT. Este órgano estudia los aspectos técnicos, de explotación y tarifarios y publica Recomendaciones sobre los mismos, con miras a la normalización de las telecomunicaciones en el plano mundial.</w:t>
      </w:r>
    </w:p>
    <w:p w14:paraId="58714A47"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Asamblea Mundial de Normalización de las Telecomunicaciones (AMNT), que se celebra cada cuatro años, establece los temas que han de estudiar las Comisiones de Estudio del UIT-T, que a su vez producen Recomendaciones sobre dichos temas.</w:t>
      </w:r>
    </w:p>
    <w:p w14:paraId="0D3B6495"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La aprobación de Recomendaciones por los Miembros del UIT-T es el objeto del procedimiento establecido en la Resolución 1 de la AMNT.</w:t>
      </w:r>
    </w:p>
    <w:p w14:paraId="3A8E52FD" w14:textId="77777777" w:rsidR="00347EE0" w:rsidRPr="00347EE0" w:rsidRDefault="00347EE0" w:rsidP="00347EE0">
      <w:pPr>
        <w:spacing w:before="120" w:line="240" w:lineRule="auto"/>
        <w:rPr>
          <w:rFonts w:eastAsia="SimSun"/>
          <w:sz w:val="20"/>
          <w:lang w:val="es-ES"/>
        </w:rPr>
      </w:pPr>
      <w:r w:rsidRPr="00347EE0">
        <w:rPr>
          <w:rFonts w:eastAsia="SimSun"/>
          <w:sz w:val="20"/>
          <w:lang w:val="es-ES"/>
        </w:rPr>
        <w:t>En ciertos sectores de la tecnología de la información que corresponden a la esfera de competencia del UIT-T, se preparan las normas necesarias en colaboración con la ISO y la CEI.</w:t>
      </w:r>
    </w:p>
    <w:p w14:paraId="192371AE" w14:textId="77777777" w:rsidR="000E4393" w:rsidRPr="008B7E09" w:rsidRDefault="000E4393" w:rsidP="000E4393">
      <w:pPr>
        <w:spacing w:line="240" w:lineRule="exact"/>
        <w:jc w:val="center"/>
        <w:rPr>
          <w:sz w:val="20"/>
          <w:lang w:val="es-ES"/>
        </w:rPr>
      </w:pPr>
    </w:p>
    <w:p w14:paraId="7FCCDABA" w14:textId="77777777" w:rsidR="000E4393" w:rsidRPr="008B7E09" w:rsidRDefault="000E4393" w:rsidP="000E4393">
      <w:pPr>
        <w:spacing w:line="240" w:lineRule="exact"/>
        <w:jc w:val="center"/>
        <w:rPr>
          <w:sz w:val="20"/>
          <w:lang w:val="es-ES"/>
        </w:rPr>
      </w:pPr>
    </w:p>
    <w:p w14:paraId="70F00C73" w14:textId="77777777" w:rsidR="000E4393" w:rsidRPr="008B7E09" w:rsidRDefault="000E4393" w:rsidP="000E4393">
      <w:pPr>
        <w:spacing w:line="240" w:lineRule="exact"/>
        <w:jc w:val="center"/>
        <w:rPr>
          <w:sz w:val="20"/>
          <w:lang w:val="es-ES"/>
        </w:rPr>
      </w:pPr>
    </w:p>
    <w:p w14:paraId="441A93C9" w14:textId="77777777" w:rsidR="000E4393" w:rsidRPr="008B7E09" w:rsidRDefault="000E4393" w:rsidP="000E4393">
      <w:pPr>
        <w:spacing w:line="240" w:lineRule="exact"/>
        <w:jc w:val="center"/>
        <w:rPr>
          <w:sz w:val="20"/>
          <w:lang w:val="es-ES"/>
        </w:rPr>
      </w:pPr>
    </w:p>
    <w:p w14:paraId="4AA4512C" w14:textId="77777777" w:rsidR="000E4393" w:rsidRPr="008B7E09" w:rsidRDefault="000E4393" w:rsidP="000E4393">
      <w:pPr>
        <w:spacing w:line="240" w:lineRule="exact"/>
        <w:jc w:val="center"/>
        <w:rPr>
          <w:sz w:val="20"/>
          <w:lang w:val="es-ES"/>
        </w:rPr>
      </w:pPr>
    </w:p>
    <w:p w14:paraId="1CCAE5F2" w14:textId="77777777" w:rsidR="000E4393" w:rsidRPr="008B7E09" w:rsidRDefault="000E4393" w:rsidP="000E4393">
      <w:pPr>
        <w:spacing w:line="240" w:lineRule="exact"/>
        <w:jc w:val="center"/>
        <w:rPr>
          <w:sz w:val="20"/>
          <w:lang w:val="es-ES"/>
        </w:rPr>
      </w:pPr>
    </w:p>
    <w:p w14:paraId="2EE42A0A" w14:textId="77777777" w:rsidR="000E4393" w:rsidRPr="008B7E09" w:rsidRDefault="000E4393" w:rsidP="000E4393">
      <w:pPr>
        <w:spacing w:line="240" w:lineRule="exact"/>
        <w:jc w:val="center"/>
        <w:rPr>
          <w:sz w:val="20"/>
          <w:lang w:val="es-ES"/>
        </w:rPr>
      </w:pPr>
    </w:p>
    <w:p w14:paraId="022D9329" w14:textId="77777777" w:rsidR="000E4393" w:rsidRPr="008B7E09" w:rsidRDefault="000E4393" w:rsidP="000E4393">
      <w:pPr>
        <w:spacing w:line="240" w:lineRule="exact"/>
        <w:jc w:val="center"/>
        <w:rPr>
          <w:sz w:val="20"/>
          <w:lang w:val="es-ES"/>
        </w:rPr>
      </w:pPr>
    </w:p>
    <w:p w14:paraId="297330FC" w14:textId="77777777" w:rsidR="000E4393" w:rsidRPr="008B7E09" w:rsidRDefault="000E4393" w:rsidP="000E4393">
      <w:pPr>
        <w:spacing w:line="240" w:lineRule="exact"/>
        <w:jc w:val="center"/>
        <w:rPr>
          <w:sz w:val="20"/>
          <w:lang w:val="es-ES"/>
        </w:rPr>
      </w:pPr>
    </w:p>
    <w:p w14:paraId="432B0A04" w14:textId="77777777" w:rsidR="000E4393" w:rsidRPr="008B7E09" w:rsidRDefault="000E4393" w:rsidP="000E4393">
      <w:pPr>
        <w:spacing w:line="240" w:lineRule="exact"/>
        <w:jc w:val="center"/>
        <w:rPr>
          <w:sz w:val="20"/>
          <w:lang w:val="es-ES"/>
        </w:rPr>
      </w:pPr>
    </w:p>
    <w:p w14:paraId="652C1D75" w14:textId="77777777" w:rsidR="000E4393" w:rsidRPr="008B7E09" w:rsidRDefault="000E4393" w:rsidP="000E4393">
      <w:pPr>
        <w:spacing w:line="240" w:lineRule="exact"/>
        <w:jc w:val="center"/>
        <w:rPr>
          <w:sz w:val="20"/>
          <w:lang w:val="es-ES"/>
        </w:rPr>
      </w:pPr>
    </w:p>
    <w:p w14:paraId="687301D2" w14:textId="77777777" w:rsidR="000E4393" w:rsidRPr="008B7E09" w:rsidRDefault="000E4393" w:rsidP="000E4393">
      <w:pPr>
        <w:spacing w:line="240" w:lineRule="exact"/>
        <w:jc w:val="center"/>
        <w:rPr>
          <w:sz w:val="20"/>
          <w:lang w:val="es-ES"/>
        </w:rPr>
      </w:pPr>
    </w:p>
    <w:p w14:paraId="1F19B9D8" w14:textId="77777777" w:rsidR="000E4393" w:rsidRPr="008B7E09" w:rsidRDefault="000E4393" w:rsidP="000E4393">
      <w:pPr>
        <w:spacing w:line="240" w:lineRule="exact"/>
        <w:jc w:val="center"/>
        <w:rPr>
          <w:sz w:val="20"/>
          <w:lang w:val="es-ES"/>
        </w:rPr>
      </w:pPr>
    </w:p>
    <w:p w14:paraId="38FB642B" w14:textId="77777777" w:rsidR="000E4393" w:rsidRPr="008B7E09" w:rsidRDefault="000E4393" w:rsidP="000E4393">
      <w:pPr>
        <w:spacing w:line="240" w:lineRule="exact"/>
        <w:jc w:val="center"/>
        <w:rPr>
          <w:sz w:val="20"/>
          <w:lang w:val="es-ES"/>
        </w:rPr>
      </w:pPr>
    </w:p>
    <w:p w14:paraId="1F3E9127" w14:textId="77777777" w:rsidR="000E4393" w:rsidRPr="008B7E09" w:rsidRDefault="000E4393" w:rsidP="000E4393">
      <w:pPr>
        <w:spacing w:line="240" w:lineRule="exact"/>
        <w:jc w:val="center"/>
        <w:rPr>
          <w:sz w:val="20"/>
          <w:lang w:val="es-ES"/>
        </w:rPr>
      </w:pPr>
    </w:p>
    <w:p w14:paraId="3E533C3E" w14:textId="77777777" w:rsidR="000E4393" w:rsidRPr="008B7E09" w:rsidRDefault="000E4393" w:rsidP="000E4393">
      <w:pPr>
        <w:spacing w:line="240" w:lineRule="exact"/>
        <w:jc w:val="center"/>
        <w:rPr>
          <w:sz w:val="20"/>
          <w:lang w:val="es-ES"/>
        </w:rPr>
      </w:pPr>
    </w:p>
    <w:p w14:paraId="1A3ADD69" w14:textId="77777777" w:rsidR="000E4393" w:rsidRPr="008B7E09" w:rsidRDefault="000E4393" w:rsidP="000E4393">
      <w:pPr>
        <w:spacing w:line="240" w:lineRule="exact"/>
        <w:jc w:val="center"/>
        <w:rPr>
          <w:sz w:val="20"/>
          <w:lang w:val="es-ES"/>
        </w:rPr>
      </w:pPr>
    </w:p>
    <w:p w14:paraId="5F4CB22D" w14:textId="77777777" w:rsidR="000E4393" w:rsidRPr="008B7E09" w:rsidRDefault="000E4393" w:rsidP="000E4393">
      <w:pPr>
        <w:spacing w:line="240" w:lineRule="exact"/>
        <w:jc w:val="center"/>
        <w:rPr>
          <w:sz w:val="20"/>
          <w:lang w:val="es-ES"/>
        </w:rPr>
      </w:pPr>
    </w:p>
    <w:p w14:paraId="1C5C488F" w14:textId="77777777" w:rsidR="000E4393" w:rsidRPr="008B7E09" w:rsidRDefault="000E4393" w:rsidP="000E4393">
      <w:pPr>
        <w:spacing w:line="240" w:lineRule="exact"/>
        <w:jc w:val="center"/>
        <w:rPr>
          <w:sz w:val="20"/>
          <w:lang w:val="es-ES"/>
        </w:rPr>
      </w:pPr>
    </w:p>
    <w:p w14:paraId="1B58521F" w14:textId="77777777" w:rsidR="000E4393" w:rsidRPr="008B7E09" w:rsidRDefault="000E4393" w:rsidP="000E4393">
      <w:pPr>
        <w:spacing w:line="240" w:lineRule="exact"/>
        <w:jc w:val="center"/>
        <w:rPr>
          <w:sz w:val="20"/>
          <w:lang w:val="es-ES"/>
        </w:rPr>
      </w:pPr>
    </w:p>
    <w:p w14:paraId="5D96A7C5" w14:textId="77777777" w:rsidR="000E4393" w:rsidRPr="008B7E09" w:rsidRDefault="000E4393" w:rsidP="000E4393">
      <w:pPr>
        <w:spacing w:line="240" w:lineRule="exact"/>
        <w:jc w:val="center"/>
        <w:rPr>
          <w:sz w:val="20"/>
          <w:lang w:val="es-ES"/>
        </w:rPr>
      </w:pPr>
    </w:p>
    <w:p w14:paraId="77AF2A3F" w14:textId="77777777" w:rsidR="00AA1264" w:rsidRPr="008B7E09" w:rsidRDefault="00AA1264" w:rsidP="000E4393">
      <w:pPr>
        <w:spacing w:line="240" w:lineRule="exact"/>
        <w:jc w:val="center"/>
        <w:rPr>
          <w:sz w:val="20"/>
          <w:lang w:val="es-ES"/>
        </w:rPr>
      </w:pPr>
    </w:p>
    <w:p w14:paraId="39F6B1E2" w14:textId="77777777" w:rsidR="00EA2A26" w:rsidRPr="008B7E09" w:rsidRDefault="00EA2A26" w:rsidP="00EA2A26">
      <w:pPr>
        <w:spacing w:before="120" w:line="240" w:lineRule="auto"/>
        <w:rPr>
          <w:sz w:val="20"/>
          <w:lang w:val="es-ES"/>
        </w:rPr>
      </w:pPr>
    </w:p>
    <w:p w14:paraId="4812ECBE" w14:textId="6AEFAE01" w:rsidR="00EA2A26" w:rsidRPr="008B7E09" w:rsidRDefault="00EA2A26" w:rsidP="00EA2A26">
      <w:pPr>
        <w:spacing w:before="120" w:line="240" w:lineRule="auto"/>
        <w:jc w:val="center"/>
        <w:rPr>
          <w:sz w:val="20"/>
          <w:lang w:val="es-ES"/>
        </w:rPr>
      </w:pPr>
      <w:r w:rsidRPr="00EA2A26">
        <w:rPr>
          <w:sz w:val="20"/>
          <w:lang w:val="en-GB"/>
        </w:rPr>
        <w:sym w:font="Symbol" w:char="F0E3"/>
      </w:r>
      <w:r w:rsidRPr="008B7E09">
        <w:rPr>
          <w:sz w:val="20"/>
          <w:lang w:val="es-ES"/>
        </w:rPr>
        <w:t> </w:t>
      </w:r>
      <w:r w:rsidR="00423BC5" w:rsidRPr="008B7E09">
        <w:rPr>
          <w:sz w:val="20"/>
          <w:lang w:val="es-ES"/>
        </w:rPr>
        <w:t>UIT</w:t>
      </w:r>
      <w:r w:rsidRPr="008B7E09">
        <w:rPr>
          <w:sz w:val="20"/>
          <w:lang w:val="es-ES"/>
        </w:rPr>
        <w:t> 2024</w:t>
      </w:r>
    </w:p>
    <w:p w14:paraId="5A25B5AD" w14:textId="249216DD" w:rsidR="008968B6" w:rsidRPr="008B7E09" w:rsidRDefault="00347EE0" w:rsidP="00EA2A26">
      <w:pPr>
        <w:spacing w:before="120" w:line="240" w:lineRule="auto"/>
        <w:rPr>
          <w:lang w:val="es-ES"/>
        </w:rPr>
      </w:pPr>
      <w:r w:rsidRPr="008B7E09">
        <w:rPr>
          <w:sz w:val="20"/>
          <w:lang w:val="es-ES"/>
        </w:rPr>
        <w:t>Reservados todos los derechos. Ninguna parte de esta publicación puede reproducirse por ningún procedimiento sin previa autorización escrita por parte de la UIT.</w:t>
      </w:r>
    </w:p>
    <w:p w14:paraId="73B79B51" w14:textId="77777777" w:rsidR="00B73379" w:rsidRPr="008B7E09" w:rsidRDefault="00B73379" w:rsidP="003374BB">
      <w:pPr>
        <w:pStyle w:val="ResNo"/>
        <w:rPr>
          <w:lang w:val="es-ES"/>
        </w:rPr>
        <w:sectPr w:rsidR="00B73379" w:rsidRPr="008B7E09" w:rsidSect="00DE48B4">
          <w:headerReference w:type="even" r:id="rId14"/>
          <w:footerReference w:type="even" r:id="rId15"/>
          <w:footerReference w:type="default" r:id="rId16"/>
          <w:footnotePr>
            <w:numRestart w:val="eachSect"/>
          </w:footnotePr>
          <w:type w:val="evenPage"/>
          <w:pgSz w:w="11907" w:h="16834" w:code="9"/>
          <w:pgMar w:top="1134" w:right="1134" w:bottom="1134" w:left="1134" w:header="567" w:footer="567" w:gutter="0"/>
          <w:paperSrc w:first="15" w:other="15"/>
          <w:pgNumType w:start="1"/>
          <w:cols w:space="720"/>
        </w:sectPr>
      </w:pPr>
    </w:p>
    <w:p w14:paraId="65CE5AB9" w14:textId="389B0023" w:rsidR="00AA1264" w:rsidRDefault="00347EE0" w:rsidP="00AA1264">
      <w:pPr>
        <w:pStyle w:val="ResNo"/>
        <w:rPr>
          <w:lang w:val="es-ES"/>
        </w:rPr>
      </w:pPr>
      <w:r w:rsidRPr="00DD5D50">
        <w:rPr>
          <w:lang w:val="es-ES"/>
        </w:rPr>
        <w:lastRenderedPageBreak/>
        <w:t>RESOLUCIÓN</w:t>
      </w:r>
      <w:r w:rsidR="00AA1264" w:rsidRPr="00DD5D50">
        <w:rPr>
          <w:lang w:val="es-ES"/>
        </w:rPr>
        <w:t xml:space="preserve"> </w:t>
      </w:r>
      <w:r w:rsidR="00E91696">
        <w:rPr>
          <w:rStyle w:val="href"/>
          <w:lang w:val="es-ES"/>
        </w:rPr>
        <w:t>74</w:t>
      </w:r>
      <w:r w:rsidR="00AA1264" w:rsidRPr="00DD5D50">
        <w:rPr>
          <w:lang w:val="es-ES"/>
        </w:rPr>
        <w:t xml:space="preserve"> </w:t>
      </w:r>
      <w:r w:rsidR="00DD5D50">
        <w:rPr>
          <w:lang w:val="es-ES"/>
        </w:rPr>
        <w:t>(</w:t>
      </w:r>
      <w:r w:rsidR="00DD5D50" w:rsidRPr="005C2A3C">
        <w:rPr>
          <w:caps w:val="0"/>
          <w:lang w:val="es-ES"/>
        </w:rPr>
        <w:t>Rev</w:t>
      </w:r>
      <w:r w:rsidR="00DD5D50" w:rsidRPr="005C2A3C">
        <w:rPr>
          <w:lang w:val="es-ES"/>
        </w:rPr>
        <w:t>. </w:t>
      </w:r>
      <w:r w:rsidR="00DD5D50" w:rsidRPr="005C2A3C">
        <w:rPr>
          <w:caps w:val="0"/>
          <w:lang w:val="es-ES"/>
        </w:rPr>
        <w:t>Nueva Delhi</w:t>
      </w:r>
      <w:r w:rsidR="00DD5D50" w:rsidRPr="005C2A3C">
        <w:rPr>
          <w:lang w:val="es-ES"/>
        </w:rPr>
        <w:t>, 2024</w:t>
      </w:r>
      <w:r w:rsidR="00DD5D50">
        <w:rPr>
          <w:lang w:val="es-ES"/>
        </w:rPr>
        <w:t>)</w:t>
      </w:r>
    </w:p>
    <w:p w14:paraId="71BDDD2F" w14:textId="77777777" w:rsidR="00E91696" w:rsidRPr="0014777C" w:rsidRDefault="00E91696" w:rsidP="00E91696">
      <w:pPr>
        <w:pStyle w:val="Restitle"/>
        <w:rPr>
          <w:lang w:val="es-ES_tradnl"/>
        </w:rPr>
      </w:pPr>
      <w:bookmarkStart w:id="2" w:name="_Toc111990525"/>
      <w:r w:rsidRPr="0014777C">
        <w:rPr>
          <w:lang w:val="es-ES_tradnl"/>
        </w:rPr>
        <w:t>Mejora de la participación de Miembros de Sector</w:t>
      </w:r>
      <w:r w:rsidRPr="0014777C">
        <w:rPr>
          <w:rStyle w:val="FootnoteReference"/>
          <w:lang w:val="es-ES_tradnl"/>
        </w:rPr>
        <w:footnoteReference w:customMarkFollows="1" w:id="1"/>
        <w:t>1</w:t>
      </w:r>
      <w:r w:rsidRPr="0014777C">
        <w:rPr>
          <w:lang w:val="es-ES_tradnl"/>
        </w:rPr>
        <w:t xml:space="preserve"> de los países en desarrollo en la labor del Sector de Normalización de las Telecomunicaciones de la UIT</w:t>
      </w:r>
      <w:bookmarkEnd w:id="2"/>
    </w:p>
    <w:p w14:paraId="1BDB4F7C" w14:textId="77777777" w:rsidR="00E91696" w:rsidRPr="0014777C" w:rsidRDefault="00E91696" w:rsidP="00E91696">
      <w:pPr>
        <w:pStyle w:val="Resref"/>
        <w:rPr>
          <w:lang w:val="es-ES_tradnl"/>
        </w:rPr>
      </w:pPr>
      <w:r w:rsidRPr="0014777C">
        <w:rPr>
          <w:lang w:val="es-ES_tradnl"/>
        </w:rPr>
        <w:t>(Johannesburgo, 2008; Dubái, 2012; Ginebra, 2022; Nueva Delhi, 2024)</w:t>
      </w:r>
    </w:p>
    <w:p w14:paraId="478501D1" w14:textId="77777777" w:rsidR="00E91696" w:rsidRPr="0014777C" w:rsidRDefault="00E91696" w:rsidP="00E91696">
      <w:pPr>
        <w:pStyle w:val="Normalaftertitle01"/>
        <w:rPr>
          <w:lang w:val="es-ES_tradnl"/>
        </w:rPr>
      </w:pPr>
      <w:r w:rsidRPr="0014777C">
        <w:rPr>
          <w:lang w:val="es-ES_tradnl"/>
        </w:rPr>
        <w:t>La Asamblea Mundial de Normalización de las Telecomunicaciones (Nueva Delhi, 2024),</w:t>
      </w:r>
    </w:p>
    <w:p w14:paraId="54A38A7D" w14:textId="77777777" w:rsidR="00E91696" w:rsidRPr="0014777C" w:rsidRDefault="00E91696" w:rsidP="00E91696">
      <w:pPr>
        <w:pStyle w:val="Call"/>
        <w:rPr>
          <w:lang w:val="es-ES_tradnl"/>
        </w:rPr>
      </w:pPr>
      <w:r w:rsidRPr="0014777C">
        <w:rPr>
          <w:lang w:val="es-ES_tradnl"/>
        </w:rPr>
        <w:t>recordando</w:t>
      </w:r>
    </w:p>
    <w:p w14:paraId="2104B5E7" w14:textId="77777777" w:rsidR="00E91696" w:rsidRPr="0014777C" w:rsidRDefault="00E91696" w:rsidP="00E91696">
      <w:pPr>
        <w:rPr>
          <w:lang w:val="es-ES_tradnl"/>
        </w:rPr>
      </w:pPr>
      <w:r w:rsidRPr="0014777C">
        <w:rPr>
          <w:i/>
          <w:iCs/>
          <w:lang w:val="es-ES_tradnl"/>
        </w:rPr>
        <w:t>a)</w:t>
      </w:r>
      <w:r w:rsidRPr="0014777C">
        <w:rPr>
          <w:lang w:val="es-ES_tradnl"/>
        </w:rPr>
        <w:tab/>
        <w:t>la Resolución 71 (Rev. Bucarest, 2022) de la Conferencia de Plenipotenciarios, sobre el plan estratégico de la Unión para 2024-2027;</w:t>
      </w:r>
    </w:p>
    <w:p w14:paraId="4CC32640" w14:textId="77777777" w:rsidR="00E91696" w:rsidRPr="0014777C" w:rsidRDefault="00E91696" w:rsidP="00E91696">
      <w:pPr>
        <w:rPr>
          <w:lang w:val="es-ES_tradnl"/>
        </w:rPr>
      </w:pPr>
      <w:r w:rsidRPr="0014777C">
        <w:rPr>
          <w:i/>
          <w:iCs/>
          <w:lang w:val="es-ES_tradnl"/>
        </w:rPr>
        <w:t>b)</w:t>
      </w:r>
      <w:r w:rsidRPr="0014777C">
        <w:rPr>
          <w:lang w:val="es-ES_tradnl"/>
        </w:rPr>
        <w:tab/>
        <w:t>el espíritu de la Resolución 123 (Rev. Bucarest, 2022) de la Conferencia de Plenipotenciarios, sobre la reducción de la brecha de normalización entre los países en desarrollo</w:t>
      </w:r>
      <w:r w:rsidRPr="0014777C">
        <w:rPr>
          <w:rStyle w:val="FootnoteReference"/>
          <w:lang w:val="es-ES_tradnl"/>
        </w:rPr>
        <w:footnoteReference w:customMarkFollows="1" w:id="2"/>
        <w:t>2</w:t>
      </w:r>
      <w:r w:rsidRPr="0014777C">
        <w:rPr>
          <w:lang w:val="es-ES_tradnl"/>
        </w:rPr>
        <w:t xml:space="preserve"> y los desarrollados;</w:t>
      </w:r>
    </w:p>
    <w:p w14:paraId="759F3C17" w14:textId="77777777" w:rsidR="00E91696" w:rsidRPr="0014777C" w:rsidRDefault="00E91696" w:rsidP="00E91696">
      <w:pPr>
        <w:rPr>
          <w:lang w:val="es-ES_tradnl"/>
        </w:rPr>
      </w:pPr>
      <w:r w:rsidRPr="0014777C">
        <w:rPr>
          <w:i/>
          <w:iCs/>
          <w:lang w:val="es-ES_tradnl"/>
        </w:rPr>
        <w:t>c)</w:t>
      </w:r>
      <w:r w:rsidRPr="0014777C">
        <w:rPr>
          <w:lang w:val="es-ES_tradnl"/>
        </w:rPr>
        <w:tab/>
        <w:t xml:space="preserve">los objetivos de las Resoluciones 44 y 54 (Rev. </w:t>
      </w:r>
      <w:r>
        <w:rPr>
          <w:lang w:val="es-ES_tradnl"/>
        </w:rPr>
        <w:t>Nueva Delhi,2024</w:t>
      </w:r>
      <w:r w:rsidRPr="0014777C">
        <w:rPr>
          <w:lang w:val="es-ES_tradnl"/>
        </w:rPr>
        <w:t>) de la presente Asamblea;</w:t>
      </w:r>
    </w:p>
    <w:p w14:paraId="78D12C32" w14:textId="77777777" w:rsidR="00E91696" w:rsidRPr="0014777C" w:rsidRDefault="00E91696" w:rsidP="00E91696">
      <w:pPr>
        <w:rPr>
          <w:lang w:val="es-ES_tradnl"/>
        </w:rPr>
      </w:pPr>
      <w:r w:rsidRPr="0014777C">
        <w:rPr>
          <w:i/>
          <w:iCs/>
          <w:lang w:val="es-ES_tradnl"/>
        </w:rPr>
        <w:t>d)</w:t>
      </w:r>
      <w:r w:rsidRPr="0014777C">
        <w:rPr>
          <w:lang w:val="es-ES_tradnl"/>
        </w:rPr>
        <w:tab/>
        <w:t>la Resolución 59 (Rev. Kigali, 2022) de la Conferencia Mundial de Desarrollo de las Telecomunicaciones, sobre el fortalecimiento de la coordinación y la cooperación entre los tres Sectores de la UIT en asuntos de interés mutuo;</w:t>
      </w:r>
    </w:p>
    <w:p w14:paraId="0B998576" w14:textId="77777777" w:rsidR="00E91696" w:rsidRPr="0014777C" w:rsidRDefault="00E91696" w:rsidP="00E91696">
      <w:pPr>
        <w:rPr>
          <w:lang w:val="es-ES_tradnl"/>
        </w:rPr>
      </w:pPr>
      <w:r w:rsidRPr="0014777C">
        <w:rPr>
          <w:i/>
          <w:iCs/>
          <w:lang w:val="es-ES_tradnl"/>
        </w:rPr>
        <w:t>e)</w:t>
      </w:r>
      <w:r w:rsidRPr="0014777C">
        <w:rPr>
          <w:lang w:val="es-ES_tradnl"/>
        </w:rPr>
        <w:tab/>
        <w:t>la Resolución 25 (Rev. Bucarest, 2022) de la Conferencia de Plenipotenciarios, sobre el fortalecimiento de la presencia regional de la UIT;</w:t>
      </w:r>
    </w:p>
    <w:p w14:paraId="1BA1A6C2" w14:textId="77777777" w:rsidR="00E91696" w:rsidRPr="0014777C" w:rsidRDefault="00E91696" w:rsidP="00E91696">
      <w:pPr>
        <w:rPr>
          <w:lang w:val="es-ES_tradnl"/>
        </w:rPr>
      </w:pPr>
      <w:r w:rsidRPr="0014777C">
        <w:rPr>
          <w:i/>
          <w:iCs/>
          <w:lang w:val="es-ES_tradnl"/>
        </w:rPr>
        <w:t>f)</w:t>
      </w:r>
      <w:r w:rsidRPr="0014777C">
        <w:rPr>
          <w:lang w:val="es-ES_tradnl"/>
        </w:rPr>
        <w:tab/>
        <w:t>la Resolución 30 (Rev. Bucarest, 2022) de la Conferencia de Plenipotenciarios, sobre medidas especiales en favor de los países menos adelantados, los pequeños Estados insulares en desarrollo, los países en desarrollo sin litoral y los países con economías en transición;</w:t>
      </w:r>
    </w:p>
    <w:p w14:paraId="23871E5F" w14:textId="77777777" w:rsidR="00E91696" w:rsidRPr="0014777C" w:rsidRDefault="00E91696" w:rsidP="00E91696">
      <w:pPr>
        <w:rPr>
          <w:lang w:val="es-ES_tradnl"/>
        </w:rPr>
      </w:pPr>
      <w:r w:rsidRPr="0014777C">
        <w:rPr>
          <w:i/>
          <w:iCs/>
          <w:lang w:val="es-ES_tradnl"/>
        </w:rPr>
        <w:t>g)</w:t>
      </w:r>
      <w:r w:rsidRPr="0014777C">
        <w:rPr>
          <w:lang w:val="es-ES_tradnl"/>
        </w:rPr>
        <w:tab/>
        <w:t>la Resolución 68 (Rev. Nueva Delhi, 2024) de la presente Asamblea</w:t>
      </w:r>
      <w:r>
        <w:rPr>
          <w:lang w:val="es-ES_tradnl"/>
        </w:rPr>
        <w:t xml:space="preserve">, </w:t>
      </w:r>
      <w:r w:rsidRPr="0014777C">
        <w:rPr>
          <w:lang w:val="es-ES_tradnl"/>
        </w:rPr>
        <w:t>sobre la evolución del papel de la industria en el Sector de Normalización de las Telecomunicaciones de la UIT (UIT-T),</w:t>
      </w:r>
    </w:p>
    <w:p w14:paraId="5D4A8AD1" w14:textId="77777777" w:rsidR="006825C5" w:rsidRDefault="006825C5" w:rsidP="00E91696">
      <w:pPr>
        <w:pStyle w:val="Call"/>
        <w:rPr>
          <w:lang w:val="es-ES_tradnl"/>
        </w:rPr>
      </w:pPr>
      <w:r>
        <w:rPr>
          <w:lang w:val="es-ES_tradnl"/>
        </w:rPr>
        <w:br w:type="page"/>
      </w:r>
    </w:p>
    <w:p w14:paraId="11A4D757" w14:textId="30A24C01" w:rsidR="00E91696" w:rsidRPr="0014777C" w:rsidRDefault="00E91696" w:rsidP="00E91696">
      <w:pPr>
        <w:pStyle w:val="Call"/>
        <w:rPr>
          <w:lang w:val="es-ES_tradnl"/>
        </w:rPr>
      </w:pPr>
      <w:r w:rsidRPr="0014777C">
        <w:rPr>
          <w:lang w:val="es-ES_tradnl"/>
        </w:rPr>
        <w:lastRenderedPageBreak/>
        <w:t>teniendo en cuenta</w:t>
      </w:r>
    </w:p>
    <w:p w14:paraId="3BF2CB8D" w14:textId="0ED5F032" w:rsidR="00E91696" w:rsidRPr="006825C5" w:rsidRDefault="00E91696" w:rsidP="006825C5">
      <w:pPr>
        <w:rPr>
          <w:lang w:val="es-ES_tradnl"/>
        </w:rPr>
      </w:pPr>
      <w:r w:rsidRPr="0014777C">
        <w:rPr>
          <w:lang w:val="es-ES_tradnl"/>
        </w:rPr>
        <w:t>la Resolución 170 (Rev. Bucarest, 2022) de la Conferencia de Plenipotenciarios, sobre la admisión de los Miembros de Sector de los países en desarrollo para participar en los trabajos del UIT-T y del Sector de Radiocomunicaciones de la UIT (UIT-R), en virtud de la cual se fija el nivel de la contribución económica de los Miembros de Sector de los países en desarrollo para sufragar los gastos de la Unión en un dieciseisavo del valor de la unidad contributiva de los Miembros de Sector,</w:t>
      </w:r>
    </w:p>
    <w:p w14:paraId="6C77B544" w14:textId="77777777" w:rsidR="00E91696" w:rsidRPr="0014777C" w:rsidRDefault="00E91696" w:rsidP="00E91696">
      <w:pPr>
        <w:pStyle w:val="Call"/>
        <w:rPr>
          <w:lang w:val="es-ES_tradnl"/>
        </w:rPr>
      </w:pPr>
      <w:r w:rsidRPr="0014777C">
        <w:rPr>
          <w:lang w:val="es-ES_tradnl"/>
        </w:rPr>
        <w:t>reconociendo</w:t>
      </w:r>
    </w:p>
    <w:p w14:paraId="4771D1C3" w14:textId="77777777" w:rsidR="00E91696" w:rsidRPr="0014777C" w:rsidRDefault="00E91696" w:rsidP="00E91696">
      <w:pPr>
        <w:rPr>
          <w:lang w:val="es-ES_tradnl"/>
        </w:rPr>
      </w:pPr>
      <w:r w:rsidRPr="0014777C">
        <w:rPr>
          <w:i/>
          <w:iCs/>
          <w:lang w:val="es-ES_tradnl"/>
        </w:rPr>
        <w:t>a)</w:t>
      </w:r>
      <w:r w:rsidRPr="0014777C">
        <w:rPr>
          <w:lang w:val="es-ES_tradnl"/>
        </w:rPr>
        <w:tab/>
        <w:t>la escasa participación de los operadores, proveedores de servicios, industrias y otros Miembros de Sector de los países en desarrollo en las actividades de normalización;</w:t>
      </w:r>
    </w:p>
    <w:p w14:paraId="7488FA95" w14:textId="77777777" w:rsidR="00E91696" w:rsidRPr="0014777C" w:rsidRDefault="00E91696" w:rsidP="00E91696">
      <w:pPr>
        <w:rPr>
          <w:lang w:val="es-ES_tradnl"/>
        </w:rPr>
      </w:pPr>
      <w:r w:rsidRPr="0014777C">
        <w:rPr>
          <w:i/>
          <w:iCs/>
          <w:lang w:val="es-ES_tradnl"/>
        </w:rPr>
        <w:t>b)</w:t>
      </w:r>
      <w:r w:rsidRPr="0014777C">
        <w:rPr>
          <w:lang w:val="es-ES_tradnl"/>
        </w:rPr>
        <w:tab/>
        <w:t>que la mayoría de dichos operadores son filiales de empresas de telecomunicaciones de países desarrollados que ya son Miembros de Sector;</w:t>
      </w:r>
    </w:p>
    <w:p w14:paraId="460210AD" w14:textId="77777777" w:rsidR="00E91696" w:rsidRPr="0014777C" w:rsidRDefault="00E91696" w:rsidP="00E91696">
      <w:pPr>
        <w:rPr>
          <w:lang w:val="es-ES_tradnl"/>
        </w:rPr>
      </w:pPr>
      <w:r w:rsidRPr="0014777C">
        <w:rPr>
          <w:i/>
          <w:iCs/>
          <w:lang w:val="es-ES_tradnl"/>
        </w:rPr>
        <w:t>c)</w:t>
      </w:r>
      <w:r w:rsidRPr="0014777C">
        <w:rPr>
          <w:lang w:val="es-ES_tradnl"/>
        </w:rPr>
        <w:tab/>
        <w:t>que los objetivos estratégicos de los Miembros de Sector de los países desarrollados que participan en las actividades del UIT-T no siempre incluyen la participación de sus filiales;</w:t>
      </w:r>
    </w:p>
    <w:p w14:paraId="5846A213" w14:textId="77777777" w:rsidR="00E91696" w:rsidRPr="0014777C" w:rsidRDefault="00E91696" w:rsidP="00E91696">
      <w:pPr>
        <w:rPr>
          <w:lang w:val="es-ES_tradnl"/>
        </w:rPr>
      </w:pPr>
      <w:r w:rsidRPr="0014777C">
        <w:rPr>
          <w:i/>
          <w:iCs/>
          <w:lang w:val="es-ES_tradnl"/>
        </w:rPr>
        <w:t>d)</w:t>
      </w:r>
      <w:r w:rsidRPr="0014777C">
        <w:rPr>
          <w:lang w:val="es-ES_tradnl"/>
        </w:rPr>
        <w:tab/>
        <w:t>que los citados operadores de telecomunicaciones de los países en desarrollo muestran un especial interés por la explotación e instalación de infraestructuras de tecnologías de la información y la comunicación, en vez de participar de forma activa en las actividades de normalización;</w:t>
      </w:r>
    </w:p>
    <w:p w14:paraId="28C49BF4" w14:textId="77777777" w:rsidR="00E91696" w:rsidRPr="0014777C" w:rsidRDefault="00E91696" w:rsidP="00E91696">
      <w:pPr>
        <w:keepNext/>
        <w:keepLines/>
        <w:rPr>
          <w:lang w:val="es-ES_tradnl"/>
        </w:rPr>
      </w:pPr>
      <w:r w:rsidRPr="0014777C">
        <w:rPr>
          <w:i/>
          <w:iCs/>
          <w:lang w:val="es-ES_tradnl"/>
        </w:rPr>
        <w:t>e)</w:t>
      </w:r>
      <w:r w:rsidRPr="0014777C">
        <w:rPr>
          <w:lang w:val="es-ES_tradnl"/>
        </w:rPr>
        <w:tab/>
        <w:t>que, en el Artículo 1 de la Constitución de la UIT, se señala que la Unión facilitará el proceso de normalización mundial de las telecomunicaciones con una calidad de servicio satisfactoria, alentará y mejorará la participación de entidades y organizaciones en las actividades de la Unión favoreciendo la cooperación fructífera y la asociación entre ellas y los Estados Miembros para la consecución de los fines de la Unión,</w:t>
      </w:r>
    </w:p>
    <w:p w14:paraId="199FAC72" w14:textId="77777777" w:rsidR="00E91696" w:rsidRPr="0014777C" w:rsidRDefault="00E91696" w:rsidP="00E91696">
      <w:pPr>
        <w:pStyle w:val="Call"/>
        <w:rPr>
          <w:lang w:val="es-ES_tradnl"/>
        </w:rPr>
      </w:pPr>
      <w:r w:rsidRPr="0014777C">
        <w:rPr>
          <w:lang w:val="es-ES_tradnl"/>
        </w:rPr>
        <w:t>considerando</w:t>
      </w:r>
    </w:p>
    <w:p w14:paraId="1DA74BDC" w14:textId="77777777" w:rsidR="00E91696" w:rsidRPr="0014777C" w:rsidRDefault="00E91696" w:rsidP="00E91696">
      <w:pPr>
        <w:rPr>
          <w:lang w:val="es-ES_tradnl"/>
        </w:rPr>
      </w:pPr>
      <w:r w:rsidRPr="0014777C">
        <w:rPr>
          <w:i/>
          <w:iCs/>
          <w:lang w:val="es-ES_tradnl"/>
        </w:rPr>
        <w:t>a)</w:t>
      </w:r>
      <w:r w:rsidRPr="0014777C">
        <w:rPr>
          <w:lang w:val="es-ES_tradnl"/>
        </w:rPr>
        <w:tab/>
        <w:t>que las entidades u organizaciones pertinentes de los países en desarrollo se interesan por la labor de normalización que lleva a cabo el UIT</w:t>
      </w:r>
      <w:r w:rsidRPr="0014777C">
        <w:rPr>
          <w:lang w:val="es-ES_tradnl"/>
        </w:rPr>
        <w:noBreakHyphen/>
        <w:t>T y estarían dispuestas a sumarse a dicha labor si existiera más información relevante sobre la labor del UIT-T y las condiciones financieras más favorables para su participación en los trabajos del UIT</w:t>
      </w:r>
      <w:r w:rsidRPr="0014777C">
        <w:rPr>
          <w:lang w:val="es-ES_tradnl"/>
        </w:rPr>
        <w:noBreakHyphen/>
        <w:t>T;</w:t>
      </w:r>
    </w:p>
    <w:p w14:paraId="36160479" w14:textId="77777777" w:rsidR="00E91696" w:rsidRPr="0014777C" w:rsidRDefault="00E91696" w:rsidP="00E91696">
      <w:pPr>
        <w:rPr>
          <w:lang w:val="es-ES_tradnl" w:eastAsia="ar-SA"/>
        </w:rPr>
      </w:pPr>
      <w:r w:rsidRPr="0014777C">
        <w:rPr>
          <w:i/>
          <w:iCs/>
          <w:lang w:val="es-ES_tradnl" w:eastAsia="ar-SA"/>
        </w:rPr>
        <w:t>b)</w:t>
      </w:r>
      <w:r w:rsidRPr="0014777C">
        <w:rPr>
          <w:lang w:val="es-ES_tradnl" w:eastAsia="ar-SA"/>
        </w:rPr>
        <w:tab/>
        <w:t>que las citadas entidades u organizaciones podrían desempeñar un importante papel a efectos de la investigación y el desarrollo de nuevas tecnologías, y que la participación de tales entidades de los países en desarrollo en el trabajo del UIT</w:t>
      </w:r>
      <w:r w:rsidRPr="0014777C">
        <w:rPr>
          <w:lang w:val="es-ES_tradnl" w:eastAsia="ar-SA"/>
        </w:rPr>
        <w:noBreakHyphen/>
        <w:t>T contribuiría a reducir la brecha de normalización;</w:t>
      </w:r>
    </w:p>
    <w:p w14:paraId="05B66FBA" w14:textId="77777777" w:rsidR="00E91696" w:rsidRPr="0014777C" w:rsidRDefault="00E91696" w:rsidP="00E91696">
      <w:pPr>
        <w:rPr>
          <w:i/>
          <w:lang w:val="es-ES_tradnl" w:eastAsia="ar-SA"/>
        </w:rPr>
      </w:pPr>
      <w:r w:rsidRPr="0014777C">
        <w:rPr>
          <w:i/>
          <w:lang w:val="es-ES_tradnl" w:eastAsia="ar-SA"/>
        </w:rPr>
        <w:t>c)</w:t>
      </w:r>
      <w:r w:rsidRPr="0014777C">
        <w:rPr>
          <w:i/>
          <w:lang w:val="es-ES_tradnl" w:eastAsia="ar-SA"/>
        </w:rPr>
        <w:tab/>
      </w:r>
      <w:r w:rsidRPr="0014777C">
        <w:rPr>
          <w:lang w:val="es-ES_tradnl"/>
        </w:rPr>
        <w:t>que esta participación de los Miembros de Sector, en particular, empresas líderes, contribuiría a fortalecer la labor de capacitación en los países en desarrollo, fomentaría su competitividad y facilitaría la innovación en sus mercados,</w:t>
      </w:r>
    </w:p>
    <w:p w14:paraId="42E8D6E9" w14:textId="77777777" w:rsidR="00E91696" w:rsidRPr="0014777C" w:rsidRDefault="00E91696" w:rsidP="00E91696">
      <w:pPr>
        <w:pStyle w:val="Call"/>
        <w:rPr>
          <w:lang w:val="es-ES_tradnl"/>
        </w:rPr>
      </w:pPr>
      <w:r w:rsidRPr="0014777C">
        <w:rPr>
          <w:lang w:val="es-ES_tradnl"/>
        </w:rPr>
        <w:t>resuelve</w:t>
      </w:r>
    </w:p>
    <w:p w14:paraId="79898627" w14:textId="77777777" w:rsidR="00E91696" w:rsidRPr="0014777C" w:rsidRDefault="00E91696" w:rsidP="00E91696">
      <w:pPr>
        <w:rPr>
          <w:lang w:val="es-ES_tradnl"/>
        </w:rPr>
      </w:pPr>
      <w:r w:rsidRPr="0014777C">
        <w:rPr>
          <w:lang w:val="es-ES_tradnl"/>
        </w:rPr>
        <w:t>1</w:t>
      </w:r>
      <w:r w:rsidRPr="0014777C">
        <w:rPr>
          <w:lang w:val="es-ES_tradnl"/>
        </w:rPr>
        <w:tab/>
        <w:t>alentar la adopción de las medidas y los mecanismos necesarios para permitir la incorporación al UIT-T de nuevos Miembros de Sector de países en desarrollo y su participación en la labor de las Comisiones de Estudio, en particular, sus Grupos Regionales, y de otros grupos del UIT</w:t>
      </w:r>
      <w:r w:rsidRPr="0014777C">
        <w:rPr>
          <w:lang w:val="es-ES_tradnl"/>
        </w:rPr>
        <w:noBreakHyphen/>
        <w:t>T;</w:t>
      </w:r>
    </w:p>
    <w:p w14:paraId="2BEC7A62" w14:textId="77777777" w:rsidR="00E91696" w:rsidRPr="0014777C" w:rsidRDefault="00E91696" w:rsidP="00E91696">
      <w:pPr>
        <w:rPr>
          <w:lang w:val="es-ES_tradnl"/>
        </w:rPr>
      </w:pPr>
      <w:r w:rsidRPr="0014777C">
        <w:rPr>
          <w:lang w:val="es-ES_tradnl"/>
        </w:rPr>
        <w:t>2</w:t>
      </w:r>
      <w:r w:rsidRPr="0014777C">
        <w:rPr>
          <w:lang w:val="es-ES_tradnl"/>
        </w:rPr>
        <w:tab/>
        <w:t>alentar a los Miembros de Sector de países desarrollados a fomentar la participación en las actividades del UIT-T de sus filiales instaladas en países en desarrollo,</w:t>
      </w:r>
    </w:p>
    <w:p w14:paraId="4E24A276" w14:textId="77777777" w:rsidR="006825C5" w:rsidRDefault="006825C5" w:rsidP="00E91696">
      <w:pPr>
        <w:pStyle w:val="Call"/>
        <w:rPr>
          <w:lang w:val="es-ES"/>
        </w:rPr>
      </w:pPr>
      <w:r>
        <w:rPr>
          <w:lang w:val="es-ES"/>
        </w:rPr>
        <w:br w:type="page"/>
      </w:r>
    </w:p>
    <w:p w14:paraId="2A1FD0F4" w14:textId="25BFE799" w:rsidR="00E91696" w:rsidRPr="0014777C" w:rsidRDefault="00E91696" w:rsidP="00E91696">
      <w:pPr>
        <w:pStyle w:val="Call"/>
        <w:rPr>
          <w:lang w:val="es-ES"/>
        </w:rPr>
      </w:pPr>
      <w:r w:rsidRPr="1C7B5B94">
        <w:rPr>
          <w:lang w:val="es-ES"/>
        </w:rPr>
        <w:lastRenderedPageBreak/>
        <w:t>encarga al Director de la Oficina de Normalización de las Telecomunicaciones</w:t>
      </w:r>
    </w:p>
    <w:p w14:paraId="0DA75CE8" w14:textId="5AF1FA5F" w:rsidR="00E91696" w:rsidRPr="0014777C" w:rsidRDefault="00E91696" w:rsidP="006825C5">
      <w:pPr>
        <w:rPr>
          <w:lang w:val="es-ES_tradnl"/>
        </w:rPr>
      </w:pPr>
      <w:bookmarkStart w:id="3" w:name="_Hlk180477836"/>
      <w:r w:rsidRPr="0014777C">
        <w:rPr>
          <w:lang w:val="es-ES_tradnl"/>
        </w:rPr>
        <w:t>1</w:t>
      </w:r>
      <w:r w:rsidRPr="0014777C">
        <w:rPr>
          <w:lang w:val="es-ES_tradnl"/>
        </w:rPr>
        <w:tab/>
      </w:r>
      <w:bookmarkEnd w:id="3"/>
      <w:r w:rsidRPr="0014777C">
        <w:rPr>
          <w:lang w:val="es-ES_tradnl"/>
        </w:rPr>
        <w:t>que informe anualmente al Grupo Asesor de Normalización de las Telecomunicaciones sobre la aplicación de la presente Resolución, incluida la evaluación de la participación de los Miembros de Sector de los países en desarrollo en todas las actividades del UIT-T;</w:t>
      </w:r>
    </w:p>
    <w:p w14:paraId="68A3F06B" w14:textId="77777777" w:rsidR="00E91696" w:rsidRPr="0014777C" w:rsidRDefault="00E91696" w:rsidP="00E91696">
      <w:pPr>
        <w:rPr>
          <w:lang w:val="es-ES_tradnl"/>
        </w:rPr>
      </w:pPr>
      <w:r w:rsidRPr="0014777C">
        <w:rPr>
          <w:lang w:val="es-ES_tradnl"/>
        </w:rPr>
        <w:t>2</w:t>
      </w:r>
      <w:r w:rsidRPr="0014777C">
        <w:rPr>
          <w:lang w:val="es-ES_tradnl"/>
        </w:rPr>
        <w:tab/>
        <w:t>que continúe mejorando las herramientas web de la UIT, en un esfuerzo por facilitar la localización y promoción de directrices, Recomendaciones, informes técnicos, prácticas idóneas y casos de uso elaborados por el UIT-T, así como la identificación de estrategias y mecanismos que ayuden y permitan a los Miembros de Sector de los países en desarrollo utilizar proactivamente estas herramientas para acelerar la [transmisión de conocimientos,</w:t>
      </w:r>
    </w:p>
    <w:p w14:paraId="744B254A" w14:textId="77777777" w:rsidR="00E91696" w:rsidRPr="0014777C" w:rsidRDefault="00E91696" w:rsidP="00E91696">
      <w:pPr>
        <w:pStyle w:val="Call"/>
        <w:rPr>
          <w:lang w:val="es-ES"/>
        </w:rPr>
      </w:pPr>
      <w:r w:rsidRPr="1C7B5B94">
        <w:rPr>
          <w:lang w:val="es-ES"/>
        </w:rPr>
        <w:t>encarga al Director de la Oficina de Normalización de las Telecomunicaciones, en estrecha colaboración con el Director de la Oficina de Desarrollo de las Telecomunicaciones,</w:t>
      </w:r>
    </w:p>
    <w:p w14:paraId="01E281B8" w14:textId="77777777" w:rsidR="00E91696" w:rsidRPr="0014777C" w:rsidRDefault="00E91696" w:rsidP="00E91696">
      <w:pPr>
        <w:rPr>
          <w:lang w:val="es-ES_tradnl"/>
        </w:rPr>
      </w:pPr>
      <w:r w:rsidRPr="0014777C">
        <w:rPr>
          <w:lang w:val="es-ES_tradnl"/>
        </w:rPr>
        <w:t>dentro de los recursos disponibles,</w:t>
      </w:r>
    </w:p>
    <w:p w14:paraId="699730CE" w14:textId="77777777" w:rsidR="00E91696" w:rsidRPr="0014777C" w:rsidRDefault="00E91696" w:rsidP="00E91696">
      <w:pPr>
        <w:rPr>
          <w:lang w:val="es-ES_tradnl"/>
        </w:rPr>
      </w:pPr>
      <w:r w:rsidRPr="0014777C">
        <w:rPr>
          <w:lang w:val="es-ES_tradnl"/>
        </w:rPr>
        <w:t>1</w:t>
      </w:r>
      <w:r w:rsidRPr="0014777C">
        <w:rPr>
          <w:lang w:val="es-ES_tradnl"/>
        </w:rPr>
        <w:tab/>
        <w:t>que organice talleres, preferiblemente en paralelo a las reuniones de los Grupos Regionales del UIT-T u otros eventos regionales de la UIT, y elabore programas sobre campañas de sensibilización sobre los beneficios que supone para los operadores, proveedores de servicios, industrias y otros Miembros de Sector de los países en desarrollo participar en las actividades del UIT-T destinadas en particular a:</w:t>
      </w:r>
    </w:p>
    <w:p w14:paraId="68383B2F" w14:textId="77777777" w:rsidR="00E91696" w:rsidRPr="0014777C" w:rsidRDefault="00E91696" w:rsidP="00E91696">
      <w:pPr>
        <w:pStyle w:val="enumlev1"/>
        <w:rPr>
          <w:lang w:val="es-ES_tradnl"/>
        </w:rPr>
      </w:pPr>
      <w:r w:rsidRPr="0014777C">
        <w:rPr>
          <w:lang w:val="es-ES_tradnl"/>
        </w:rPr>
        <w:t>i)</w:t>
      </w:r>
      <w:r w:rsidRPr="0014777C">
        <w:rPr>
          <w:lang w:val="es-ES_tradnl"/>
        </w:rPr>
        <w:tab/>
        <w:t>realzar la pertinencia del UIT-T y la importancia de su participación en las actividades de normalización;</w:t>
      </w:r>
    </w:p>
    <w:p w14:paraId="50435D94" w14:textId="77777777" w:rsidR="00E91696" w:rsidRPr="0014777C" w:rsidRDefault="00E91696" w:rsidP="00E91696">
      <w:pPr>
        <w:pStyle w:val="enumlev1"/>
        <w:rPr>
          <w:lang w:val="es-ES"/>
        </w:rPr>
      </w:pPr>
      <w:r w:rsidRPr="1C7B5B94">
        <w:rPr>
          <w:lang w:val="es-ES"/>
        </w:rPr>
        <w:t>ii)</w:t>
      </w:r>
      <w:r w:rsidRPr="00FC5825">
        <w:rPr>
          <w:lang w:val="es-ES"/>
        </w:rPr>
        <w:tab/>
      </w:r>
      <w:r w:rsidRPr="1C7B5B94">
        <w:rPr>
          <w:lang w:val="es-ES"/>
        </w:rPr>
        <w:t>identificar sus prioridades, necesidades y preocupaciones en materia de normalización, en particular, con respecto a las tendencias de las telecomunicaciones/TIC;</w:t>
      </w:r>
    </w:p>
    <w:p w14:paraId="4369D8FF" w14:textId="77777777" w:rsidR="00E91696" w:rsidRPr="0014777C" w:rsidRDefault="00E91696" w:rsidP="00E91696">
      <w:pPr>
        <w:rPr>
          <w:lang w:val="es-ES_tradnl"/>
        </w:rPr>
      </w:pPr>
      <w:r w:rsidRPr="0014777C">
        <w:rPr>
          <w:lang w:val="es-ES_tradnl"/>
        </w:rPr>
        <w:t>2</w:t>
      </w:r>
      <w:r w:rsidRPr="0014777C">
        <w:rPr>
          <w:lang w:val="es-ES_tradnl"/>
        </w:rPr>
        <w:tab/>
        <w:t>que elabore los parámetros pertinentes para medir la participación de los Miembros de Sector de los países en desarrollo en las actividades del UIT-T,</w:t>
      </w:r>
    </w:p>
    <w:p w14:paraId="4EB68D7F" w14:textId="77777777" w:rsidR="00E91696" w:rsidRPr="0014777C" w:rsidRDefault="00E91696" w:rsidP="00E91696">
      <w:pPr>
        <w:pStyle w:val="Call"/>
        <w:rPr>
          <w:lang w:val="es-ES_tradnl"/>
        </w:rPr>
      </w:pPr>
      <w:r w:rsidRPr="0014777C">
        <w:rPr>
          <w:lang w:val="es-ES_tradnl"/>
        </w:rPr>
        <w:t>encarga al Grupo Asesor de Normalización de las Telecomunicaciones</w:t>
      </w:r>
    </w:p>
    <w:p w14:paraId="4C5F1954" w14:textId="77777777" w:rsidR="00E91696" w:rsidRPr="0014777C" w:rsidRDefault="00E91696" w:rsidP="00E91696">
      <w:pPr>
        <w:rPr>
          <w:lang w:val="es-ES_tradnl"/>
        </w:rPr>
      </w:pPr>
      <w:r w:rsidRPr="0014777C">
        <w:rPr>
          <w:lang w:val="es-ES_tradnl"/>
        </w:rPr>
        <w:t>que siga fomentando la participación de los Miembros de Sector de los países en desarrollo e informe a la próxima Asamblea Mundial de Normalización de las Telecomunicaciones sobre la aplicación de la presente Resolución,</w:t>
      </w:r>
    </w:p>
    <w:p w14:paraId="775B7D56" w14:textId="77777777" w:rsidR="00E91696" w:rsidRPr="0014777C" w:rsidRDefault="00E91696" w:rsidP="00E91696">
      <w:pPr>
        <w:pStyle w:val="Call"/>
        <w:rPr>
          <w:lang w:val="es-ES_tradnl"/>
        </w:rPr>
      </w:pPr>
      <w:r w:rsidRPr="0014777C">
        <w:rPr>
          <w:lang w:val="es-ES_tradnl"/>
        </w:rPr>
        <w:t>resuelve además que las Oficinas Regionales de la UIT</w:t>
      </w:r>
    </w:p>
    <w:p w14:paraId="0BE43392" w14:textId="77777777" w:rsidR="00E91696" w:rsidRPr="0014777C" w:rsidRDefault="00E91696" w:rsidP="00E91696">
      <w:pPr>
        <w:rPr>
          <w:lang w:val="es-ES_tradnl"/>
        </w:rPr>
      </w:pPr>
      <w:r w:rsidRPr="0014777C">
        <w:rPr>
          <w:lang w:val="es-ES_tradnl"/>
        </w:rPr>
        <w:t>participen en la aplicación de la presente Resolución,</w:t>
      </w:r>
    </w:p>
    <w:p w14:paraId="4C9B2E19" w14:textId="77777777" w:rsidR="00E91696" w:rsidRPr="0014777C" w:rsidRDefault="00E91696" w:rsidP="00E91696">
      <w:pPr>
        <w:pStyle w:val="Call"/>
        <w:rPr>
          <w:lang w:val="es-ES_tradnl"/>
        </w:rPr>
      </w:pPr>
      <w:r w:rsidRPr="0014777C">
        <w:rPr>
          <w:lang w:val="es-ES_tradnl"/>
        </w:rPr>
        <w:t>invita a los Estados Miembros</w:t>
      </w:r>
    </w:p>
    <w:p w14:paraId="7844488D" w14:textId="77777777" w:rsidR="00E91696" w:rsidRPr="0014777C" w:rsidRDefault="00E91696" w:rsidP="00E91696">
      <w:pPr>
        <w:rPr>
          <w:lang w:val="es-ES_tradnl"/>
        </w:rPr>
      </w:pPr>
      <w:r w:rsidRPr="0014777C">
        <w:rPr>
          <w:lang w:val="es-ES_tradnl"/>
        </w:rPr>
        <w:t>1</w:t>
      </w:r>
      <w:r w:rsidRPr="0014777C">
        <w:rPr>
          <w:lang w:val="es-ES_tradnl"/>
        </w:rPr>
        <w:tab/>
        <w:t>a instar a los Miembros de Sector de los países en desarrollo a que aumenten su participación en las actividades del UIT</w:t>
      </w:r>
      <w:r w:rsidRPr="0014777C">
        <w:rPr>
          <w:lang w:val="es-ES_tradnl"/>
        </w:rPr>
        <w:noBreakHyphen/>
        <w:t>T;</w:t>
      </w:r>
    </w:p>
    <w:p w14:paraId="6EA03065" w14:textId="77777777" w:rsidR="00E91696" w:rsidRPr="0014777C" w:rsidRDefault="00E91696" w:rsidP="00E91696">
      <w:pPr>
        <w:rPr>
          <w:lang w:val="es-ES_tradnl"/>
        </w:rPr>
      </w:pPr>
      <w:r w:rsidRPr="0014777C">
        <w:rPr>
          <w:lang w:val="es-ES_tradnl"/>
        </w:rPr>
        <w:t>2</w:t>
      </w:r>
      <w:r w:rsidRPr="0014777C">
        <w:rPr>
          <w:lang w:val="es-ES_tradnl"/>
        </w:rPr>
        <w:tab/>
        <w:t>a compartir la información pertinente de las actividades del UIT-T con posibles nuevos Miembros de Sector de países en desarrollo;</w:t>
      </w:r>
    </w:p>
    <w:p w14:paraId="2CF8DFFF" w14:textId="126D978B" w:rsidR="00E91696" w:rsidRPr="00E91696" w:rsidRDefault="00E91696" w:rsidP="00E91696">
      <w:pPr>
        <w:rPr>
          <w:lang w:val="es-ES"/>
        </w:rPr>
      </w:pPr>
      <w:r w:rsidRPr="0014777C">
        <w:rPr>
          <w:lang w:val="es-ES_tradnl"/>
        </w:rPr>
        <w:t>3</w:t>
      </w:r>
      <w:r w:rsidRPr="0014777C">
        <w:rPr>
          <w:lang w:val="es-ES_tradnl"/>
        </w:rPr>
        <w:tab/>
        <w:t>a apoyar las iniciativas encaminadas a aumentar la participación de los Miembros de Sector de los países en desarrollo en las actividades del UIT-T.</w:t>
      </w:r>
    </w:p>
    <w:sectPr w:rsidR="00E91696" w:rsidRPr="00E91696" w:rsidSect="00726747">
      <w:headerReference w:type="even" r:id="rId17"/>
      <w:headerReference w:type="default" r:id="rId18"/>
      <w:footerReference w:type="even" r:id="rId19"/>
      <w:footerReference w:type="default" r:id="rId20"/>
      <w:headerReference w:type="first" r:id="rId21"/>
      <w:footerReference w:type="first" r:id="rId22"/>
      <w:footnotePr>
        <w:numRestart w:val="eachSect"/>
      </w:footnotePr>
      <w:pgSz w:w="11907" w:h="16834" w:code="9"/>
      <w:pgMar w:top="1134" w:right="1134" w:bottom="1134" w:left="1134" w:header="567" w:footer="567" w:gutter="0"/>
      <w:paperSrc w:first="15" w:other="15"/>
      <w:pgNumType w:start="1"/>
      <w:cols w:space="720"/>
      <w:vAlign w:val="both"/>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F98562D" w14:textId="77777777" w:rsidR="00AC4BB8" w:rsidRDefault="00AC4BB8">
      <w:r>
        <w:separator/>
      </w:r>
    </w:p>
  </w:endnote>
  <w:endnote w:type="continuationSeparator" w:id="0">
    <w:p w14:paraId="0DE9726D" w14:textId="77777777" w:rsidR="00AC4BB8" w:rsidRDefault="00AC4B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starbats">
    <w:panose1 w:val="00000000000000000000"/>
    <w:charset w:val="02"/>
    <w:family w:val="auto"/>
    <w:notTrueType/>
    <w:pitch w:val="default"/>
  </w:font>
  <w:font w:name="Times New Roman Bold">
    <w:altName w:val="Times New Roman"/>
    <w:panose1 w:val="02020803070505020304"/>
    <w:charset w:val="00"/>
    <w:family w:val="roman"/>
    <w:pitch w:val="variable"/>
    <w:sig w:usb0="00003A87" w:usb1="00000000" w:usb2="00000000" w:usb3="00000000" w:csb0="000000FF" w:csb1="00000000"/>
  </w:font>
  <w:font w:name="CG Times">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venir Next W1G Medium">
    <w:altName w:val="Calibri"/>
    <w:panose1 w:val="00000000000000000000"/>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D5A8C0A" w14:textId="77777777" w:rsidR="002F6393" w:rsidRDefault="002F639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80E5D5" w14:textId="77777777" w:rsidR="002F6393" w:rsidRDefault="002F639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0E8F78" w14:textId="77777777" w:rsidR="002F6393" w:rsidRDefault="002F63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454EDF" w14:textId="77777777" w:rsidR="000D3CE4" w:rsidRPr="00DE48B4" w:rsidRDefault="000D3CE4" w:rsidP="00DE48B4">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2605C13" w14:textId="77777777" w:rsidR="000D3CE4" w:rsidRPr="008968B6" w:rsidRDefault="000D3CE4" w:rsidP="008968B6">
    <w:pPr>
      <w:pStyle w:val="Foote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E3BAB00" w14:textId="14C78C96" w:rsidR="00C72AF4" w:rsidRPr="00D50046" w:rsidRDefault="00700AE2" w:rsidP="00B150A9">
    <w:pPr>
      <w:pStyle w:val="FooterQP"/>
      <w:tabs>
        <w:tab w:val="clear" w:pos="907"/>
        <w:tab w:val="left" w:pos="851"/>
      </w:tabs>
      <w:rPr>
        <w:lang w:val="en-US"/>
      </w:rPr>
    </w:pPr>
    <w:r>
      <w:rPr>
        <w:b w:val="0"/>
      </w:rPr>
      <w:fldChar w:fldCharType="begin"/>
    </w:r>
    <w:r>
      <w:rPr>
        <w:b w:val="0"/>
        <w:lang w:val="en-US"/>
      </w:rPr>
      <w:instrText xml:space="preserve"> PAGE  \* MERGEFORMAT </w:instrText>
    </w:r>
    <w:r>
      <w:rPr>
        <w:b w:val="0"/>
      </w:rPr>
      <w:fldChar w:fldCharType="separate"/>
    </w:r>
    <w:r>
      <w:rPr>
        <w:b w:val="0"/>
      </w:rPr>
      <w:t>2</w:t>
    </w:r>
    <w:r>
      <w:rPr>
        <w:b w:val="0"/>
      </w:rPr>
      <w:fldChar w:fldCharType="end"/>
    </w:r>
    <w:r>
      <w:rPr>
        <w:lang w:val="en-US"/>
      </w:rPr>
      <w:tab/>
      <w:t xml:space="preserve">AMNT-24 – Resolución </w:t>
    </w:r>
    <w:r w:rsidR="00D50046">
      <w:fldChar w:fldCharType="begin"/>
    </w:r>
    <w:r w:rsidR="00D50046">
      <w:rPr>
        <w:lang w:val="en-US"/>
      </w:rPr>
      <w:instrText>styleref href</w:instrText>
    </w:r>
    <w:r w:rsidR="00D50046">
      <w:fldChar w:fldCharType="separate"/>
    </w:r>
    <w:r w:rsidR="001C5A6C">
      <w:rPr>
        <w:noProof/>
        <w:lang w:val="en-US"/>
      </w:rPr>
      <w:t>74</w:t>
    </w:r>
    <w:r w:rsidR="00D50046">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F543F9" w14:textId="51253070" w:rsidR="00AA1264" w:rsidRPr="00D50046" w:rsidRDefault="00D50046" w:rsidP="00D50046">
    <w:pPr>
      <w:pStyle w:val="FooterQP"/>
      <w:rPr>
        <w:lang w:val="en-US"/>
      </w:rPr>
    </w:pPr>
    <w:r>
      <w:rPr>
        <w:lang w:val="en-US"/>
      </w:rPr>
      <w:tab/>
    </w:r>
    <w:r>
      <w:rPr>
        <w:lang w:val="en-US"/>
      </w:rPr>
      <w:tab/>
    </w:r>
    <w:r w:rsidR="002F6393">
      <w:rPr>
        <w:lang w:val="en-US"/>
      </w:rPr>
      <w:t xml:space="preserve">AMNT-24 – Resolución </w:t>
    </w:r>
    <w:r>
      <w:fldChar w:fldCharType="begin"/>
    </w:r>
    <w:r>
      <w:rPr>
        <w:lang w:val="en-US"/>
      </w:rPr>
      <w:instrText>styleref href</w:instrText>
    </w:r>
    <w:r>
      <w:fldChar w:fldCharType="separate"/>
    </w:r>
    <w:r w:rsidR="001C5A6C">
      <w:rPr>
        <w:noProof/>
        <w:lang w:val="en-US"/>
      </w:rPr>
      <w:t>74</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25</w:t>
    </w:r>
    <w:r w:rsidRPr="00B73379">
      <w:rPr>
        <w:b w:val="0"/>
        <w:bCs/>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656C6A4" w14:textId="2DCB9427" w:rsidR="00A4766C" w:rsidRPr="00A4766C" w:rsidRDefault="00A4766C" w:rsidP="00D50046">
    <w:pPr>
      <w:pStyle w:val="FooterQP"/>
      <w:rPr>
        <w:lang w:val="en-US"/>
      </w:rPr>
    </w:pPr>
    <w:r>
      <w:rPr>
        <w:lang w:val="en-US"/>
      </w:rPr>
      <w:tab/>
    </w:r>
    <w:r>
      <w:rPr>
        <w:lang w:val="en-US"/>
      </w:rPr>
      <w:tab/>
    </w:r>
    <w:r w:rsidR="002A37D9">
      <w:rPr>
        <w:lang w:val="en-US"/>
      </w:rPr>
      <w:t>AMNT</w:t>
    </w:r>
    <w:r>
      <w:rPr>
        <w:lang w:val="en-US"/>
      </w:rPr>
      <w:t>-</w:t>
    </w:r>
    <w:r w:rsidR="00FE715C">
      <w:rPr>
        <w:lang w:val="en-US"/>
      </w:rPr>
      <w:t>2</w:t>
    </w:r>
    <w:r w:rsidR="00EA2A26">
      <w:rPr>
        <w:lang w:val="en-US"/>
      </w:rPr>
      <w:t>4</w:t>
    </w:r>
    <w:r>
      <w:rPr>
        <w:lang w:val="en-US"/>
      </w:rPr>
      <w:t xml:space="preserve"> – </w:t>
    </w:r>
    <w:r w:rsidR="00347EE0">
      <w:rPr>
        <w:lang w:val="en-US"/>
      </w:rPr>
      <w:t>Resolución</w:t>
    </w:r>
    <w:r>
      <w:rPr>
        <w:lang w:val="en-US"/>
      </w:rPr>
      <w:t xml:space="preserve"> </w:t>
    </w:r>
    <w:r>
      <w:fldChar w:fldCharType="begin"/>
    </w:r>
    <w:r>
      <w:rPr>
        <w:lang w:val="en-US"/>
      </w:rPr>
      <w:instrText>styleref href</w:instrText>
    </w:r>
    <w:r>
      <w:fldChar w:fldCharType="separate"/>
    </w:r>
    <w:r w:rsidR="001C5A6C">
      <w:rPr>
        <w:noProof/>
        <w:lang w:val="en-US"/>
      </w:rPr>
      <w:t>74</w:t>
    </w:r>
    <w:r>
      <w:fldChar w:fldCharType="end"/>
    </w:r>
    <w:r>
      <w:tab/>
    </w:r>
    <w:r w:rsidRPr="00B73379">
      <w:rPr>
        <w:b w:val="0"/>
        <w:bCs/>
      </w:rPr>
      <w:fldChar w:fldCharType="begin"/>
    </w:r>
    <w:r w:rsidRPr="00B73379">
      <w:rPr>
        <w:b w:val="0"/>
        <w:bCs/>
        <w:lang w:val="en-US"/>
      </w:rPr>
      <w:instrText xml:space="preserve"> PAGE  \* MERGEFORMAT </w:instrText>
    </w:r>
    <w:r w:rsidRPr="00B73379">
      <w:rPr>
        <w:b w:val="0"/>
        <w:bCs/>
      </w:rPr>
      <w:fldChar w:fldCharType="separate"/>
    </w:r>
    <w:r w:rsidR="00EA12A2">
      <w:rPr>
        <w:b w:val="0"/>
        <w:bCs/>
        <w:noProof/>
        <w:lang w:val="en-US"/>
      </w:rPr>
      <w:t>15</w:t>
    </w:r>
    <w:r w:rsidRPr="00B73379">
      <w:rPr>
        <w:b w:val="0"/>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E591F0" w14:textId="77777777" w:rsidR="00AC4BB8" w:rsidRDefault="00AC4BB8">
      <w:r>
        <w:t>____________________</w:t>
      </w:r>
    </w:p>
  </w:footnote>
  <w:footnote w:type="continuationSeparator" w:id="0">
    <w:p w14:paraId="109843B8" w14:textId="77777777" w:rsidR="00AC4BB8" w:rsidRDefault="00AC4BB8">
      <w:r>
        <w:continuationSeparator/>
      </w:r>
    </w:p>
  </w:footnote>
  <w:footnote w:id="1">
    <w:p w14:paraId="115B64EC" w14:textId="77777777" w:rsidR="00E91696" w:rsidRPr="00795ADF" w:rsidRDefault="00E91696" w:rsidP="00E91696">
      <w:pPr>
        <w:pStyle w:val="FootnoteText"/>
        <w:rPr>
          <w:lang w:val="es-ES"/>
        </w:rPr>
      </w:pPr>
      <w:r w:rsidRPr="0094774A">
        <w:rPr>
          <w:rStyle w:val="FootnoteReference"/>
          <w:lang w:val="es-ES"/>
        </w:rPr>
        <w:t>1</w:t>
      </w:r>
      <w:r>
        <w:rPr>
          <w:lang w:val="es-ES"/>
        </w:rPr>
        <w:tab/>
      </w:r>
      <w:r w:rsidRPr="00CE366A">
        <w:rPr>
          <w:lang w:val="es-ES"/>
        </w:rPr>
        <w:t xml:space="preserve">Estos Miembros de Sector de los países en desarrollo no podrán estar afiliados en modo alguno a ningún Miembro de Sector de un país desarrollado, y se limitarán a aquellos Miembros de Sector de países en desarrollo (incluidos los países menos adelantados, los pequeños Estados insulares en desarrollo, los países en desarrollo sin litoral y los países con economías en transición) que posean una renta per cápita </w:t>
      </w:r>
      <w:r w:rsidRPr="0014077C">
        <w:rPr>
          <w:lang w:val="es-ES"/>
        </w:rPr>
        <w:t>de acuerdo con el Programa de Desarrollo de las Naciones Unidas que no supere un umbral por determinar.</w:t>
      </w:r>
    </w:p>
  </w:footnote>
  <w:footnote w:id="2">
    <w:p w14:paraId="7A3B78C3" w14:textId="77777777" w:rsidR="00E91696" w:rsidRPr="00795ADF" w:rsidRDefault="00E91696" w:rsidP="00E91696">
      <w:pPr>
        <w:pStyle w:val="FootnoteText"/>
        <w:rPr>
          <w:lang w:val="es-ES"/>
        </w:rPr>
      </w:pPr>
      <w:r w:rsidRPr="0094774A">
        <w:rPr>
          <w:rStyle w:val="FootnoteReference"/>
          <w:lang w:val="es-ES"/>
        </w:rPr>
        <w:t>2</w:t>
      </w:r>
      <w:r>
        <w:rPr>
          <w:lang w:val="es-ES"/>
        </w:rPr>
        <w:tab/>
      </w:r>
      <w:r w:rsidRPr="00A31D56">
        <w:rPr>
          <w:lang w:val="es-ES"/>
        </w:rPr>
        <w:t>Este término comprende los países menos adelantados, los pequeños Estados insulares en desarrollo, los países en desarrollo sin litoral y los países con economías en transición</w:t>
      </w:r>
      <w:r w:rsidRPr="00CE366A">
        <w:rPr>
          <w:lang w:val="es-ES"/>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810BE2" w14:textId="77777777" w:rsidR="00EA2A26" w:rsidRDefault="00EA2A26">
    <w:pPr>
      <w:pStyle w:val="Header"/>
      <w:ind w:right="360"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956D224" w14:textId="77777777" w:rsidR="00EA2A26" w:rsidRDefault="00EA2A26" w:rsidP="00CE6FBD">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B123FF" w14:textId="77777777" w:rsidR="002F6393" w:rsidRDefault="002F63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D2A584" w14:textId="77777777" w:rsidR="00A65D98" w:rsidRDefault="00A65D98">
    <w:pPr>
      <w:pStyle w:val="Header"/>
      <w:ind w:right="360" w:firstLine="360"/>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8F2D71" w14:textId="77777777" w:rsidR="00C72AF4" w:rsidRDefault="00C72AF4">
    <w:pPr>
      <w:pStyle w:val="Header"/>
      <w:ind w:right="360" w:firstLine="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6CFEDD" w14:textId="77777777" w:rsidR="00AA1264" w:rsidRPr="00AA1264" w:rsidRDefault="00AA1264" w:rsidP="00AA1264">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044BC5B" w14:textId="77777777" w:rsidR="00A4766C" w:rsidRDefault="00A4766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03771CF"/>
    <w:multiLevelType w:val="hybridMultilevel"/>
    <w:tmpl w:val="A6E2B150"/>
    <w:lvl w:ilvl="0" w:tplc="13AC265A">
      <w:start w:val="1"/>
      <w:numFmt w:val="lowerLetter"/>
      <w:lvlText w:val="%1)"/>
      <w:lvlJc w:val="left"/>
      <w:pPr>
        <w:tabs>
          <w:tab w:val="num" w:pos="720"/>
        </w:tabs>
        <w:ind w:left="720" w:hanging="720"/>
      </w:pPr>
      <w:rPr>
        <w:rFonts w:hint="default"/>
      </w:rPr>
    </w:lvl>
    <w:lvl w:ilvl="1" w:tplc="10090019" w:tentative="1">
      <w:start w:val="1"/>
      <w:numFmt w:val="lowerLetter"/>
      <w:lvlText w:val="%2."/>
      <w:lvlJc w:val="left"/>
      <w:pPr>
        <w:tabs>
          <w:tab w:val="num" w:pos="1440"/>
        </w:tabs>
        <w:ind w:left="1440" w:hanging="360"/>
      </w:pPr>
    </w:lvl>
    <w:lvl w:ilvl="2" w:tplc="1009001B" w:tentative="1">
      <w:start w:val="1"/>
      <w:numFmt w:val="lowerRoman"/>
      <w:lvlText w:val="%3."/>
      <w:lvlJc w:val="right"/>
      <w:pPr>
        <w:tabs>
          <w:tab w:val="num" w:pos="2160"/>
        </w:tabs>
        <w:ind w:left="2160" w:hanging="180"/>
      </w:pPr>
    </w:lvl>
    <w:lvl w:ilvl="3" w:tplc="1009000F" w:tentative="1">
      <w:start w:val="1"/>
      <w:numFmt w:val="decimal"/>
      <w:lvlText w:val="%4."/>
      <w:lvlJc w:val="left"/>
      <w:pPr>
        <w:tabs>
          <w:tab w:val="num" w:pos="2880"/>
        </w:tabs>
        <w:ind w:left="2880" w:hanging="360"/>
      </w:pPr>
    </w:lvl>
    <w:lvl w:ilvl="4" w:tplc="10090019" w:tentative="1">
      <w:start w:val="1"/>
      <w:numFmt w:val="lowerLetter"/>
      <w:lvlText w:val="%5."/>
      <w:lvlJc w:val="left"/>
      <w:pPr>
        <w:tabs>
          <w:tab w:val="num" w:pos="3600"/>
        </w:tabs>
        <w:ind w:left="3600" w:hanging="360"/>
      </w:pPr>
    </w:lvl>
    <w:lvl w:ilvl="5" w:tplc="1009001B" w:tentative="1">
      <w:start w:val="1"/>
      <w:numFmt w:val="lowerRoman"/>
      <w:lvlText w:val="%6."/>
      <w:lvlJc w:val="right"/>
      <w:pPr>
        <w:tabs>
          <w:tab w:val="num" w:pos="4320"/>
        </w:tabs>
        <w:ind w:left="4320" w:hanging="180"/>
      </w:pPr>
    </w:lvl>
    <w:lvl w:ilvl="6" w:tplc="1009000F" w:tentative="1">
      <w:start w:val="1"/>
      <w:numFmt w:val="decimal"/>
      <w:lvlText w:val="%7."/>
      <w:lvlJc w:val="left"/>
      <w:pPr>
        <w:tabs>
          <w:tab w:val="num" w:pos="5040"/>
        </w:tabs>
        <w:ind w:left="5040" w:hanging="360"/>
      </w:pPr>
    </w:lvl>
    <w:lvl w:ilvl="7" w:tplc="10090019" w:tentative="1">
      <w:start w:val="1"/>
      <w:numFmt w:val="lowerLetter"/>
      <w:lvlText w:val="%8."/>
      <w:lvlJc w:val="left"/>
      <w:pPr>
        <w:tabs>
          <w:tab w:val="num" w:pos="5760"/>
        </w:tabs>
        <w:ind w:left="5760" w:hanging="360"/>
      </w:pPr>
    </w:lvl>
    <w:lvl w:ilvl="8" w:tplc="1009001B" w:tentative="1">
      <w:start w:val="1"/>
      <w:numFmt w:val="lowerRoman"/>
      <w:lvlText w:val="%9."/>
      <w:lvlJc w:val="right"/>
      <w:pPr>
        <w:tabs>
          <w:tab w:val="num" w:pos="6480"/>
        </w:tabs>
        <w:ind w:left="6480" w:hanging="180"/>
      </w:pPr>
    </w:lvl>
  </w:abstractNum>
  <w:abstractNum w:abstractNumId="5" w15:restartNumberingAfterBreak="0">
    <w:nsid w:val="02AD64F5"/>
    <w:multiLevelType w:val="hybridMultilevel"/>
    <w:tmpl w:val="FB7ECF2E"/>
    <w:lvl w:ilvl="0" w:tplc="04090017">
      <w:start w:val="1"/>
      <w:numFmt w:val="lowerLetter"/>
      <w:lvlText w:val="%1)"/>
      <w:lvlJc w:val="left"/>
      <w:pPr>
        <w:tabs>
          <w:tab w:val="num" w:pos="1514"/>
        </w:tabs>
        <w:ind w:left="1514" w:hanging="360"/>
      </w:pPr>
    </w:lvl>
    <w:lvl w:ilvl="1" w:tplc="945E817E">
      <w:start w:val="3"/>
      <w:numFmt w:val="bullet"/>
      <w:lvlText w:val="-"/>
      <w:lvlJc w:val="left"/>
      <w:pPr>
        <w:tabs>
          <w:tab w:val="num" w:pos="2339"/>
        </w:tabs>
        <w:ind w:left="2339" w:hanging="465"/>
      </w:pPr>
      <w:rPr>
        <w:rFonts w:ascii="Times New Roman" w:eastAsia="Times New Roman" w:hAnsi="Times New Roman" w:cs="Times New Roman" w:hint="default"/>
        <w:b/>
      </w:r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6" w15:restartNumberingAfterBreak="0">
    <w:nsid w:val="04C10297"/>
    <w:multiLevelType w:val="hybridMultilevel"/>
    <w:tmpl w:val="C9E84DA2"/>
    <w:lvl w:ilvl="0" w:tplc="B9C2E4B0">
      <w:start w:val="3"/>
      <w:numFmt w:val="lowerRoman"/>
      <w:lvlText w:val="%1)"/>
      <w:lvlJc w:val="left"/>
      <w:pPr>
        <w:tabs>
          <w:tab w:val="num" w:pos="1514"/>
        </w:tabs>
        <w:ind w:left="1514" w:hanging="720"/>
      </w:pPr>
      <w:rPr>
        <w:rFonts w:hint="default"/>
      </w:rPr>
    </w:lvl>
    <w:lvl w:ilvl="1" w:tplc="04090019" w:tentative="1">
      <w:start w:val="1"/>
      <w:numFmt w:val="upperLetter"/>
      <w:lvlText w:val="%2."/>
      <w:lvlJc w:val="left"/>
      <w:pPr>
        <w:tabs>
          <w:tab w:val="num" w:pos="1594"/>
        </w:tabs>
        <w:ind w:left="1594" w:hanging="400"/>
      </w:pPr>
    </w:lvl>
    <w:lvl w:ilvl="2" w:tplc="0409001B" w:tentative="1">
      <w:start w:val="1"/>
      <w:numFmt w:val="lowerRoman"/>
      <w:lvlText w:val="%3."/>
      <w:lvlJc w:val="right"/>
      <w:pPr>
        <w:tabs>
          <w:tab w:val="num" w:pos="1994"/>
        </w:tabs>
        <w:ind w:left="1994" w:hanging="400"/>
      </w:pPr>
    </w:lvl>
    <w:lvl w:ilvl="3" w:tplc="0409000F" w:tentative="1">
      <w:start w:val="1"/>
      <w:numFmt w:val="decimal"/>
      <w:lvlText w:val="%4."/>
      <w:lvlJc w:val="left"/>
      <w:pPr>
        <w:tabs>
          <w:tab w:val="num" w:pos="2394"/>
        </w:tabs>
        <w:ind w:left="2394" w:hanging="400"/>
      </w:pPr>
    </w:lvl>
    <w:lvl w:ilvl="4" w:tplc="04090019" w:tentative="1">
      <w:start w:val="1"/>
      <w:numFmt w:val="upperLetter"/>
      <w:lvlText w:val="%5."/>
      <w:lvlJc w:val="left"/>
      <w:pPr>
        <w:tabs>
          <w:tab w:val="num" w:pos="2794"/>
        </w:tabs>
        <w:ind w:left="2794" w:hanging="400"/>
      </w:pPr>
    </w:lvl>
    <w:lvl w:ilvl="5" w:tplc="0409001B" w:tentative="1">
      <w:start w:val="1"/>
      <w:numFmt w:val="lowerRoman"/>
      <w:lvlText w:val="%6."/>
      <w:lvlJc w:val="right"/>
      <w:pPr>
        <w:tabs>
          <w:tab w:val="num" w:pos="3194"/>
        </w:tabs>
        <w:ind w:left="3194" w:hanging="400"/>
      </w:pPr>
    </w:lvl>
    <w:lvl w:ilvl="6" w:tplc="0409000F" w:tentative="1">
      <w:start w:val="1"/>
      <w:numFmt w:val="decimal"/>
      <w:lvlText w:val="%7."/>
      <w:lvlJc w:val="left"/>
      <w:pPr>
        <w:tabs>
          <w:tab w:val="num" w:pos="3594"/>
        </w:tabs>
        <w:ind w:left="3594" w:hanging="400"/>
      </w:pPr>
    </w:lvl>
    <w:lvl w:ilvl="7" w:tplc="04090019" w:tentative="1">
      <w:start w:val="1"/>
      <w:numFmt w:val="upperLetter"/>
      <w:lvlText w:val="%8."/>
      <w:lvlJc w:val="left"/>
      <w:pPr>
        <w:tabs>
          <w:tab w:val="num" w:pos="3994"/>
        </w:tabs>
        <w:ind w:left="3994" w:hanging="400"/>
      </w:pPr>
    </w:lvl>
    <w:lvl w:ilvl="8" w:tplc="0409001B" w:tentative="1">
      <w:start w:val="1"/>
      <w:numFmt w:val="lowerRoman"/>
      <w:lvlText w:val="%9."/>
      <w:lvlJc w:val="right"/>
      <w:pPr>
        <w:tabs>
          <w:tab w:val="num" w:pos="4394"/>
        </w:tabs>
        <w:ind w:left="4394" w:hanging="400"/>
      </w:pPr>
    </w:lvl>
  </w:abstractNum>
  <w:abstractNum w:abstractNumId="7" w15:restartNumberingAfterBreak="0">
    <w:nsid w:val="06D13142"/>
    <w:multiLevelType w:val="multilevel"/>
    <w:tmpl w:val="FC805C12"/>
    <w:lvl w:ilvl="0">
      <w:start w:val="3"/>
      <w:numFmt w:val="decimal"/>
      <w:lvlText w:val="%1"/>
      <w:lvlJc w:val="left"/>
      <w:pPr>
        <w:tabs>
          <w:tab w:val="num" w:pos="795"/>
        </w:tabs>
        <w:ind w:left="795" w:hanging="795"/>
      </w:pPr>
      <w:rPr>
        <w:rFonts w:hint="default"/>
      </w:rPr>
    </w:lvl>
    <w:lvl w:ilvl="1">
      <w:start w:val="2"/>
      <w:numFmt w:val="decimal"/>
      <w:lvlText w:val="%1.%2"/>
      <w:lvlJc w:val="left"/>
      <w:pPr>
        <w:tabs>
          <w:tab w:val="num" w:pos="795"/>
        </w:tabs>
        <w:ind w:left="795" w:hanging="795"/>
      </w:pPr>
      <w:rPr>
        <w:rFonts w:hint="default"/>
      </w:rPr>
    </w:lvl>
    <w:lvl w:ilvl="2">
      <w:start w:val="1"/>
      <w:numFmt w:val="decimal"/>
      <w:lvlText w:val="%1.%2.%3"/>
      <w:lvlJc w:val="left"/>
      <w:pPr>
        <w:tabs>
          <w:tab w:val="num" w:pos="795"/>
        </w:tabs>
        <w:ind w:left="795" w:hanging="795"/>
      </w:pPr>
      <w:rPr>
        <w:rFonts w:hint="default"/>
      </w:rPr>
    </w:lvl>
    <w:lvl w:ilvl="3">
      <w:start w:val="1"/>
      <w:numFmt w:val="decimal"/>
      <w:lvlText w:val="%1.%2.%3.%4"/>
      <w:lvlJc w:val="left"/>
      <w:pPr>
        <w:tabs>
          <w:tab w:val="num" w:pos="795"/>
        </w:tabs>
        <w:ind w:left="795" w:hanging="79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6DB3661"/>
    <w:multiLevelType w:val="hybridMultilevel"/>
    <w:tmpl w:val="18B06554"/>
    <w:lvl w:ilvl="0" w:tplc="C728CD9C">
      <w:start w:val="1"/>
      <w:numFmt w:val="lowerLetter"/>
      <w:lvlText w:val="%1)"/>
      <w:lvlJc w:val="left"/>
      <w:pPr>
        <w:tabs>
          <w:tab w:val="num" w:pos="420"/>
        </w:tabs>
        <w:ind w:left="420" w:hanging="360"/>
      </w:pPr>
      <w:rPr>
        <w:rFonts w:hint="default"/>
        <w:i w:val="0"/>
        <w:iCs/>
      </w:rPr>
    </w:lvl>
    <w:lvl w:ilvl="1" w:tplc="040C0019" w:tentative="1">
      <w:start w:val="1"/>
      <w:numFmt w:val="lowerLetter"/>
      <w:lvlText w:val="%2."/>
      <w:lvlJc w:val="left"/>
      <w:pPr>
        <w:tabs>
          <w:tab w:val="num" w:pos="1500"/>
        </w:tabs>
        <w:ind w:left="1500" w:hanging="360"/>
      </w:pPr>
    </w:lvl>
    <w:lvl w:ilvl="2" w:tplc="040C001B" w:tentative="1">
      <w:start w:val="1"/>
      <w:numFmt w:val="lowerRoman"/>
      <w:lvlText w:val="%3."/>
      <w:lvlJc w:val="right"/>
      <w:pPr>
        <w:tabs>
          <w:tab w:val="num" w:pos="2220"/>
        </w:tabs>
        <w:ind w:left="2220" w:hanging="180"/>
      </w:pPr>
    </w:lvl>
    <w:lvl w:ilvl="3" w:tplc="040C000F" w:tentative="1">
      <w:start w:val="1"/>
      <w:numFmt w:val="decimal"/>
      <w:lvlText w:val="%4."/>
      <w:lvlJc w:val="left"/>
      <w:pPr>
        <w:tabs>
          <w:tab w:val="num" w:pos="2940"/>
        </w:tabs>
        <w:ind w:left="2940" w:hanging="360"/>
      </w:pPr>
    </w:lvl>
    <w:lvl w:ilvl="4" w:tplc="040C0019" w:tentative="1">
      <w:start w:val="1"/>
      <w:numFmt w:val="lowerLetter"/>
      <w:lvlText w:val="%5."/>
      <w:lvlJc w:val="left"/>
      <w:pPr>
        <w:tabs>
          <w:tab w:val="num" w:pos="3660"/>
        </w:tabs>
        <w:ind w:left="3660" w:hanging="360"/>
      </w:pPr>
    </w:lvl>
    <w:lvl w:ilvl="5" w:tplc="040C001B" w:tentative="1">
      <w:start w:val="1"/>
      <w:numFmt w:val="lowerRoman"/>
      <w:lvlText w:val="%6."/>
      <w:lvlJc w:val="right"/>
      <w:pPr>
        <w:tabs>
          <w:tab w:val="num" w:pos="4380"/>
        </w:tabs>
        <w:ind w:left="4380" w:hanging="180"/>
      </w:pPr>
    </w:lvl>
    <w:lvl w:ilvl="6" w:tplc="040C000F" w:tentative="1">
      <w:start w:val="1"/>
      <w:numFmt w:val="decimal"/>
      <w:lvlText w:val="%7."/>
      <w:lvlJc w:val="left"/>
      <w:pPr>
        <w:tabs>
          <w:tab w:val="num" w:pos="5100"/>
        </w:tabs>
        <w:ind w:left="5100" w:hanging="360"/>
      </w:pPr>
    </w:lvl>
    <w:lvl w:ilvl="7" w:tplc="040C0019" w:tentative="1">
      <w:start w:val="1"/>
      <w:numFmt w:val="lowerLetter"/>
      <w:lvlText w:val="%8."/>
      <w:lvlJc w:val="left"/>
      <w:pPr>
        <w:tabs>
          <w:tab w:val="num" w:pos="5820"/>
        </w:tabs>
        <w:ind w:left="5820" w:hanging="360"/>
      </w:pPr>
    </w:lvl>
    <w:lvl w:ilvl="8" w:tplc="040C001B" w:tentative="1">
      <w:start w:val="1"/>
      <w:numFmt w:val="lowerRoman"/>
      <w:lvlText w:val="%9."/>
      <w:lvlJc w:val="right"/>
      <w:pPr>
        <w:tabs>
          <w:tab w:val="num" w:pos="6540"/>
        </w:tabs>
        <w:ind w:left="6540" w:hanging="180"/>
      </w:pPr>
    </w:lvl>
  </w:abstractNum>
  <w:abstractNum w:abstractNumId="9" w15:restartNumberingAfterBreak="0">
    <w:nsid w:val="0C0E3449"/>
    <w:multiLevelType w:val="hybridMultilevel"/>
    <w:tmpl w:val="12049A1A"/>
    <w:lvl w:ilvl="0" w:tplc="32400C44">
      <w:start w:val="1"/>
      <w:numFmt w:val="lowerLetter"/>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0" w15:restartNumberingAfterBreak="0">
    <w:nsid w:val="137C3191"/>
    <w:multiLevelType w:val="multilevel"/>
    <w:tmpl w:val="3426EF6A"/>
    <w:lvl w:ilvl="0">
      <w:start w:val="9"/>
      <w:numFmt w:val="decimal"/>
      <w:lvlText w:val="%1"/>
      <w:lvlJc w:val="left"/>
      <w:pPr>
        <w:tabs>
          <w:tab w:val="num" w:pos="480"/>
        </w:tabs>
        <w:ind w:left="480" w:hanging="480"/>
      </w:pPr>
      <w:rPr>
        <w:rFonts w:hint="default"/>
      </w:rPr>
    </w:lvl>
    <w:lvl w:ilvl="1">
      <w:start w:val="1"/>
      <w:numFmt w:val="decimal"/>
      <w:lvlText w:val="%1.%2"/>
      <w:lvlJc w:val="left"/>
      <w:pPr>
        <w:tabs>
          <w:tab w:val="num" w:pos="480"/>
        </w:tabs>
        <w:ind w:left="480" w:hanging="480"/>
      </w:pPr>
      <w:rPr>
        <w:rFonts w:hint="default"/>
      </w:rPr>
    </w:lvl>
    <w:lvl w:ilvl="2">
      <w:start w:val="2"/>
      <w:numFmt w:val="decimal"/>
      <w:lvlText w:val="10.%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7E552A1"/>
    <w:multiLevelType w:val="hybridMultilevel"/>
    <w:tmpl w:val="9C3ACEEA"/>
    <w:lvl w:ilvl="0" w:tplc="3C3C5DB6">
      <w:start w:val="3"/>
      <w:numFmt w:val="lowerLetter"/>
      <w:lvlText w:val="%1)"/>
      <w:lvlJc w:val="left"/>
      <w:pPr>
        <w:tabs>
          <w:tab w:val="num" w:pos="1155"/>
        </w:tabs>
        <w:ind w:left="1155" w:hanging="79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3EDB2326"/>
    <w:multiLevelType w:val="hybridMultilevel"/>
    <w:tmpl w:val="2A5A24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F363433"/>
    <w:multiLevelType w:val="hybridMultilevel"/>
    <w:tmpl w:val="542460AA"/>
    <w:lvl w:ilvl="0" w:tplc="5756D910">
      <w:start w:val="3"/>
      <w:numFmt w:val="decimal"/>
      <w:lvlText w:val="%1"/>
      <w:lvlJc w:val="left"/>
      <w:pPr>
        <w:tabs>
          <w:tab w:val="num" w:pos="360"/>
        </w:tabs>
        <w:ind w:left="360" w:hanging="360"/>
      </w:pPr>
      <w:rPr>
        <w:rFonts w:hint="default"/>
      </w:r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4" w15:restartNumberingAfterBreak="0">
    <w:nsid w:val="40C7644E"/>
    <w:multiLevelType w:val="hybridMultilevel"/>
    <w:tmpl w:val="5D2016D4"/>
    <w:lvl w:ilvl="0" w:tplc="18C6A21C">
      <w:start w:val="1"/>
      <w:numFmt w:val="lowerLetter"/>
      <w:lvlText w:val="%1)"/>
      <w:lvlJc w:val="left"/>
      <w:pPr>
        <w:ind w:left="360" w:hanging="360"/>
      </w:pPr>
      <w:rPr>
        <w:lang w:val="en-G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15:restartNumberingAfterBreak="0">
    <w:nsid w:val="458073DB"/>
    <w:multiLevelType w:val="hybridMultilevel"/>
    <w:tmpl w:val="B7F4B8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F4B2CB9"/>
    <w:multiLevelType w:val="multilevel"/>
    <w:tmpl w:val="705E47D8"/>
    <w:lvl w:ilvl="0">
      <w:start w:val="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b/>
        <w:i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15:restartNumberingAfterBreak="0">
    <w:nsid w:val="50A75D95"/>
    <w:multiLevelType w:val="hybridMultilevel"/>
    <w:tmpl w:val="03CCFCEA"/>
    <w:lvl w:ilvl="0" w:tplc="F1829A40">
      <w:start w:val="1"/>
      <w:numFmt w:val="lowerLetter"/>
      <w:lvlText w:val="%1)"/>
      <w:lvlJc w:val="left"/>
      <w:pPr>
        <w:ind w:left="720" w:hanging="720"/>
      </w:pPr>
    </w:lvl>
    <w:lvl w:ilvl="1" w:tplc="0C090019">
      <w:start w:val="1"/>
      <w:numFmt w:val="decimal"/>
      <w:lvlText w:val="%2."/>
      <w:lvlJc w:val="left"/>
      <w:pPr>
        <w:tabs>
          <w:tab w:val="num" w:pos="1440"/>
        </w:tabs>
        <w:ind w:left="1440" w:hanging="360"/>
      </w:pPr>
    </w:lvl>
    <w:lvl w:ilvl="2" w:tplc="0C09001B">
      <w:start w:val="1"/>
      <w:numFmt w:val="decimal"/>
      <w:lvlText w:val="%3."/>
      <w:lvlJc w:val="left"/>
      <w:pPr>
        <w:tabs>
          <w:tab w:val="num" w:pos="2160"/>
        </w:tabs>
        <w:ind w:left="2160" w:hanging="360"/>
      </w:pPr>
    </w:lvl>
    <w:lvl w:ilvl="3" w:tplc="0C09000F">
      <w:start w:val="1"/>
      <w:numFmt w:val="decimal"/>
      <w:lvlText w:val="%4."/>
      <w:lvlJc w:val="left"/>
      <w:pPr>
        <w:tabs>
          <w:tab w:val="num" w:pos="2880"/>
        </w:tabs>
        <w:ind w:left="2880" w:hanging="360"/>
      </w:pPr>
    </w:lvl>
    <w:lvl w:ilvl="4" w:tplc="0C090019">
      <w:start w:val="1"/>
      <w:numFmt w:val="decimal"/>
      <w:lvlText w:val="%5."/>
      <w:lvlJc w:val="left"/>
      <w:pPr>
        <w:tabs>
          <w:tab w:val="num" w:pos="3600"/>
        </w:tabs>
        <w:ind w:left="3600" w:hanging="360"/>
      </w:pPr>
    </w:lvl>
    <w:lvl w:ilvl="5" w:tplc="0C09001B">
      <w:start w:val="1"/>
      <w:numFmt w:val="decimal"/>
      <w:lvlText w:val="%6."/>
      <w:lvlJc w:val="left"/>
      <w:pPr>
        <w:tabs>
          <w:tab w:val="num" w:pos="4320"/>
        </w:tabs>
        <w:ind w:left="4320" w:hanging="360"/>
      </w:pPr>
    </w:lvl>
    <w:lvl w:ilvl="6" w:tplc="0C09000F">
      <w:start w:val="1"/>
      <w:numFmt w:val="decimal"/>
      <w:lvlText w:val="%7."/>
      <w:lvlJc w:val="left"/>
      <w:pPr>
        <w:tabs>
          <w:tab w:val="num" w:pos="5040"/>
        </w:tabs>
        <w:ind w:left="5040" w:hanging="360"/>
      </w:pPr>
    </w:lvl>
    <w:lvl w:ilvl="7" w:tplc="0C090019">
      <w:start w:val="1"/>
      <w:numFmt w:val="decimal"/>
      <w:lvlText w:val="%8."/>
      <w:lvlJc w:val="left"/>
      <w:pPr>
        <w:tabs>
          <w:tab w:val="num" w:pos="5760"/>
        </w:tabs>
        <w:ind w:left="5760" w:hanging="360"/>
      </w:pPr>
    </w:lvl>
    <w:lvl w:ilvl="8" w:tplc="0C09001B">
      <w:start w:val="1"/>
      <w:numFmt w:val="decimal"/>
      <w:lvlText w:val="%9."/>
      <w:lvlJc w:val="left"/>
      <w:pPr>
        <w:tabs>
          <w:tab w:val="num" w:pos="6480"/>
        </w:tabs>
        <w:ind w:left="6480" w:hanging="360"/>
      </w:pPr>
    </w:lvl>
  </w:abstractNum>
  <w:abstractNum w:abstractNumId="18" w15:restartNumberingAfterBreak="0">
    <w:nsid w:val="54580ADD"/>
    <w:multiLevelType w:val="hybridMultilevel"/>
    <w:tmpl w:val="57D874FA"/>
    <w:lvl w:ilvl="0" w:tplc="D16005EA">
      <w:start w:val="3"/>
      <w:numFmt w:val="lowerRoman"/>
      <w:lvlText w:val="%1)"/>
      <w:lvlJc w:val="left"/>
      <w:pPr>
        <w:tabs>
          <w:tab w:val="num" w:pos="1575"/>
        </w:tabs>
        <w:ind w:left="1575" w:hanging="720"/>
      </w:pPr>
      <w:rPr>
        <w:rFonts w:hint="default"/>
      </w:rPr>
    </w:lvl>
    <w:lvl w:ilvl="1" w:tplc="040C0019" w:tentative="1">
      <w:start w:val="1"/>
      <w:numFmt w:val="lowerLetter"/>
      <w:lvlText w:val="%2."/>
      <w:lvlJc w:val="left"/>
      <w:pPr>
        <w:tabs>
          <w:tab w:val="num" w:pos="1935"/>
        </w:tabs>
        <w:ind w:left="1935" w:hanging="360"/>
      </w:pPr>
    </w:lvl>
    <w:lvl w:ilvl="2" w:tplc="040C001B" w:tentative="1">
      <w:start w:val="1"/>
      <w:numFmt w:val="lowerRoman"/>
      <w:lvlText w:val="%3."/>
      <w:lvlJc w:val="right"/>
      <w:pPr>
        <w:tabs>
          <w:tab w:val="num" w:pos="2655"/>
        </w:tabs>
        <w:ind w:left="2655" w:hanging="180"/>
      </w:pPr>
    </w:lvl>
    <w:lvl w:ilvl="3" w:tplc="040C000F" w:tentative="1">
      <w:start w:val="1"/>
      <w:numFmt w:val="decimal"/>
      <w:lvlText w:val="%4."/>
      <w:lvlJc w:val="left"/>
      <w:pPr>
        <w:tabs>
          <w:tab w:val="num" w:pos="3375"/>
        </w:tabs>
        <w:ind w:left="3375" w:hanging="360"/>
      </w:pPr>
    </w:lvl>
    <w:lvl w:ilvl="4" w:tplc="040C0019" w:tentative="1">
      <w:start w:val="1"/>
      <w:numFmt w:val="lowerLetter"/>
      <w:lvlText w:val="%5."/>
      <w:lvlJc w:val="left"/>
      <w:pPr>
        <w:tabs>
          <w:tab w:val="num" w:pos="4095"/>
        </w:tabs>
        <w:ind w:left="4095" w:hanging="360"/>
      </w:pPr>
    </w:lvl>
    <w:lvl w:ilvl="5" w:tplc="040C001B" w:tentative="1">
      <w:start w:val="1"/>
      <w:numFmt w:val="lowerRoman"/>
      <w:lvlText w:val="%6."/>
      <w:lvlJc w:val="right"/>
      <w:pPr>
        <w:tabs>
          <w:tab w:val="num" w:pos="4815"/>
        </w:tabs>
        <w:ind w:left="4815" w:hanging="180"/>
      </w:pPr>
    </w:lvl>
    <w:lvl w:ilvl="6" w:tplc="040C000F" w:tentative="1">
      <w:start w:val="1"/>
      <w:numFmt w:val="decimal"/>
      <w:lvlText w:val="%7."/>
      <w:lvlJc w:val="left"/>
      <w:pPr>
        <w:tabs>
          <w:tab w:val="num" w:pos="5535"/>
        </w:tabs>
        <w:ind w:left="5535" w:hanging="360"/>
      </w:pPr>
    </w:lvl>
    <w:lvl w:ilvl="7" w:tplc="040C0019" w:tentative="1">
      <w:start w:val="1"/>
      <w:numFmt w:val="lowerLetter"/>
      <w:lvlText w:val="%8."/>
      <w:lvlJc w:val="left"/>
      <w:pPr>
        <w:tabs>
          <w:tab w:val="num" w:pos="6255"/>
        </w:tabs>
        <w:ind w:left="6255" w:hanging="360"/>
      </w:pPr>
    </w:lvl>
    <w:lvl w:ilvl="8" w:tplc="040C001B" w:tentative="1">
      <w:start w:val="1"/>
      <w:numFmt w:val="lowerRoman"/>
      <w:lvlText w:val="%9."/>
      <w:lvlJc w:val="right"/>
      <w:pPr>
        <w:tabs>
          <w:tab w:val="num" w:pos="6975"/>
        </w:tabs>
        <w:ind w:left="6975" w:hanging="180"/>
      </w:pPr>
    </w:lvl>
  </w:abstractNum>
  <w:abstractNum w:abstractNumId="19" w15:restartNumberingAfterBreak="0">
    <w:nsid w:val="559F0960"/>
    <w:multiLevelType w:val="hybridMultilevel"/>
    <w:tmpl w:val="C52E18BE"/>
    <w:lvl w:ilvl="0" w:tplc="0B066290">
      <w:start w:val="1"/>
      <w:numFmt w:val="lowerLetter"/>
      <w:lvlText w:val="%1)"/>
      <w:lvlJc w:val="left"/>
      <w:pPr>
        <w:tabs>
          <w:tab w:val="num" w:pos="1140"/>
        </w:tabs>
        <w:ind w:left="1140" w:hanging="780"/>
      </w:pPr>
      <w:rPr>
        <w:rFonts w:hint="default"/>
      </w:rPr>
    </w:lvl>
    <w:lvl w:ilvl="1" w:tplc="04090019">
      <w:start w:val="1"/>
      <w:numFmt w:val="lowerLetter"/>
      <w:lvlText w:val="%2."/>
      <w:lvlJc w:val="left"/>
      <w:pPr>
        <w:tabs>
          <w:tab w:val="num" w:pos="1440"/>
        </w:tabs>
        <w:ind w:left="1440" w:hanging="360"/>
      </w:pPr>
    </w:lvl>
    <w:lvl w:ilvl="2" w:tplc="930A9558">
      <w:start w:val="3"/>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56037678"/>
    <w:multiLevelType w:val="hybridMultilevel"/>
    <w:tmpl w:val="36B05B1C"/>
    <w:lvl w:ilvl="0" w:tplc="4D02BE80">
      <w:start w:val="1"/>
      <w:numFmt w:val="lowerLetter"/>
      <w:lvlText w:val="%1)"/>
      <w:lvlJc w:val="left"/>
      <w:pPr>
        <w:tabs>
          <w:tab w:val="num" w:pos="360"/>
        </w:tabs>
        <w:ind w:left="360" w:hanging="360"/>
      </w:pPr>
      <w:rPr>
        <w:rFonts w:hint="default"/>
      </w:rPr>
    </w:lvl>
    <w:lvl w:ilvl="1" w:tplc="A68CB654">
      <w:start w:val="1"/>
      <w:numFmt w:val="decimal"/>
      <w:lvlText w:val="%2"/>
      <w:lvlJc w:val="left"/>
      <w:pPr>
        <w:tabs>
          <w:tab w:val="num" w:pos="1440"/>
        </w:tabs>
        <w:ind w:left="1440" w:hanging="360"/>
      </w:pPr>
      <w:rPr>
        <w:rFonts w:ascii="Times New Roman Bold" w:eastAsia="Times New Roman" w:hAnsi="Times New Roman Bold" w:cs="Times New Roman"/>
      </w:r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21" w15:restartNumberingAfterBreak="0">
    <w:nsid w:val="63BF6C09"/>
    <w:multiLevelType w:val="hybridMultilevel"/>
    <w:tmpl w:val="94225D8E"/>
    <w:lvl w:ilvl="0" w:tplc="92D22FAA">
      <w:start w:val="1"/>
      <w:numFmt w:val="lowerLetter"/>
      <w:lvlText w:val="%1)"/>
      <w:lvlJc w:val="left"/>
      <w:pPr>
        <w:tabs>
          <w:tab w:val="num" w:pos="1155"/>
        </w:tabs>
        <w:ind w:left="1155" w:hanging="795"/>
      </w:pPr>
      <w:rPr>
        <w:rFonts w:hint="default"/>
      </w:rPr>
    </w:lvl>
    <w:lvl w:ilvl="1" w:tplc="1009000F">
      <w:start w:val="1"/>
      <w:numFmt w:val="decimal"/>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67F5726E"/>
    <w:multiLevelType w:val="multilevel"/>
    <w:tmpl w:val="4BDC83F4"/>
    <w:lvl w:ilvl="0">
      <w:start w:val="9"/>
      <w:numFmt w:val="decimal"/>
      <w:lvlText w:val="%1"/>
      <w:lvlJc w:val="left"/>
      <w:pPr>
        <w:tabs>
          <w:tab w:val="num" w:pos="570"/>
        </w:tabs>
        <w:ind w:left="570" w:hanging="570"/>
      </w:pPr>
      <w:rPr>
        <w:rFonts w:hint="default"/>
        <w:b/>
      </w:rPr>
    </w:lvl>
    <w:lvl w:ilvl="1">
      <w:start w:val="2"/>
      <w:numFmt w:val="decimal"/>
      <w:lvlText w:val="%1.%2"/>
      <w:lvlJc w:val="left"/>
      <w:pPr>
        <w:tabs>
          <w:tab w:val="num" w:pos="570"/>
        </w:tabs>
        <w:ind w:left="570" w:hanging="570"/>
      </w:pPr>
      <w:rPr>
        <w:rFonts w:hint="default"/>
        <w:b/>
      </w:rPr>
    </w:lvl>
    <w:lvl w:ilvl="2">
      <w:start w:val="1"/>
      <w:numFmt w:val="decimal"/>
      <w:lvlText w:val="10.%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3" w15:restartNumberingAfterBreak="0">
    <w:nsid w:val="6D496900"/>
    <w:multiLevelType w:val="hybridMultilevel"/>
    <w:tmpl w:val="D528DF90"/>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E3C4DA6"/>
    <w:multiLevelType w:val="hybridMultilevel"/>
    <w:tmpl w:val="AA5C218A"/>
    <w:lvl w:ilvl="0" w:tplc="04090017">
      <w:start w:val="1"/>
      <w:numFmt w:val="lowerLetter"/>
      <w:lvlText w:val="%1)"/>
      <w:lvlJc w:val="left"/>
      <w:pPr>
        <w:tabs>
          <w:tab w:val="num" w:pos="450"/>
        </w:tabs>
        <w:ind w:left="450" w:hanging="360"/>
      </w:pPr>
    </w:lvl>
    <w:lvl w:ilvl="1" w:tplc="48DA20EE">
      <w:start w:val="1"/>
      <w:numFmt w:val="decimal"/>
      <w:lvlText w:val="%2"/>
      <w:lvlJc w:val="left"/>
      <w:pPr>
        <w:tabs>
          <w:tab w:val="num" w:pos="1875"/>
        </w:tabs>
        <w:ind w:left="1875" w:hanging="795"/>
      </w:pPr>
      <w:rPr>
        <w:rFonts w:hint="default"/>
      </w:rPr>
    </w:lvl>
    <w:lvl w:ilvl="2" w:tplc="1B001E7E">
      <w:start w:val="1"/>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6E6A26EA"/>
    <w:multiLevelType w:val="hybridMultilevel"/>
    <w:tmpl w:val="4A180894"/>
    <w:lvl w:ilvl="0" w:tplc="04090017">
      <w:start w:val="1"/>
      <w:numFmt w:val="lowerLetter"/>
      <w:lvlText w:val="%1)"/>
      <w:lvlJc w:val="left"/>
      <w:pPr>
        <w:tabs>
          <w:tab w:val="num" w:pos="1514"/>
        </w:tabs>
        <w:ind w:left="1514" w:hanging="360"/>
      </w:pPr>
    </w:lvl>
    <w:lvl w:ilvl="1" w:tplc="04090019" w:tentative="1">
      <w:start w:val="1"/>
      <w:numFmt w:val="lowerLetter"/>
      <w:lvlText w:val="%2."/>
      <w:lvlJc w:val="left"/>
      <w:pPr>
        <w:tabs>
          <w:tab w:val="num" w:pos="2234"/>
        </w:tabs>
        <w:ind w:left="2234" w:hanging="360"/>
      </w:pPr>
    </w:lvl>
    <w:lvl w:ilvl="2" w:tplc="0409001B" w:tentative="1">
      <w:start w:val="1"/>
      <w:numFmt w:val="lowerRoman"/>
      <w:lvlText w:val="%3."/>
      <w:lvlJc w:val="right"/>
      <w:pPr>
        <w:tabs>
          <w:tab w:val="num" w:pos="2954"/>
        </w:tabs>
        <w:ind w:left="2954" w:hanging="180"/>
      </w:pPr>
    </w:lvl>
    <w:lvl w:ilvl="3" w:tplc="0409000F" w:tentative="1">
      <w:start w:val="1"/>
      <w:numFmt w:val="decimal"/>
      <w:lvlText w:val="%4."/>
      <w:lvlJc w:val="left"/>
      <w:pPr>
        <w:tabs>
          <w:tab w:val="num" w:pos="3674"/>
        </w:tabs>
        <w:ind w:left="3674" w:hanging="360"/>
      </w:pPr>
    </w:lvl>
    <w:lvl w:ilvl="4" w:tplc="04090019" w:tentative="1">
      <w:start w:val="1"/>
      <w:numFmt w:val="lowerLetter"/>
      <w:lvlText w:val="%5."/>
      <w:lvlJc w:val="left"/>
      <w:pPr>
        <w:tabs>
          <w:tab w:val="num" w:pos="4394"/>
        </w:tabs>
        <w:ind w:left="4394" w:hanging="360"/>
      </w:pPr>
    </w:lvl>
    <w:lvl w:ilvl="5" w:tplc="0409001B" w:tentative="1">
      <w:start w:val="1"/>
      <w:numFmt w:val="lowerRoman"/>
      <w:lvlText w:val="%6."/>
      <w:lvlJc w:val="right"/>
      <w:pPr>
        <w:tabs>
          <w:tab w:val="num" w:pos="5114"/>
        </w:tabs>
        <w:ind w:left="5114" w:hanging="180"/>
      </w:pPr>
    </w:lvl>
    <w:lvl w:ilvl="6" w:tplc="0409000F" w:tentative="1">
      <w:start w:val="1"/>
      <w:numFmt w:val="decimal"/>
      <w:lvlText w:val="%7."/>
      <w:lvlJc w:val="left"/>
      <w:pPr>
        <w:tabs>
          <w:tab w:val="num" w:pos="5834"/>
        </w:tabs>
        <w:ind w:left="5834" w:hanging="360"/>
      </w:pPr>
    </w:lvl>
    <w:lvl w:ilvl="7" w:tplc="04090019" w:tentative="1">
      <w:start w:val="1"/>
      <w:numFmt w:val="lowerLetter"/>
      <w:lvlText w:val="%8."/>
      <w:lvlJc w:val="left"/>
      <w:pPr>
        <w:tabs>
          <w:tab w:val="num" w:pos="6554"/>
        </w:tabs>
        <w:ind w:left="6554" w:hanging="360"/>
      </w:pPr>
    </w:lvl>
    <w:lvl w:ilvl="8" w:tplc="0409001B" w:tentative="1">
      <w:start w:val="1"/>
      <w:numFmt w:val="lowerRoman"/>
      <w:lvlText w:val="%9."/>
      <w:lvlJc w:val="right"/>
      <w:pPr>
        <w:tabs>
          <w:tab w:val="num" w:pos="7274"/>
        </w:tabs>
        <w:ind w:left="7274" w:hanging="180"/>
      </w:pPr>
    </w:lvl>
  </w:abstractNum>
  <w:abstractNum w:abstractNumId="26" w15:restartNumberingAfterBreak="0">
    <w:nsid w:val="7AF43A61"/>
    <w:multiLevelType w:val="hybridMultilevel"/>
    <w:tmpl w:val="B890094C"/>
    <w:lvl w:ilvl="0" w:tplc="0C78C4B4">
      <w:start w:val="1"/>
      <w:numFmt w:val="decimal"/>
      <w:lvlText w:val="%1"/>
      <w:lvlJc w:val="left"/>
      <w:pPr>
        <w:ind w:left="1155" w:hanging="79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C010BA4"/>
    <w:multiLevelType w:val="hybridMultilevel"/>
    <w:tmpl w:val="4AA87EB8"/>
    <w:lvl w:ilvl="0" w:tplc="27E61176">
      <w:start w:val="1"/>
      <w:numFmt w:val="lowerLetter"/>
      <w:lvlText w:val="%1)"/>
      <w:lvlJc w:val="left"/>
      <w:pPr>
        <w:tabs>
          <w:tab w:val="num" w:pos="795"/>
        </w:tabs>
        <w:ind w:left="795" w:hanging="795"/>
      </w:pPr>
      <w:rPr>
        <w:rFonts w:hint="default"/>
        <w:sz w:val="24"/>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8" w15:restartNumberingAfterBreak="0">
    <w:nsid w:val="7D450147"/>
    <w:multiLevelType w:val="hybridMultilevel"/>
    <w:tmpl w:val="166A2A8E"/>
    <w:lvl w:ilvl="0" w:tplc="1FF8DFF4">
      <w:start w:val="1"/>
      <w:numFmt w:val="lowerLetter"/>
      <w:lvlText w:val="%1)"/>
      <w:lvlJc w:val="left"/>
      <w:pPr>
        <w:tabs>
          <w:tab w:val="num" w:pos="1080"/>
        </w:tabs>
        <w:ind w:left="1080" w:hanging="360"/>
      </w:pPr>
      <w:rPr>
        <w:rFonts w:hint="default"/>
      </w:rPr>
    </w:lvl>
    <w:lvl w:ilvl="1" w:tplc="04090017" w:tentative="1">
      <w:start w:val="1"/>
      <w:numFmt w:val="aiueoFullWidth"/>
      <w:lvlText w:val="(%2)"/>
      <w:lvlJc w:val="left"/>
      <w:pPr>
        <w:tabs>
          <w:tab w:val="num" w:pos="1560"/>
        </w:tabs>
        <w:ind w:left="1560" w:hanging="420"/>
      </w:pPr>
    </w:lvl>
    <w:lvl w:ilvl="2" w:tplc="04090011" w:tentative="1">
      <w:start w:val="1"/>
      <w:numFmt w:val="decimalEnclosedCircle"/>
      <w:lvlText w:val="%3"/>
      <w:lvlJc w:val="left"/>
      <w:pPr>
        <w:tabs>
          <w:tab w:val="num" w:pos="1980"/>
        </w:tabs>
        <w:ind w:left="1980" w:hanging="420"/>
      </w:pPr>
    </w:lvl>
    <w:lvl w:ilvl="3" w:tplc="0409000F" w:tentative="1">
      <w:start w:val="1"/>
      <w:numFmt w:val="decimal"/>
      <w:lvlText w:val="%4."/>
      <w:lvlJc w:val="left"/>
      <w:pPr>
        <w:tabs>
          <w:tab w:val="num" w:pos="2400"/>
        </w:tabs>
        <w:ind w:left="2400" w:hanging="420"/>
      </w:pPr>
    </w:lvl>
    <w:lvl w:ilvl="4" w:tplc="04090017" w:tentative="1">
      <w:start w:val="1"/>
      <w:numFmt w:val="aiueoFullWidth"/>
      <w:lvlText w:val="(%5)"/>
      <w:lvlJc w:val="left"/>
      <w:pPr>
        <w:tabs>
          <w:tab w:val="num" w:pos="2820"/>
        </w:tabs>
        <w:ind w:left="2820" w:hanging="420"/>
      </w:pPr>
    </w:lvl>
    <w:lvl w:ilvl="5" w:tplc="04090011" w:tentative="1">
      <w:start w:val="1"/>
      <w:numFmt w:val="decimalEnclosedCircle"/>
      <w:lvlText w:val="%6"/>
      <w:lvlJc w:val="left"/>
      <w:pPr>
        <w:tabs>
          <w:tab w:val="num" w:pos="3240"/>
        </w:tabs>
        <w:ind w:left="3240" w:hanging="420"/>
      </w:pPr>
    </w:lvl>
    <w:lvl w:ilvl="6" w:tplc="0409000F" w:tentative="1">
      <w:start w:val="1"/>
      <w:numFmt w:val="decimal"/>
      <w:lvlText w:val="%7."/>
      <w:lvlJc w:val="left"/>
      <w:pPr>
        <w:tabs>
          <w:tab w:val="num" w:pos="3660"/>
        </w:tabs>
        <w:ind w:left="3660" w:hanging="420"/>
      </w:pPr>
    </w:lvl>
    <w:lvl w:ilvl="7" w:tplc="04090017" w:tentative="1">
      <w:start w:val="1"/>
      <w:numFmt w:val="aiueoFullWidth"/>
      <w:lvlText w:val="(%8)"/>
      <w:lvlJc w:val="left"/>
      <w:pPr>
        <w:tabs>
          <w:tab w:val="num" w:pos="4080"/>
        </w:tabs>
        <w:ind w:left="4080" w:hanging="420"/>
      </w:pPr>
    </w:lvl>
    <w:lvl w:ilvl="8" w:tplc="04090011" w:tentative="1">
      <w:start w:val="1"/>
      <w:numFmt w:val="decimalEnclosedCircle"/>
      <w:lvlText w:val="%9"/>
      <w:lvlJc w:val="left"/>
      <w:pPr>
        <w:tabs>
          <w:tab w:val="num" w:pos="4500"/>
        </w:tabs>
        <w:ind w:left="4500" w:hanging="420"/>
      </w:pPr>
    </w:lvl>
  </w:abstractNum>
  <w:num w:numId="1" w16cid:durableId="1508400534">
    <w:abstractNumId w:val="28"/>
  </w:num>
  <w:num w:numId="2" w16cid:durableId="1539005737">
    <w:abstractNumId w:val="13"/>
  </w:num>
  <w:num w:numId="3" w16cid:durableId="1397506281">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22763375">
    <w:abstractNumId w:val="18"/>
  </w:num>
  <w:num w:numId="5" w16cid:durableId="769550680">
    <w:abstractNumId w:val="20"/>
  </w:num>
  <w:num w:numId="6" w16cid:durableId="1028213405">
    <w:abstractNumId w:val="8"/>
  </w:num>
  <w:num w:numId="7" w16cid:durableId="40861194">
    <w:abstractNumId w:val="6"/>
  </w:num>
  <w:num w:numId="8" w16cid:durableId="548878394">
    <w:abstractNumId w:val="26"/>
  </w:num>
  <w:num w:numId="9" w16cid:durableId="170867595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143695314">
    <w:abstractNumId w:val="21"/>
  </w:num>
  <w:num w:numId="11" w16cid:durableId="1320033458">
    <w:abstractNumId w:val="4"/>
  </w:num>
  <w:num w:numId="12" w16cid:durableId="1625772228">
    <w:abstractNumId w:val="14"/>
  </w:num>
  <w:num w:numId="13" w16cid:durableId="1976832084">
    <w:abstractNumId w:val="15"/>
  </w:num>
  <w:num w:numId="14" w16cid:durableId="1031564875">
    <w:abstractNumId w:val="23"/>
  </w:num>
  <w:num w:numId="15" w16cid:durableId="163209178">
    <w:abstractNumId w:val="12"/>
  </w:num>
  <w:num w:numId="16" w16cid:durableId="922253490">
    <w:abstractNumId w:val="27"/>
  </w:num>
  <w:num w:numId="17" w16cid:durableId="100997407">
    <w:abstractNumId w:val="24"/>
  </w:num>
  <w:num w:numId="18" w16cid:durableId="1323191817">
    <w:abstractNumId w:val="19"/>
  </w:num>
  <w:num w:numId="19" w16cid:durableId="1344938320">
    <w:abstractNumId w:val="9"/>
  </w:num>
  <w:num w:numId="20" w16cid:durableId="1045105427">
    <w:abstractNumId w:val="16"/>
  </w:num>
  <w:num w:numId="21" w16cid:durableId="957953241">
    <w:abstractNumId w:val="10"/>
  </w:num>
  <w:num w:numId="22" w16cid:durableId="884409409">
    <w:abstractNumId w:val="22"/>
  </w:num>
  <w:num w:numId="23" w16cid:durableId="1534727971">
    <w:abstractNumId w:val="7"/>
  </w:num>
  <w:num w:numId="24" w16cid:durableId="108009643">
    <w:abstractNumId w:val="25"/>
  </w:num>
  <w:num w:numId="25" w16cid:durableId="160618409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4C26"/>
    <w:rsid w:val="00001053"/>
    <w:rsid w:val="00006C17"/>
    <w:rsid w:val="00011D78"/>
    <w:rsid w:val="00017B45"/>
    <w:rsid w:val="00023463"/>
    <w:rsid w:val="0003503D"/>
    <w:rsid w:val="00051442"/>
    <w:rsid w:val="00077A2D"/>
    <w:rsid w:val="000A381D"/>
    <w:rsid w:val="000B071B"/>
    <w:rsid w:val="000B47CD"/>
    <w:rsid w:val="000B5A36"/>
    <w:rsid w:val="000C22AE"/>
    <w:rsid w:val="000D378F"/>
    <w:rsid w:val="000D3CE4"/>
    <w:rsid w:val="000D5219"/>
    <w:rsid w:val="000D6DAE"/>
    <w:rsid w:val="000E4393"/>
    <w:rsid w:val="00117D80"/>
    <w:rsid w:val="001309FB"/>
    <w:rsid w:val="001762A1"/>
    <w:rsid w:val="001B4A76"/>
    <w:rsid w:val="001C5240"/>
    <w:rsid w:val="001C5A6C"/>
    <w:rsid w:val="001C604C"/>
    <w:rsid w:val="001F3813"/>
    <w:rsid w:val="002178BA"/>
    <w:rsid w:val="002204D5"/>
    <w:rsid w:val="002210D5"/>
    <w:rsid w:val="00227040"/>
    <w:rsid w:val="00237B40"/>
    <w:rsid w:val="002462EF"/>
    <w:rsid w:val="00246C17"/>
    <w:rsid w:val="00251518"/>
    <w:rsid w:val="00256336"/>
    <w:rsid w:val="002742C3"/>
    <w:rsid w:val="002A37D9"/>
    <w:rsid w:val="002C182C"/>
    <w:rsid w:val="002D5607"/>
    <w:rsid w:val="002E1B7B"/>
    <w:rsid w:val="002E6A20"/>
    <w:rsid w:val="002F389D"/>
    <w:rsid w:val="002F6393"/>
    <w:rsid w:val="00331B2F"/>
    <w:rsid w:val="003374BB"/>
    <w:rsid w:val="00347EE0"/>
    <w:rsid w:val="0035222D"/>
    <w:rsid w:val="0038237B"/>
    <w:rsid w:val="003C3FD9"/>
    <w:rsid w:val="003D116F"/>
    <w:rsid w:val="003D7A8C"/>
    <w:rsid w:val="003F293E"/>
    <w:rsid w:val="00401308"/>
    <w:rsid w:val="00423BC5"/>
    <w:rsid w:val="004568D2"/>
    <w:rsid w:val="004612A7"/>
    <w:rsid w:val="00462F6A"/>
    <w:rsid w:val="00467305"/>
    <w:rsid w:val="0048772A"/>
    <w:rsid w:val="004A1F7E"/>
    <w:rsid w:val="004A58A4"/>
    <w:rsid w:val="004B7CB1"/>
    <w:rsid w:val="004F2E56"/>
    <w:rsid w:val="00501F47"/>
    <w:rsid w:val="00504D1F"/>
    <w:rsid w:val="00514AB2"/>
    <w:rsid w:val="00524FB2"/>
    <w:rsid w:val="0053765D"/>
    <w:rsid w:val="00551B43"/>
    <w:rsid w:val="005569CA"/>
    <w:rsid w:val="00562EF2"/>
    <w:rsid w:val="00574CFF"/>
    <w:rsid w:val="005A48CF"/>
    <w:rsid w:val="005D1D45"/>
    <w:rsid w:val="00601999"/>
    <w:rsid w:val="00611CD0"/>
    <w:rsid w:val="006144AB"/>
    <w:rsid w:val="00631549"/>
    <w:rsid w:val="006425B4"/>
    <w:rsid w:val="00653C1B"/>
    <w:rsid w:val="00661781"/>
    <w:rsid w:val="00665F6E"/>
    <w:rsid w:val="006678D7"/>
    <w:rsid w:val="006824D9"/>
    <w:rsid w:val="006825C5"/>
    <w:rsid w:val="00684F2B"/>
    <w:rsid w:val="00693D4F"/>
    <w:rsid w:val="00697D23"/>
    <w:rsid w:val="006B0459"/>
    <w:rsid w:val="006B5987"/>
    <w:rsid w:val="006C6819"/>
    <w:rsid w:val="006E13C5"/>
    <w:rsid w:val="00700AE2"/>
    <w:rsid w:val="00706D36"/>
    <w:rsid w:val="00707551"/>
    <w:rsid w:val="007116DC"/>
    <w:rsid w:val="0071403C"/>
    <w:rsid w:val="00717E4B"/>
    <w:rsid w:val="00720F3C"/>
    <w:rsid w:val="00726747"/>
    <w:rsid w:val="0074102F"/>
    <w:rsid w:val="007550BF"/>
    <w:rsid w:val="00780423"/>
    <w:rsid w:val="00781E25"/>
    <w:rsid w:val="00783EB8"/>
    <w:rsid w:val="007958DD"/>
    <w:rsid w:val="007E0240"/>
    <w:rsid w:val="007F32A3"/>
    <w:rsid w:val="008075CD"/>
    <w:rsid w:val="00837339"/>
    <w:rsid w:val="00843268"/>
    <w:rsid w:val="00845E8E"/>
    <w:rsid w:val="00851E30"/>
    <w:rsid w:val="0088751E"/>
    <w:rsid w:val="008968B6"/>
    <w:rsid w:val="008972C5"/>
    <w:rsid w:val="008B4CF6"/>
    <w:rsid w:val="008B7E09"/>
    <w:rsid w:val="008C7FC3"/>
    <w:rsid w:val="008D6D8D"/>
    <w:rsid w:val="00901958"/>
    <w:rsid w:val="009055E3"/>
    <w:rsid w:val="00905B41"/>
    <w:rsid w:val="00916468"/>
    <w:rsid w:val="0092650E"/>
    <w:rsid w:val="00931C08"/>
    <w:rsid w:val="00931EE1"/>
    <w:rsid w:val="009330E7"/>
    <w:rsid w:val="00934946"/>
    <w:rsid w:val="009423EF"/>
    <w:rsid w:val="0095090C"/>
    <w:rsid w:val="00951280"/>
    <w:rsid w:val="00952426"/>
    <w:rsid w:val="009732A2"/>
    <w:rsid w:val="00974C0C"/>
    <w:rsid w:val="009755D7"/>
    <w:rsid w:val="009C2357"/>
    <w:rsid w:val="009D10A5"/>
    <w:rsid w:val="009D26AE"/>
    <w:rsid w:val="009E1DCF"/>
    <w:rsid w:val="009F7009"/>
    <w:rsid w:val="00A01A91"/>
    <w:rsid w:val="00A07A58"/>
    <w:rsid w:val="00A24E9A"/>
    <w:rsid w:val="00A26B1A"/>
    <w:rsid w:val="00A3085D"/>
    <w:rsid w:val="00A4766C"/>
    <w:rsid w:val="00A5746D"/>
    <w:rsid w:val="00A65D98"/>
    <w:rsid w:val="00A75601"/>
    <w:rsid w:val="00A83D3D"/>
    <w:rsid w:val="00AA1264"/>
    <w:rsid w:val="00AA2D89"/>
    <w:rsid w:val="00AC4AF1"/>
    <w:rsid w:val="00AC4BB8"/>
    <w:rsid w:val="00AE4C26"/>
    <w:rsid w:val="00B150A9"/>
    <w:rsid w:val="00B2011C"/>
    <w:rsid w:val="00B23929"/>
    <w:rsid w:val="00B241C9"/>
    <w:rsid w:val="00B3059C"/>
    <w:rsid w:val="00B33CAA"/>
    <w:rsid w:val="00B50CB4"/>
    <w:rsid w:val="00B50D4E"/>
    <w:rsid w:val="00B50F17"/>
    <w:rsid w:val="00B56BC0"/>
    <w:rsid w:val="00B67290"/>
    <w:rsid w:val="00B73379"/>
    <w:rsid w:val="00B73B62"/>
    <w:rsid w:val="00B92804"/>
    <w:rsid w:val="00BB34EA"/>
    <w:rsid w:val="00BC13B0"/>
    <w:rsid w:val="00BE53DB"/>
    <w:rsid w:val="00BE58E6"/>
    <w:rsid w:val="00BF610E"/>
    <w:rsid w:val="00C12E70"/>
    <w:rsid w:val="00C32F69"/>
    <w:rsid w:val="00C42785"/>
    <w:rsid w:val="00C43A16"/>
    <w:rsid w:val="00C64078"/>
    <w:rsid w:val="00C706FC"/>
    <w:rsid w:val="00C72AF4"/>
    <w:rsid w:val="00CD10C2"/>
    <w:rsid w:val="00CD3865"/>
    <w:rsid w:val="00CE767E"/>
    <w:rsid w:val="00CF024D"/>
    <w:rsid w:val="00D20887"/>
    <w:rsid w:val="00D26ECC"/>
    <w:rsid w:val="00D27855"/>
    <w:rsid w:val="00D4292A"/>
    <w:rsid w:val="00D457B6"/>
    <w:rsid w:val="00D50046"/>
    <w:rsid w:val="00D54881"/>
    <w:rsid w:val="00D66950"/>
    <w:rsid w:val="00D76D88"/>
    <w:rsid w:val="00D8497D"/>
    <w:rsid w:val="00D94D9E"/>
    <w:rsid w:val="00DA125E"/>
    <w:rsid w:val="00DA7D60"/>
    <w:rsid w:val="00DB2AF8"/>
    <w:rsid w:val="00DB350D"/>
    <w:rsid w:val="00DB5592"/>
    <w:rsid w:val="00DC1CCA"/>
    <w:rsid w:val="00DD5D50"/>
    <w:rsid w:val="00DE48B4"/>
    <w:rsid w:val="00E03ABC"/>
    <w:rsid w:val="00E154E2"/>
    <w:rsid w:val="00E20918"/>
    <w:rsid w:val="00E300EC"/>
    <w:rsid w:val="00E51820"/>
    <w:rsid w:val="00E56BAB"/>
    <w:rsid w:val="00E67297"/>
    <w:rsid w:val="00E758D6"/>
    <w:rsid w:val="00E82452"/>
    <w:rsid w:val="00E83C1C"/>
    <w:rsid w:val="00E91696"/>
    <w:rsid w:val="00E96B11"/>
    <w:rsid w:val="00E96C27"/>
    <w:rsid w:val="00EA12A2"/>
    <w:rsid w:val="00EA2A26"/>
    <w:rsid w:val="00EB3556"/>
    <w:rsid w:val="00EC4C99"/>
    <w:rsid w:val="00EE1126"/>
    <w:rsid w:val="00EE2FE2"/>
    <w:rsid w:val="00EE4B7A"/>
    <w:rsid w:val="00F0099E"/>
    <w:rsid w:val="00F12607"/>
    <w:rsid w:val="00F15F98"/>
    <w:rsid w:val="00F34748"/>
    <w:rsid w:val="00F3739E"/>
    <w:rsid w:val="00F4281C"/>
    <w:rsid w:val="00F576B9"/>
    <w:rsid w:val="00F67E96"/>
    <w:rsid w:val="00FA70B7"/>
    <w:rsid w:val="00FC2788"/>
    <w:rsid w:val="00FD23A9"/>
    <w:rsid w:val="00FE715C"/>
    <w:rsid w:val="00FF0521"/>
    <w:rsid w:val="00FF2798"/>
    <w:rsid w:val="00FF63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CE57DB"/>
  <w15:docId w15:val="{4EFD016A-5C5C-47F6-9039-194AE1CE59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rFonts w:ascii="Times New Roman" w:hAnsi="Times New Roman"/>
      <w:sz w:val="22"/>
      <w:lang w:val="fr-FR" w:eastAsia="en-US"/>
    </w:rPr>
  </w:style>
  <w:style w:type="paragraph" w:styleId="Heading1">
    <w:name w:val="heading 1"/>
    <w:basedOn w:val="Normal"/>
    <w:next w:val="Normal"/>
    <w:qFormat/>
    <w:pPr>
      <w:keepNext/>
      <w:keepLines/>
      <w:spacing w:before="600" w:line="320" w:lineRule="exact"/>
      <w:ind w:left="794" w:hanging="794"/>
      <w:outlineLvl w:val="0"/>
    </w:pPr>
    <w:rPr>
      <w:b/>
      <w:sz w:val="24"/>
    </w:rPr>
  </w:style>
  <w:style w:type="paragraph" w:styleId="Heading2">
    <w:name w:val="heading 2"/>
    <w:basedOn w:val="Heading1"/>
    <w:next w:val="Normal"/>
    <w:qFormat/>
    <w:pPr>
      <w:spacing w:before="360"/>
      <w:outlineLvl w:val="1"/>
    </w:pPr>
  </w:style>
  <w:style w:type="paragraph" w:styleId="Heading3">
    <w:name w:val="heading 3"/>
    <w:basedOn w:val="Heading1"/>
    <w:next w:val="Normal"/>
    <w:qFormat/>
    <w:pPr>
      <w:spacing w:before="240"/>
      <w:outlineLvl w:val="2"/>
    </w:pPr>
  </w:style>
  <w:style w:type="paragraph" w:styleId="Heading4">
    <w:name w:val="heading 4"/>
    <w:basedOn w:val="Heading3"/>
    <w:next w:val="Normal"/>
    <w:qFormat/>
    <w:pPr>
      <w:tabs>
        <w:tab w:val="clear" w:pos="794"/>
        <w:tab w:val="left" w:pos="1021"/>
      </w:tabs>
      <w:ind w:left="1021" w:hanging="1021"/>
      <w:outlineLvl w:val="3"/>
    </w:pPr>
  </w:style>
  <w:style w:type="paragraph" w:styleId="Heading5">
    <w:name w:val="heading 5"/>
    <w:basedOn w:val="Heading4"/>
    <w:next w:val="Normal"/>
    <w:qFormat/>
    <w:pPr>
      <w:outlineLvl w:val="4"/>
    </w:pPr>
  </w:style>
  <w:style w:type="paragraph" w:styleId="Heading6">
    <w:name w:val="heading 6"/>
    <w:basedOn w:val="Heading4"/>
    <w:next w:val="Normal"/>
    <w:qFormat/>
    <w:pPr>
      <w:tabs>
        <w:tab w:val="clear" w:pos="1021"/>
        <w:tab w:val="clear" w:pos="1191"/>
      </w:tabs>
      <w:ind w:left="1588" w:hanging="1588"/>
      <w:outlineLvl w:val="5"/>
    </w:pPr>
  </w:style>
  <w:style w:type="paragraph" w:styleId="Heading7">
    <w:name w:val="heading 7"/>
    <w:basedOn w:val="Heading6"/>
    <w:next w:val="Normal"/>
    <w:qFormat/>
    <w:pPr>
      <w:outlineLvl w:val="6"/>
    </w:pPr>
  </w:style>
  <w:style w:type="paragraph" w:styleId="Heading8">
    <w:name w:val="heading 8"/>
    <w:basedOn w:val="Heading6"/>
    <w:next w:val="Normal"/>
    <w:qFormat/>
    <w:pPr>
      <w:outlineLvl w:val="7"/>
    </w:pPr>
  </w:style>
  <w:style w:type="paragraph" w:styleId="Heading9">
    <w:name w:val="heading 9"/>
    <w:basedOn w:val="Heading6"/>
    <w:next w:val="Normal"/>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style>
  <w:style w:type="paragraph" w:styleId="TOC4">
    <w:name w:val="toc 4"/>
    <w:basedOn w:val="TOC3"/>
    <w:semiHidden/>
  </w:style>
  <w:style w:type="paragraph" w:styleId="TOC3">
    <w:name w:val="toc 3"/>
    <w:basedOn w:val="TOC2"/>
    <w:semiHidden/>
  </w:style>
  <w:style w:type="paragraph" w:styleId="TOC2">
    <w:name w:val="toc 2"/>
    <w:basedOn w:val="TOC1"/>
    <w:semiHidden/>
    <w:pPr>
      <w:spacing w:before="80"/>
      <w:ind w:left="1531" w:hanging="851"/>
    </w:pPr>
  </w:style>
  <w:style w:type="paragraph" w:styleId="TOC1">
    <w:name w:val="toc 1"/>
    <w:basedOn w:val="Normal"/>
    <w:semiHidden/>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style>
  <w:style w:type="paragraph" w:styleId="TOC6">
    <w:name w:val="toc 6"/>
    <w:basedOn w:val="TOC4"/>
    <w:semiHidden/>
  </w:style>
  <w:style w:type="paragraph" w:styleId="TOC5">
    <w:name w:val="toc 5"/>
    <w:basedOn w:val="TOC4"/>
    <w:semiHidden/>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794"/>
        <w:tab w:val="clear" w:pos="1191"/>
        <w:tab w:val="clear" w:pos="1588"/>
        <w:tab w:val="clear" w:pos="1985"/>
      </w:tabs>
      <w:spacing w:before="0"/>
      <w:jc w:val="center"/>
    </w:pPr>
    <w:rPr>
      <w:sz w:val="18"/>
    </w:rPr>
  </w:style>
  <w:style w:type="character" w:styleId="FootnoteReference">
    <w:name w:val="footnote reference"/>
    <w:aliases w:val="Appel note de bas de p,Footnote Reference/"/>
    <w:rsid w:val="00B3059C"/>
    <w:rPr>
      <w:position w:val="6"/>
      <w:sz w:val="16"/>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
    <w:basedOn w:val="Note"/>
    <w:link w:val="FootnoteTextChar"/>
    <w:pPr>
      <w:keepLines/>
      <w:tabs>
        <w:tab w:val="left" w:pos="255"/>
      </w:tabs>
      <w:ind w:left="255" w:hanging="255"/>
    </w:pPr>
  </w:style>
  <w:style w:type="paragraph" w:customStyle="1" w:styleId="Note">
    <w:name w:val="Note"/>
    <w:basedOn w:val="Normal"/>
    <w:pPr>
      <w:spacing w:before="80" w:line="240" w:lineRule="exact"/>
    </w:pPr>
    <w:rPr>
      <w:sz w:val="20"/>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link w:val="FootnoteText"/>
    <w:qFormat/>
    <w:rsid w:val="003374BB"/>
    <w:rPr>
      <w:lang w:val="fr-FR" w:eastAsia="en-US" w:bidi="ar-SA"/>
    </w:rPr>
  </w:style>
  <w:style w:type="paragraph" w:customStyle="1" w:styleId="enumlev1">
    <w:name w:val="enumlev1"/>
    <w:basedOn w:val="Normal"/>
    <w:link w:val="enumlev1Char"/>
    <w:qFormat/>
    <w:pPr>
      <w:spacing w:before="80"/>
      <w:ind w:left="794" w:hanging="794"/>
    </w:pPr>
  </w:style>
  <w:style w:type="character" w:customStyle="1" w:styleId="enumlev1Char">
    <w:name w:val="enumlev1 Char"/>
    <w:link w:val="enumlev1"/>
    <w:qFormat/>
    <w:rsid w:val="003374BB"/>
    <w:rPr>
      <w:sz w:val="22"/>
      <w:lang w:val="fr-FR" w:eastAsia="en-US" w:bidi="ar-SA"/>
    </w:r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uiPriority w:val="99"/>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semiHidden/>
    <w:pPr>
      <w:jc w:val="left"/>
    </w:pPr>
  </w:style>
  <w:style w:type="paragraph" w:styleId="BodyTextFirstIndent">
    <w:name w:val="Body Text First Indent"/>
    <w:basedOn w:val="BodyText"/>
    <w:rsid w:val="00EE1126"/>
    <w:pPr>
      <w:spacing w:after="120"/>
      <w:ind w:firstLine="210"/>
    </w:pPr>
    <w:rPr>
      <w:rFonts w:ascii="Times New Roman" w:hAnsi="Times New Roman" w:cs="Times New Roman"/>
      <w:b w:val="0"/>
      <w:bCs w:val="0"/>
      <w:sz w:val="22"/>
    </w:rPr>
  </w:style>
  <w:style w:type="paragraph" w:styleId="BodyText">
    <w:name w:val="Body Text"/>
    <w:basedOn w:val="Normal"/>
    <w:link w:val="BodyTextChar"/>
    <w:uiPriority w:val="1"/>
    <w:qFormat/>
    <w:rPr>
      <w:rFonts w:ascii="Arial" w:hAnsi="Arial" w:cs="Arial"/>
      <w:b/>
      <w:bCs/>
      <w:sz w:val="36"/>
    </w:rPr>
  </w:style>
  <w:style w:type="paragraph" w:customStyle="1" w:styleId="AnnexNoTitle">
    <w:name w:val="Annex_NoTitle"/>
    <w:basedOn w:val="Normal"/>
    <w:next w:val="Normalaftertitle"/>
    <w:pPr>
      <w:keepNext/>
      <w:keepLines/>
      <w:spacing w:before="720" w:after="120"/>
      <w:jc w:val="center"/>
    </w:pPr>
    <w:rPr>
      <w:b/>
      <w:sz w:val="24"/>
    </w:rPr>
  </w:style>
  <w:style w:type="character" w:customStyle="1" w:styleId="Appdef">
    <w:name w:val="App_def"/>
    <w:rPr>
      <w:rFonts w:ascii="Times New Roman" w:hAnsi="Times New Roman"/>
      <w:b/>
    </w:rPr>
  </w:style>
  <w:style w:type="character" w:customStyle="1" w:styleId="Appref">
    <w:name w:val="App_ref"/>
    <w:basedOn w:val="DefaultParagraphFont"/>
  </w:style>
  <w:style w:type="paragraph" w:customStyle="1" w:styleId="AppendixNoTitle">
    <w:name w:val="Appendix_NoTitle"/>
    <w:basedOn w:val="AnnexNoTitle"/>
    <w:next w:val="Normalaftertitle"/>
  </w:style>
  <w:style w:type="character" w:customStyle="1" w:styleId="Artdef">
    <w:name w:val="Art_def"/>
    <w:rPr>
      <w:rFonts w:ascii="Times New Roman" w:hAnsi="Times New Roman"/>
      <w:b/>
    </w:rPr>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character" w:customStyle="1" w:styleId="Artref">
    <w:name w:val="Art_ref"/>
    <w:basedOn w:val="DefaultParagraphFont"/>
  </w:style>
  <w:style w:type="paragraph" w:customStyle="1" w:styleId="Call">
    <w:name w:val="Call"/>
    <w:basedOn w:val="Normal"/>
    <w:next w:val="Normal"/>
    <w:link w:val="CallChar"/>
    <w:uiPriority w:val="99"/>
    <w:pPr>
      <w:keepNext/>
      <w:keepLines/>
      <w:spacing w:before="240"/>
      <w:ind w:left="794"/>
      <w:jc w:val="left"/>
    </w:pPr>
    <w:rPr>
      <w:i/>
    </w:rPr>
  </w:style>
  <w:style w:type="character" w:customStyle="1" w:styleId="CallChar">
    <w:name w:val="Call Char"/>
    <w:link w:val="Call"/>
    <w:rsid w:val="00E03ABC"/>
    <w:rPr>
      <w:i/>
      <w:sz w:val="22"/>
      <w:lang w:val="fr-FR" w:eastAsia="en-US" w:bidi="ar-SA"/>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semiHidden/>
    <w:pPr>
      <w:ind w:left="284"/>
      <w:jc w:val="left"/>
    </w:pPr>
  </w:style>
  <w:style w:type="paragraph" w:styleId="Index3">
    <w:name w:val="index 3"/>
    <w:basedOn w:val="Normal"/>
    <w:next w:val="Normal"/>
    <w:semiHidden/>
    <w:pPr>
      <w:ind w:left="567"/>
      <w:jc w:val="left"/>
    </w:pPr>
  </w:style>
  <w:style w:type="paragraph" w:customStyle="1" w:styleId="PartNo">
    <w:name w:val="Part_No"/>
    <w:basedOn w:val="Normal"/>
    <w:next w:val="Partref"/>
    <w:pPr>
      <w:keepNext/>
      <w:keepLines/>
      <w:spacing w:before="480" w:after="80"/>
    </w:pPr>
    <w:rPr>
      <w:caps/>
      <w:sz w:val="24"/>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sz w:val="24"/>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link w:val="RecNoChar"/>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character" w:customStyle="1" w:styleId="RecNoChar">
    <w:name w:val="Rec_No Char"/>
    <w:link w:val="RecNo"/>
    <w:rsid w:val="003D7A8C"/>
    <w:rPr>
      <w:b/>
      <w:sz w:val="28"/>
      <w:lang w:val="fr-FR" w:eastAsia="en-US" w:bidi="ar-SA"/>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character" w:customStyle="1" w:styleId="Resdef">
    <w:name w:val="Res_def"/>
    <w:rPr>
      <w:rFonts w:ascii="Times New Roman" w:hAnsi="Times New Roman"/>
      <w:b/>
    </w:rPr>
  </w:style>
  <w:style w:type="paragraph" w:customStyle="1" w:styleId="ResNo">
    <w:name w:val="Res_No"/>
    <w:basedOn w:val="RecNo"/>
    <w:next w:val="Restitle"/>
    <w:link w:val="ResNoChar"/>
    <w:rsid w:val="00DD5D50"/>
    <w:pPr>
      <w:tabs>
        <w:tab w:val="clear" w:pos="794"/>
        <w:tab w:val="clear" w:pos="1191"/>
        <w:tab w:val="clear" w:pos="1588"/>
        <w:tab w:val="clear" w:pos="1985"/>
      </w:tabs>
      <w:jc w:val="center"/>
      <w:outlineLvl w:val="0"/>
    </w:pPr>
    <w:rPr>
      <w:b w:val="0"/>
      <w:caps/>
    </w:rPr>
  </w:style>
  <w:style w:type="paragraph" w:customStyle="1" w:styleId="Restitle">
    <w:name w:val="Res_title"/>
    <w:basedOn w:val="Rectitle"/>
    <w:next w:val="Resref"/>
    <w:link w:val="RestitleChar"/>
    <w:uiPriority w:val="99"/>
  </w:style>
  <w:style w:type="paragraph" w:customStyle="1" w:styleId="Resref">
    <w:name w:val="Res_ref"/>
    <w:basedOn w:val="Recref"/>
    <w:next w:val="Resdate"/>
    <w:uiPriority w:val="99"/>
    <w:qFormat/>
  </w:style>
  <w:style w:type="character" w:customStyle="1" w:styleId="RestitleChar">
    <w:name w:val="Res_title Char"/>
    <w:link w:val="Restitle"/>
    <w:rsid w:val="003374BB"/>
    <w:rPr>
      <w:b/>
      <w:sz w:val="28"/>
      <w:lang w:val="fr-FR" w:eastAsia="en-US" w:bidi="ar-SA"/>
    </w:rPr>
  </w:style>
  <w:style w:type="character" w:customStyle="1" w:styleId="ResNoChar">
    <w:name w:val="Res_No Char"/>
    <w:link w:val="ResNo"/>
    <w:rsid w:val="00DD5D50"/>
    <w:rPr>
      <w:rFonts w:ascii="Times New Roman" w:hAnsi="Times New Roman"/>
      <w:caps/>
      <w:sz w:val="28"/>
      <w:lang w:val="fr-FR" w:eastAsia="en-US"/>
    </w:rPr>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character" w:customStyle="1" w:styleId="Tablefreq">
    <w:name w:val="Table_freq"/>
    <w:rPr>
      <w:b/>
      <w:color w:val="auto"/>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rPr>
      <w:caps w:val="0"/>
    </w:rPr>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rPr>
      <w:color w:val="0000FF"/>
      <w:u w:val="single"/>
    </w:rPr>
  </w:style>
  <w:style w:type="character" w:styleId="FollowedHyperlink">
    <w:name w:val="FollowedHyperlink"/>
    <w:rPr>
      <w:color w:val="800080"/>
      <w:u w:val="single"/>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rPr>
  </w:style>
  <w:style w:type="paragraph" w:styleId="Index5">
    <w:name w:val="index 5"/>
    <w:basedOn w:val="Normal"/>
    <w:next w:val="Normal"/>
    <w:semiHidden/>
    <w:pPr>
      <w:spacing w:before="120" w:line="240" w:lineRule="auto"/>
      <w:ind w:left="1132"/>
      <w:jc w:val="left"/>
    </w:pPr>
    <w:rPr>
      <w:sz w:val="24"/>
      <w:lang w:val="en-GB"/>
    </w:rPr>
  </w:style>
  <w:style w:type="paragraph" w:styleId="Index4">
    <w:name w:val="index 4"/>
    <w:basedOn w:val="Normal"/>
    <w:next w:val="Normal"/>
    <w:semiHidden/>
    <w:pPr>
      <w:spacing w:before="120" w:line="240" w:lineRule="auto"/>
      <w:ind w:left="849"/>
      <w:jc w:val="left"/>
    </w:pPr>
    <w:rPr>
      <w:sz w:val="24"/>
      <w:lang w:val="en-GB"/>
    </w:rPr>
  </w:style>
  <w:style w:type="paragraph" w:styleId="BodyText2">
    <w:name w:val="Body Text 2"/>
    <w:basedOn w:val="Normal"/>
    <w:pPr>
      <w:tabs>
        <w:tab w:val="right" w:pos="9639"/>
      </w:tabs>
      <w:spacing w:before="400" w:line="440" w:lineRule="exact"/>
      <w:jc w:val="left"/>
    </w:pPr>
    <w:rPr>
      <w:rFonts w:ascii="Arial" w:hAnsi="Arial" w:cs="Arial"/>
      <w:b/>
      <w:bCs/>
      <w:sz w:val="36"/>
    </w:rPr>
  </w:style>
  <w:style w:type="character" w:customStyle="1" w:styleId="href">
    <w:name w:val="href"/>
    <w:basedOn w:val="DefaultParagraphFont"/>
  </w:style>
  <w:style w:type="paragraph" w:customStyle="1" w:styleId="Head">
    <w:name w:val="Head"/>
    <w:basedOn w:val="Normal"/>
    <w:pPr>
      <w:tabs>
        <w:tab w:val="clear" w:pos="794"/>
        <w:tab w:val="clear" w:pos="1191"/>
        <w:tab w:val="clear" w:pos="1588"/>
        <w:tab w:val="clear" w:pos="1985"/>
        <w:tab w:val="left" w:pos="6663"/>
      </w:tabs>
      <w:spacing w:before="0" w:line="240" w:lineRule="auto"/>
    </w:pPr>
    <w:rPr>
      <w:sz w:val="24"/>
      <w:lang w:val="en-GB"/>
    </w:rPr>
  </w:style>
  <w:style w:type="paragraph" w:customStyle="1" w:styleId="blanc">
    <w:name w:val="blanc"/>
    <w:basedOn w:val="Normal"/>
    <w:pPr>
      <w:tabs>
        <w:tab w:val="clear" w:pos="794"/>
        <w:tab w:val="clear" w:pos="1191"/>
        <w:tab w:val="clear" w:pos="1588"/>
        <w:tab w:val="clear" w:pos="1985"/>
      </w:tabs>
      <w:spacing w:before="0" w:line="240" w:lineRule="auto"/>
      <w:jc w:val="left"/>
    </w:pPr>
    <w:rPr>
      <w:sz w:val="2"/>
      <w:lang w:val="en-US"/>
    </w:rPr>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TableTitle">
    <w:name w:val="Table_Title"/>
    <w:basedOn w:val="Normal"/>
    <w:next w:val="Tabletext"/>
    <w:rsid w:val="00A01A91"/>
    <w:pPr>
      <w:keepNext/>
      <w:keepLines/>
      <w:spacing w:before="480" w:after="120" w:line="240" w:lineRule="auto"/>
      <w:jc w:val="center"/>
    </w:pPr>
    <w:rPr>
      <w:b/>
      <w:sz w:val="24"/>
      <w:lang w:val="en-GB"/>
    </w:rPr>
  </w:style>
  <w:style w:type="paragraph" w:customStyle="1" w:styleId="Normalaftertitle0">
    <w:name w:val="Normal after title"/>
    <w:basedOn w:val="Normal"/>
    <w:next w:val="Normal"/>
    <w:link w:val="NormalaftertitleChar"/>
    <w:rsid w:val="004A58A4"/>
    <w:pPr>
      <w:spacing w:before="280" w:line="240" w:lineRule="auto"/>
    </w:pPr>
    <w:rPr>
      <w:lang w:val="en-GB"/>
    </w:rPr>
  </w:style>
  <w:style w:type="character" w:customStyle="1" w:styleId="docdisplay">
    <w:name w:val="doc_display"/>
    <w:basedOn w:val="DefaultParagraphFont"/>
    <w:rsid w:val="00A83D3D"/>
  </w:style>
  <w:style w:type="paragraph" w:customStyle="1" w:styleId="AnnexNo">
    <w:name w:val="Annex_No"/>
    <w:basedOn w:val="Normal"/>
    <w:next w:val="Normal"/>
    <w:rsid w:val="00DB2AF8"/>
    <w:pPr>
      <w:keepNext/>
      <w:keepLines/>
      <w:spacing w:before="480" w:after="80" w:line="240" w:lineRule="auto"/>
      <w:jc w:val="center"/>
    </w:pPr>
    <w:rPr>
      <w:caps/>
      <w:sz w:val="28"/>
      <w:lang w:val="en-GB"/>
    </w:rPr>
  </w:style>
  <w:style w:type="character" w:customStyle="1" w:styleId="CharChar">
    <w:name w:val="Char Char"/>
    <w:semiHidden/>
    <w:locked/>
    <w:rsid w:val="009D26AE"/>
    <w:rPr>
      <w:sz w:val="24"/>
      <w:lang w:val="en-GB" w:eastAsia="en-US" w:bidi="ar-SA"/>
    </w:rPr>
  </w:style>
  <w:style w:type="character" w:customStyle="1" w:styleId="NormalaftertitleChar">
    <w:name w:val="Normal after title Char"/>
    <w:link w:val="Normalaftertitle0"/>
    <w:locked/>
    <w:rsid w:val="004A58A4"/>
    <w:rPr>
      <w:rFonts w:ascii="Times New Roman" w:hAnsi="Times New Roman"/>
      <w:sz w:val="22"/>
      <w:lang w:val="en-GB" w:eastAsia="en-US"/>
    </w:rPr>
  </w:style>
  <w:style w:type="paragraph" w:styleId="BodyTextIndent">
    <w:name w:val="Body Text Indent"/>
    <w:basedOn w:val="Normal"/>
    <w:rsid w:val="00EE1126"/>
    <w:pPr>
      <w:spacing w:after="120"/>
      <w:ind w:left="283"/>
    </w:pPr>
  </w:style>
  <w:style w:type="paragraph" w:styleId="List2">
    <w:name w:val="List 2"/>
    <w:basedOn w:val="Normal"/>
    <w:rsid w:val="00EE1126"/>
    <w:pPr>
      <w:spacing w:before="120" w:line="240" w:lineRule="auto"/>
      <w:ind w:left="566" w:hanging="283"/>
    </w:pPr>
    <w:rPr>
      <w:sz w:val="24"/>
    </w:rPr>
  </w:style>
  <w:style w:type="paragraph" w:styleId="BodyTextIndent2">
    <w:name w:val="Body Text Indent 2"/>
    <w:basedOn w:val="Normal"/>
    <w:rsid w:val="008B4CF6"/>
    <w:pPr>
      <w:spacing w:after="120" w:line="480" w:lineRule="auto"/>
      <w:ind w:left="283"/>
    </w:pPr>
  </w:style>
  <w:style w:type="paragraph" w:customStyle="1" w:styleId="Formal">
    <w:name w:val="Formal"/>
    <w:basedOn w:val="ASN1"/>
    <w:rsid w:val="008B4CF6"/>
    <w:pPr>
      <w:overflowPunct w:val="0"/>
      <w:autoSpaceDE w:val="0"/>
      <w:autoSpaceDN w:val="0"/>
      <w:adjustRightInd w:val="0"/>
      <w:textAlignment w:val="baseline"/>
    </w:pPr>
    <w:rPr>
      <w:b w:val="0"/>
      <w:lang w:val="en-US"/>
    </w:rPr>
  </w:style>
  <w:style w:type="paragraph" w:customStyle="1" w:styleId="FigureNo">
    <w:name w:val="Figure_No"/>
    <w:basedOn w:val="Normal"/>
    <w:next w:val="Figuretitle"/>
    <w:uiPriority w:val="99"/>
    <w:rsid w:val="000E4393"/>
    <w:pPr>
      <w:keepNext/>
      <w:keepLines/>
      <w:spacing w:before="480" w:after="120" w:line="240" w:lineRule="auto"/>
      <w:jc w:val="center"/>
    </w:pPr>
    <w:rPr>
      <w:caps/>
      <w:sz w:val="24"/>
      <w:lang w:val="en-GB"/>
    </w:rPr>
  </w:style>
  <w:style w:type="paragraph" w:customStyle="1" w:styleId="Figuretitle">
    <w:name w:val="Figure_title"/>
    <w:basedOn w:val="Normal"/>
    <w:next w:val="Normal"/>
    <w:rsid w:val="000E4393"/>
    <w:pPr>
      <w:keepLines/>
      <w:spacing w:before="0" w:after="480" w:line="240" w:lineRule="auto"/>
      <w:jc w:val="center"/>
    </w:pPr>
    <w:rPr>
      <w:rFonts w:ascii="Times New Roman Bold" w:hAnsi="Times New Roman Bold"/>
      <w:b/>
      <w:sz w:val="24"/>
      <w:lang w:val="en-GB"/>
    </w:rPr>
  </w:style>
  <w:style w:type="paragraph" w:customStyle="1" w:styleId="AppendixNo">
    <w:name w:val="Appendix_No"/>
    <w:basedOn w:val="Normal"/>
    <w:next w:val="Normal"/>
    <w:uiPriority w:val="99"/>
    <w:rsid w:val="000E4393"/>
    <w:pPr>
      <w:keepNext/>
      <w:keepLines/>
      <w:spacing w:before="480" w:after="80" w:line="240" w:lineRule="auto"/>
      <w:jc w:val="center"/>
    </w:pPr>
    <w:rPr>
      <w:caps/>
      <w:sz w:val="28"/>
      <w:lang w:val="en-GB"/>
    </w:rPr>
  </w:style>
  <w:style w:type="paragraph" w:customStyle="1" w:styleId="Appendixtitle">
    <w:name w:val="Appendix_title"/>
    <w:basedOn w:val="Normal"/>
    <w:next w:val="Normal"/>
    <w:uiPriority w:val="99"/>
    <w:rsid w:val="000E4393"/>
    <w:pPr>
      <w:keepNext/>
      <w:keepLines/>
      <w:spacing w:before="240" w:after="280" w:line="240" w:lineRule="auto"/>
      <w:jc w:val="center"/>
    </w:pPr>
    <w:rPr>
      <w:rFonts w:ascii="Times New Roman Bold" w:hAnsi="Times New Roman Bold"/>
      <w:b/>
      <w:sz w:val="28"/>
      <w:lang w:val="en-GB"/>
    </w:rPr>
  </w:style>
  <w:style w:type="character" w:customStyle="1" w:styleId="FooterChar">
    <w:name w:val="Footer Char"/>
    <w:basedOn w:val="DefaultParagraphFont"/>
    <w:link w:val="Footer"/>
    <w:rsid w:val="00AA1264"/>
    <w:rPr>
      <w:rFonts w:ascii="Times New Roman" w:hAnsi="Times New Roman"/>
      <w:sz w:val="22"/>
      <w:lang w:val="fr-FR" w:eastAsia="en-US"/>
    </w:rPr>
  </w:style>
  <w:style w:type="character" w:customStyle="1" w:styleId="HeaderChar">
    <w:name w:val="Header Char"/>
    <w:basedOn w:val="DefaultParagraphFont"/>
    <w:link w:val="Header"/>
    <w:rsid w:val="00AA1264"/>
    <w:rPr>
      <w:rFonts w:ascii="Times New Roman" w:hAnsi="Times New Roman"/>
      <w:sz w:val="18"/>
      <w:lang w:val="fr-FR" w:eastAsia="en-US"/>
    </w:rPr>
  </w:style>
  <w:style w:type="character" w:customStyle="1" w:styleId="BodyTextChar">
    <w:name w:val="Body Text Char"/>
    <w:basedOn w:val="DefaultParagraphFont"/>
    <w:link w:val="BodyText"/>
    <w:uiPriority w:val="1"/>
    <w:rsid w:val="00EA2A26"/>
    <w:rPr>
      <w:rFonts w:ascii="Arial" w:hAnsi="Arial" w:cs="Arial"/>
      <w:b/>
      <w:bCs/>
      <w:sz w:val="36"/>
      <w:lang w:val="fr-FR" w:eastAsia="en-US"/>
    </w:rPr>
  </w:style>
  <w:style w:type="paragraph" w:styleId="CommentSubject">
    <w:name w:val="annotation subject"/>
    <w:basedOn w:val="CommentText"/>
    <w:next w:val="CommentText"/>
    <w:link w:val="CommentSubjectChar"/>
    <w:semiHidden/>
    <w:unhideWhenUsed/>
    <w:rsid w:val="00256336"/>
    <w:pPr>
      <w:spacing w:line="240" w:lineRule="auto"/>
    </w:pPr>
    <w:rPr>
      <w:b/>
      <w:bCs/>
    </w:rPr>
  </w:style>
  <w:style w:type="character" w:customStyle="1" w:styleId="CommentTextChar">
    <w:name w:val="Comment Text Char"/>
    <w:basedOn w:val="DefaultParagraphFont"/>
    <w:link w:val="CommentText"/>
    <w:semiHidden/>
    <w:rsid w:val="00256336"/>
    <w:rPr>
      <w:rFonts w:ascii="Times New Roman" w:hAnsi="Times New Roman"/>
      <w:lang w:val="fr-FR" w:eastAsia="en-US"/>
    </w:rPr>
  </w:style>
  <w:style w:type="character" w:customStyle="1" w:styleId="CommentSubjectChar">
    <w:name w:val="Comment Subject Char"/>
    <w:basedOn w:val="CommentTextChar"/>
    <w:link w:val="CommentSubject"/>
    <w:semiHidden/>
    <w:rsid w:val="00256336"/>
    <w:rPr>
      <w:rFonts w:ascii="Times New Roman" w:hAnsi="Times New Roman"/>
      <w:b/>
      <w:bCs/>
      <w:lang w:val="fr-FR" w:eastAsia="en-US"/>
    </w:rPr>
  </w:style>
  <w:style w:type="character" w:customStyle="1" w:styleId="TabletextChar">
    <w:name w:val="Table_text Char"/>
    <w:link w:val="Tabletext"/>
    <w:qFormat/>
    <w:locked/>
    <w:rsid w:val="00DD5D50"/>
    <w:rPr>
      <w:rFonts w:ascii="Times New Roman" w:hAnsi="Times New Roman"/>
      <w:lang w:val="fr-FR" w:eastAsia="en-US"/>
    </w:rPr>
  </w:style>
  <w:style w:type="paragraph" w:customStyle="1" w:styleId="Normalaftertitle00">
    <w:name w:val="Normal after title00"/>
    <w:basedOn w:val="Normal"/>
    <w:next w:val="Normal"/>
    <w:rsid w:val="00DD5D50"/>
    <w:pPr>
      <w:tabs>
        <w:tab w:val="clear" w:pos="794"/>
        <w:tab w:val="clear" w:pos="1191"/>
        <w:tab w:val="clear" w:pos="1588"/>
        <w:tab w:val="clear" w:pos="1985"/>
        <w:tab w:val="left" w:pos="1134"/>
        <w:tab w:val="left" w:pos="1871"/>
        <w:tab w:val="left" w:pos="2268"/>
      </w:tabs>
      <w:spacing w:before="280" w:line="240" w:lineRule="auto"/>
      <w:jc w:val="left"/>
    </w:pPr>
    <w:rPr>
      <w:rFonts w:eastAsia="MS Mincho"/>
      <w:sz w:val="24"/>
      <w:lang w:val="en-GB"/>
    </w:rPr>
  </w:style>
  <w:style w:type="paragraph" w:customStyle="1" w:styleId="Reasons">
    <w:name w:val="Reasons"/>
    <w:basedOn w:val="Normal"/>
    <w:uiPriority w:val="99"/>
    <w:qFormat/>
    <w:rsid w:val="00077A2D"/>
    <w:pPr>
      <w:tabs>
        <w:tab w:val="clear" w:pos="794"/>
        <w:tab w:val="clear" w:pos="1191"/>
        <w:tab w:val="left" w:pos="1134"/>
      </w:tabs>
      <w:spacing w:before="120" w:line="240" w:lineRule="auto"/>
      <w:jc w:val="left"/>
    </w:pPr>
    <w:rPr>
      <w:sz w:val="24"/>
      <w:lang w:val="en-GB"/>
    </w:rPr>
  </w:style>
  <w:style w:type="paragraph" w:customStyle="1" w:styleId="Normalaftertitle01">
    <w:name w:val="Normal after title0"/>
    <w:basedOn w:val="Normal"/>
    <w:next w:val="Normal"/>
    <w:rsid w:val="00E91696"/>
    <w:pPr>
      <w:tabs>
        <w:tab w:val="clear" w:pos="794"/>
        <w:tab w:val="clear" w:pos="1191"/>
        <w:tab w:val="clear" w:pos="1588"/>
        <w:tab w:val="clear" w:pos="1985"/>
        <w:tab w:val="left" w:pos="1134"/>
        <w:tab w:val="left" w:pos="1871"/>
        <w:tab w:val="left" w:pos="2268"/>
      </w:tabs>
      <w:spacing w:before="280" w:line="240" w:lineRule="auto"/>
      <w:jc w:val="left"/>
    </w:pPr>
    <w:rPr>
      <w:sz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header" Target="header7.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footer" Target="footer7.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footer" Target="footer4.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yammouni\AppData\Roaming\Microsoft\Templates\Livre_jaun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Livre_jaune.dot</Template>
  <TotalTime>5</TotalTime>
  <Pages>5</Pages>
  <Words>1397</Words>
  <Characters>7645</Characters>
  <Application>Microsoft Office Word</Application>
  <DocSecurity>0</DocSecurity>
  <Lines>63</Lines>
  <Paragraphs>18</Paragraphs>
  <ScaleCrop>false</ScaleCrop>
  <HeadingPairs>
    <vt:vector size="2" baseType="variant">
      <vt:variant>
        <vt:lpstr>Title</vt:lpstr>
      </vt:variant>
      <vt:variant>
        <vt:i4>1</vt:i4>
      </vt:variant>
    </vt:vector>
  </HeadingPairs>
  <TitlesOfParts>
    <vt:vector size="1" baseType="lpstr">
      <vt:lpstr>Resolución 32 – Fortalecimiento de los métodos de trabajo electrónicos del Sector de Normalización de las Telecomunicaciones de la UIT</vt:lpstr>
    </vt:vector>
  </TitlesOfParts>
  <Company>ITU</Company>
  <LinksUpToDate>false</LinksUpToDate>
  <CharactersWithSpaces>9024</CharactersWithSpaces>
  <SharedDoc>false</SharedDoc>
  <HLinks>
    <vt:vector size="6" baseType="variant">
      <vt:variant>
        <vt:i4>5832781</vt:i4>
      </vt:variant>
      <vt:variant>
        <vt:i4>2</vt:i4>
      </vt:variant>
      <vt:variant>
        <vt:i4>0</vt:i4>
      </vt:variant>
      <vt:variant>
        <vt:i4>5</vt:i4>
      </vt:variant>
      <vt:variant>
        <vt:lpwstr>http://www.itu.int/ITU-T/ipr/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Resolución 74 – Mejora de la participación de Miembros de Sector de los países en desarrollo en la labor del Sector de Normalización de las Telecomunicaciones de la UIT</dc:title>
  <dc:subject>WORLD TELECOMMUNICATION STANDARDIZATION ASSEMBLY - Florianópolis, 5-14 October 2004</dc:subject>
  <dc:creator>ITU-T</dc:creator>
  <cp:keywords>WTSA-24 New Delhi, 15-24 October 2024</cp:keywords>
  <dc:description/>
  <cp:lastModifiedBy>Catalano Moreira, Rossana</cp:lastModifiedBy>
  <cp:revision>7</cp:revision>
  <cp:lastPrinted>2024-11-27T13:02:00Z</cp:lastPrinted>
  <dcterms:created xsi:type="dcterms:W3CDTF">2024-11-27T12:59:00Z</dcterms:created>
  <dcterms:modified xsi:type="dcterms:W3CDTF">2024-11-27T13:04:00Z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