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48" w:type="dxa"/>
        <w:tblLayout w:type="fixed"/>
        <w:tblLook w:val="0000" w:firstRow="0" w:lastRow="0" w:firstColumn="0" w:lastColumn="0" w:noHBand="0" w:noVBand="0"/>
      </w:tblPr>
      <w:tblGrid>
        <w:gridCol w:w="1418"/>
        <w:gridCol w:w="10"/>
        <w:gridCol w:w="2508"/>
        <w:gridCol w:w="2041"/>
        <w:gridCol w:w="3971"/>
      </w:tblGrid>
      <w:tr w:rsidR="00FB6D55" w:rsidRPr="003518D5" w14:paraId="6D5FF25C" w14:textId="77777777">
        <w:trPr>
          <w:trHeight w:hRule="exact" w:val="1418"/>
        </w:trPr>
        <w:tc>
          <w:tcPr>
            <w:tcW w:w="1428" w:type="dxa"/>
            <w:gridSpan w:val="2"/>
          </w:tcPr>
          <w:p w14:paraId="31646A51" w14:textId="77777777" w:rsidR="00FB6D55" w:rsidRPr="003518D5" w:rsidRDefault="00E5178C" w:rsidP="00223031">
            <w:pPr>
              <w:pStyle w:val="Note"/>
            </w:pPr>
            <w:r>
              <w:rPr>
                <w:noProof/>
                <w:lang w:val="en-GB" w:eastAsia="zh-CN"/>
              </w:rPr>
              <w:drawing>
                <wp:anchor distT="0" distB="0" distL="114300" distR="114300" simplePos="0" relativeHeight="251656704" behindDoc="0" locked="0" layoutInCell="0" allowOverlap="1" wp14:anchorId="5C59629E" wp14:editId="6C291C5D">
                  <wp:simplePos x="0" y="0"/>
                  <wp:positionH relativeFrom="column">
                    <wp:posOffset>-1009650</wp:posOffset>
                  </wp:positionH>
                  <wp:positionV relativeFrom="paragraph">
                    <wp:posOffset>-681355</wp:posOffset>
                  </wp:positionV>
                  <wp:extent cx="1612900" cy="1082865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2900" cy="10828655"/>
                          </a:xfrm>
                          <a:prstGeom prst="rect">
                            <a:avLst/>
                          </a:prstGeom>
                          <a:noFill/>
                        </pic:spPr>
                      </pic:pic>
                    </a:graphicData>
                  </a:graphic>
                  <wp14:sizeRelH relativeFrom="page">
                    <wp14:pctWidth>0</wp14:pctWidth>
                  </wp14:sizeRelH>
                  <wp14:sizeRelV relativeFrom="page">
                    <wp14:pctHeight>0</wp14:pctHeight>
                  </wp14:sizeRelV>
                </wp:anchor>
              </w:drawing>
            </w:r>
          </w:p>
          <w:p w14:paraId="744F717A" w14:textId="77777777" w:rsidR="00FB6D55" w:rsidRPr="003518D5" w:rsidRDefault="00FB6D55">
            <w:pPr>
              <w:spacing w:before="0"/>
              <w:rPr>
                <w:b/>
                <w:sz w:val="16"/>
              </w:rPr>
            </w:pPr>
          </w:p>
        </w:tc>
        <w:tc>
          <w:tcPr>
            <w:tcW w:w="8520" w:type="dxa"/>
            <w:gridSpan w:val="3"/>
          </w:tcPr>
          <w:p w14:paraId="26C13D2C" w14:textId="77777777" w:rsidR="00FB6D55" w:rsidRPr="003518D5" w:rsidRDefault="00FB6D55">
            <w:pPr>
              <w:spacing w:before="0"/>
            </w:pPr>
          </w:p>
          <w:p w14:paraId="5E549188" w14:textId="77777777" w:rsidR="00FB6D55" w:rsidRPr="003518D5" w:rsidRDefault="00FB6D55">
            <w:pPr>
              <w:spacing w:before="284"/>
              <w:rPr>
                <w:rFonts w:ascii="Arial" w:hAnsi="Arial" w:cs="Arial"/>
                <w:b/>
                <w:bCs/>
                <w:spacing w:val="80"/>
                <w:sz w:val="18"/>
              </w:rPr>
            </w:pPr>
            <w:r w:rsidRPr="003518D5">
              <w:rPr>
                <w:rFonts w:ascii="Arial" w:hAnsi="Arial" w:cs="Arial"/>
                <w:b/>
                <w:bCs/>
                <w:color w:val="808080"/>
                <w:spacing w:val="80"/>
              </w:rPr>
              <w:t>Unión Internacional de Telecomunicaciones</w:t>
            </w:r>
          </w:p>
        </w:tc>
      </w:tr>
      <w:tr w:rsidR="00FB6D55" w:rsidRPr="003518D5" w14:paraId="03AC2814" w14:textId="77777777">
        <w:trPr>
          <w:trHeight w:hRule="exact" w:val="992"/>
        </w:trPr>
        <w:tc>
          <w:tcPr>
            <w:tcW w:w="1428" w:type="dxa"/>
            <w:gridSpan w:val="2"/>
          </w:tcPr>
          <w:p w14:paraId="14E1991A" w14:textId="77777777" w:rsidR="00FB6D55" w:rsidRPr="003518D5" w:rsidRDefault="00FB6D55">
            <w:pPr>
              <w:spacing w:before="0"/>
            </w:pPr>
          </w:p>
        </w:tc>
        <w:tc>
          <w:tcPr>
            <w:tcW w:w="8520" w:type="dxa"/>
            <w:gridSpan w:val="3"/>
          </w:tcPr>
          <w:p w14:paraId="2DBB40A8" w14:textId="77777777" w:rsidR="00FB6D55" w:rsidRPr="003518D5" w:rsidRDefault="00FB6D55"/>
        </w:tc>
      </w:tr>
      <w:tr w:rsidR="00FB6D55" w:rsidRPr="003518D5" w14:paraId="123112C6" w14:textId="77777777">
        <w:tblPrEx>
          <w:tblCellMar>
            <w:left w:w="85" w:type="dxa"/>
            <w:right w:w="85" w:type="dxa"/>
          </w:tblCellMar>
        </w:tblPrEx>
        <w:trPr>
          <w:gridBefore w:val="2"/>
          <w:wBefore w:w="1428" w:type="dxa"/>
        </w:trPr>
        <w:tc>
          <w:tcPr>
            <w:tcW w:w="2508" w:type="dxa"/>
          </w:tcPr>
          <w:p w14:paraId="7E8A3FD5" w14:textId="77777777" w:rsidR="00FB6D55" w:rsidRPr="003518D5" w:rsidRDefault="00FB6D55">
            <w:pPr>
              <w:rPr>
                <w:b/>
                <w:sz w:val="18"/>
              </w:rPr>
            </w:pPr>
            <w:bookmarkStart w:id="0" w:name="dnums" w:colFirst="1" w:colLast="1"/>
            <w:r w:rsidRPr="003518D5">
              <w:rPr>
                <w:rFonts w:ascii="Arial" w:hAnsi="Arial"/>
                <w:b/>
                <w:spacing w:val="40"/>
                <w:sz w:val="72"/>
              </w:rPr>
              <w:t>UIT-T</w:t>
            </w:r>
          </w:p>
        </w:tc>
        <w:tc>
          <w:tcPr>
            <w:tcW w:w="6012" w:type="dxa"/>
            <w:gridSpan w:val="2"/>
          </w:tcPr>
          <w:p w14:paraId="18BFD3E7" w14:textId="77777777" w:rsidR="00FB6D55" w:rsidRPr="003518D5" w:rsidRDefault="00FB6D55">
            <w:pPr>
              <w:spacing w:before="240"/>
              <w:jc w:val="right"/>
              <w:rPr>
                <w:rFonts w:ascii="Arial" w:hAnsi="Arial" w:cs="Arial"/>
                <w:b/>
                <w:sz w:val="60"/>
              </w:rPr>
            </w:pPr>
          </w:p>
        </w:tc>
      </w:tr>
      <w:tr w:rsidR="00FB6D55" w:rsidRPr="003518D5" w14:paraId="735E4505" w14:textId="77777777">
        <w:tblPrEx>
          <w:tblCellMar>
            <w:left w:w="85" w:type="dxa"/>
            <w:right w:w="85" w:type="dxa"/>
          </w:tblCellMar>
        </w:tblPrEx>
        <w:trPr>
          <w:gridBefore w:val="2"/>
          <w:wBefore w:w="1428" w:type="dxa"/>
          <w:trHeight w:val="974"/>
        </w:trPr>
        <w:tc>
          <w:tcPr>
            <w:tcW w:w="4549" w:type="dxa"/>
            <w:gridSpan w:val="2"/>
          </w:tcPr>
          <w:p w14:paraId="7FA9DED6" w14:textId="77777777" w:rsidR="00FB6D55" w:rsidRPr="003518D5" w:rsidRDefault="00FB6D55">
            <w:pPr>
              <w:jc w:val="left"/>
              <w:rPr>
                <w:b/>
                <w:sz w:val="18"/>
              </w:rPr>
            </w:pPr>
            <w:bookmarkStart w:id="1" w:name="ddates" w:colFirst="1" w:colLast="1"/>
            <w:bookmarkEnd w:id="0"/>
            <w:proofErr w:type="gramStart"/>
            <w:r w:rsidRPr="003518D5">
              <w:rPr>
                <w:rFonts w:ascii="Arial" w:hAnsi="Arial"/>
                <w:sz w:val="20"/>
              </w:rPr>
              <w:t>SECTOR  DE</w:t>
            </w:r>
            <w:proofErr w:type="gramEnd"/>
            <w:r w:rsidRPr="003518D5">
              <w:rPr>
                <w:rFonts w:ascii="Arial" w:hAnsi="Arial"/>
                <w:sz w:val="20"/>
              </w:rPr>
              <w:t xml:space="preserve">  NORMALIZACIÓN</w:t>
            </w:r>
            <w:r w:rsidRPr="003518D5">
              <w:rPr>
                <w:rFonts w:ascii="Arial" w:hAnsi="Arial" w:cs="Arial"/>
                <w:sz w:val="20"/>
              </w:rPr>
              <w:br/>
            </w:r>
            <w:r w:rsidRPr="003518D5">
              <w:rPr>
                <w:rFonts w:ascii="Arial" w:hAnsi="Arial"/>
                <w:sz w:val="20"/>
              </w:rPr>
              <w:t>DE  LAS  TELECOMUNICACIONES</w:t>
            </w:r>
            <w:r w:rsidRPr="003518D5">
              <w:rPr>
                <w:rFonts w:ascii="Arial" w:hAnsi="Arial"/>
                <w:sz w:val="20"/>
              </w:rPr>
              <w:br/>
              <w:t>DE  LA  UIT</w:t>
            </w:r>
          </w:p>
        </w:tc>
        <w:tc>
          <w:tcPr>
            <w:tcW w:w="3971" w:type="dxa"/>
          </w:tcPr>
          <w:p w14:paraId="32D6BEB0" w14:textId="77777777" w:rsidR="00FB6D55" w:rsidRPr="003518D5" w:rsidRDefault="00FB6D55" w:rsidP="00FB6D55">
            <w:pPr>
              <w:spacing w:before="0"/>
              <w:jc w:val="right"/>
              <w:rPr>
                <w:rFonts w:ascii="Arial" w:hAnsi="Arial" w:cs="Arial"/>
                <w:sz w:val="28"/>
              </w:rPr>
            </w:pPr>
            <w:r w:rsidRPr="003518D5">
              <w:rPr>
                <w:rFonts w:ascii="Arial" w:hAnsi="Arial" w:cs="Arial"/>
                <w:sz w:val="28"/>
              </w:rPr>
              <w:t xml:space="preserve">   </w:t>
            </w:r>
          </w:p>
        </w:tc>
      </w:tr>
      <w:tr w:rsidR="00FB6D55" w:rsidRPr="003518D5" w14:paraId="121DE7FC" w14:textId="77777777">
        <w:trPr>
          <w:cantSplit/>
          <w:trHeight w:hRule="exact" w:val="3402"/>
        </w:trPr>
        <w:tc>
          <w:tcPr>
            <w:tcW w:w="1418" w:type="dxa"/>
          </w:tcPr>
          <w:p w14:paraId="028ABDEB" w14:textId="77777777" w:rsidR="00FB6D55" w:rsidRPr="003518D5" w:rsidRDefault="00FB6D55">
            <w:pPr>
              <w:tabs>
                <w:tab w:val="right" w:pos="9639"/>
              </w:tabs>
              <w:rPr>
                <w:rFonts w:ascii="Arial" w:hAnsi="Arial"/>
                <w:sz w:val="18"/>
              </w:rPr>
            </w:pPr>
            <w:bookmarkStart w:id="2" w:name="dsecs" w:colFirst="1" w:colLast="1"/>
            <w:bookmarkEnd w:id="1"/>
          </w:p>
        </w:tc>
        <w:tc>
          <w:tcPr>
            <w:tcW w:w="8530" w:type="dxa"/>
            <w:gridSpan w:val="4"/>
            <w:tcBorders>
              <w:bottom w:val="single" w:sz="12" w:space="0" w:color="auto"/>
            </w:tcBorders>
            <w:vAlign w:val="bottom"/>
          </w:tcPr>
          <w:p w14:paraId="1FA47F78" w14:textId="77777777" w:rsidR="00FB6D55" w:rsidRPr="003518D5" w:rsidRDefault="004F1EA7" w:rsidP="004F1EA7">
            <w:pPr>
              <w:tabs>
                <w:tab w:val="right" w:pos="9639"/>
              </w:tabs>
              <w:jc w:val="left"/>
              <w:rPr>
                <w:rFonts w:ascii="Arial" w:hAnsi="Arial" w:cs="Arial"/>
                <w:sz w:val="32"/>
              </w:rPr>
            </w:pPr>
            <w:r w:rsidRPr="004F1EA7">
              <w:rPr>
                <w:rFonts w:ascii="Arial" w:hAnsi="Arial" w:cs="Arial"/>
                <w:sz w:val="32"/>
              </w:rPr>
              <w:t>ASAMBLEA MUNDIAL DE NORMALIZACIÓN DE LAS TELECOMUNICACIONES</w:t>
            </w:r>
          </w:p>
          <w:p w14:paraId="04BAE0B0" w14:textId="021939E7" w:rsidR="00FB6D55" w:rsidRPr="003518D5" w:rsidRDefault="00100C95" w:rsidP="00D5161F">
            <w:pPr>
              <w:tabs>
                <w:tab w:val="right" w:pos="9639"/>
              </w:tabs>
              <w:jc w:val="left"/>
              <w:rPr>
                <w:rFonts w:ascii="Arial" w:hAnsi="Arial" w:cs="Arial"/>
                <w:sz w:val="32"/>
              </w:rPr>
            </w:pPr>
            <w:r>
              <w:rPr>
                <w:rFonts w:ascii="Arial" w:hAnsi="Arial" w:cs="Arial"/>
                <w:sz w:val="32"/>
                <w:lang w:val="es-ES"/>
              </w:rPr>
              <w:t>Ginebra</w:t>
            </w:r>
            <w:r w:rsidR="004F1EA7" w:rsidRPr="006C62D4">
              <w:rPr>
                <w:rFonts w:ascii="Arial" w:hAnsi="Arial" w:cs="Arial"/>
                <w:sz w:val="32"/>
                <w:lang w:val="es-ES"/>
              </w:rPr>
              <w:t xml:space="preserve">, </w:t>
            </w:r>
            <w:r w:rsidRPr="00100C95">
              <w:rPr>
                <w:rFonts w:ascii="Arial" w:hAnsi="Arial" w:cs="Arial"/>
                <w:sz w:val="32"/>
                <w:lang w:val="es-ES"/>
              </w:rPr>
              <w:t>1-9 de marzo de 2022</w:t>
            </w:r>
          </w:p>
          <w:p w14:paraId="104A6C00" w14:textId="77777777" w:rsidR="00FB6D55" w:rsidRPr="003518D5" w:rsidRDefault="00FB6D55" w:rsidP="00FB6D55">
            <w:pPr>
              <w:tabs>
                <w:tab w:val="right" w:pos="9639"/>
              </w:tabs>
              <w:jc w:val="left"/>
              <w:rPr>
                <w:rFonts w:ascii="Arial" w:hAnsi="Arial" w:cs="Arial"/>
                <w:sz w:val="32"/>
              </w:rPr>
            </w:pPr>
          </w:p>
        </w:tc>
      </w:tr>
      <w:tr w:rsidR="00FB6D55" w:rsidRPr="003518D5" w14:paraId="6398E4B4" w14:textId="77777777">
        <w:trPr>
          <w:cantSplit/>
          <w:trHeight w:hRule="exact" w:val="4536"/>
        </w:trPr>
        <w:tc>
          <w:tcPr>
            <w:tcW w:w="1418" w:type="dxa"/>
          </w:tcPr>
          <w:p w14:paraId="205979ED" w14:textId="77777777" w:rsidR="00FB6D55" w:rsidRPr="003518D5" w:rsidRDefault="00FB6D55">
            <w:pPr>
              <w:tabs>
                <w:tab w:val="right" w:pos="9639"/>
              </w:tabs>
              <w:rPr>
                <w:rFonts w:ascii="Arial" w:hAnsi="Arial"/>
                <w:sz w:val="18"/>
              </w:rPr>
            </w:pPr>
            <w:bookmarkStart w:id="3" w:name="c1tits" w:colFirst="1" w:colLast="1"/>
            <w:bookmarkEnd w:id="2"/>
          </w:p>
        </w:tc>
        <w:tc>
          <w:tcPr>
            <w:tcW w:w="8530" w:type="dxa"/>
            <w:gridSpan w:val="4"/>
          </w:tcPr>
          <w:p w14:paraId="23A74899" w14:textId="537CE78B" w:rsidR="00FB6D55" w:rsidRPr="003518D5" w:rsidRDefault="004F1EA7" w:rsidP="0028582D">
            <w:pPr>
              <w:tabs>
                <w:tab w:val="right" w:pos="9639"/>
              </w:tabs>
              <w:jc w:val="left"/>
              <w:rPr>
                <w:rFonts w:ascii="Arial" w:hAnsi="Arial" w:cs="Arial"/>
                <w:b/>
                <w:bCs/>
                <w:sz w:val="36"/>
                <w:szCs w:val="36"/>
              </w:rPr>
            </w:pPr>
            <w:r w:rsidRPr="004F1EA7">
              <w:rPr>
                <w:rFonts w:ascii="Arial" w:hAnsi="Arial" w:cs="Arial"/>
                <w:b/>
                <w:bCs/>
                <w:sz w:val="36"/>
                <w:szCs w:val="36"/>
              </w:rPr>
              <w:t xml:space="preserve">Resolución </w:t>
            </w:r>
            <w:r w:rsidR="00C82CB8">
              <w:rPr>
                <w:rFonts w:ascii="Arial" w:hAnsi="Arial" w:cs="Arial"/>
                <w:b/>
                <w:bCs/>
                <w:sz w:val="36"/>
                <w:szCs w:val="36"/>
              </w:rPr>
              <w:t>74</w:t>
            </w:r>
            <w:r w:rsidR="0028582D">
              <w:rPr>
                <w:rFonts w:ascii="Arial" w:hAnsi="Arial" w:cs="Arial"/>
                <w:b/>
                <w:bCs/>
                <w:sz w:val="36"/>
                <w:szCs w:val="36"/>
              </w:rPr>
              <w:t xml:space="preserve"> – </w:t>
            </w:r>
            <w:r w:rsidR="00C861F7" w:rsidRPr="00C861F7">
              <w:rPr>
                <w:rFonts w:ascii="Arial" w:hAnsi="Arial" w:cs="Arial"/>
                <w:b/>
                <w:bCs/>
                <w:sz w:val="36"/>
                <w:szCs w:val="36"/>
              </w:rPr>
              <w:t>Mejora de la participación de Miembros de Sector de los países en desarrollo en la labor del Sector de Normalización de las Telecomunicaciones de la UIT</w:t>
            </w:r>
          </w:p>
        </w:tc>
      </w:tr>
      <w:bookmarkEnd w:id="3"/>
      <w:tr w:rsidR="008028AE" w:rsidRPr="00F4281C" w14:paraId="51997BDD" w14:textId="77777777" w:rsidTr="00F431E4">
        <w:trPr>
          <w:cantSplit/>
          <w:trHeight w:hRule="exact" w:val="1418"/>
        </w:trPr>
        <w:tc>
          <w:tcPr>
            <w:tcW w:w="1418" w:type="dxa"/>
          </w:tcPr>
          <w:p w14:paraId="7B8AC666" w14:textId="77777777" w:rsidR="008028AE" w:rsidRPr="0028582D" w:rsidRDefault="008028AE" w:rsidP="00F431E4">
            <w:pPr>
              <w:tabs>
                <w:tab w:val="right" w:pos="9639"/>
              </w:tabs>
              <w:rPr>
                <w:rFonts w:ascii="Arial" w:hAnsi="Arial"/>
                <w:sz w:val="18"/>
              </w:rPr>
            </w:pPr>
          </w:p>
        </w:tc>
        <w:tc>
          <w:tcPr>
            <w:tcW w:w="8530" w:type="dxa"/>
            <w:gridSpan w:val="4"/>
            <w:vAlign w:val="bottom"/>
          </w:tcPr>
          <w:p w14:paraId="15EA1E4F" w14:textId="77777777" w:rsidR="00FD6CCF" w:rsidRPr="0028582D" w:rsidRDefault="00FD6CCF" w:rsidP="00F431E4">
            <w:pPr>
              <w:tabs>
                <w:tab w:val="right" w:pos="9639"/>
              </w:tabs>
              <w:jc w:val="left"/>
              <w:rPr>
                <w:rFonts w:ascii="Arial" w:hAnsi="Arial"/>
                <w:sz w:val="18"/>
              </w:rPr>
            </w:pPr>
            <w:bookmarkStart w:id="4" w:name="dnum2e"/>
            <w:bookmarkEnd w:id="4"/>
          </w:p>
        </w:tc>
      </w:tr>
    </w:tbl>
    <w:p w14:paraId="749A6025" w14:textId="07EFCB99" w:rsidR="008028AE" w:rsidRPr="0028582D" w:rsidRDefault="00100C95" w:rsidP="008028AE">
      <w:pPr>
        <w:tabs>
          <w:tab w:val="right" w:pos="9639"/>
        </w:tabs>
        <w:spacing w:before="240"/>
        <w:jc w:val="right"/>
        <w:rPr>
          <w:sz w:val="20"/>
        </w:rPr>
      </w:pPr>
      <w:bookmarkStart w:id="5" w:name="c2tope"/>
      <w:bookmarkEnd w:id="5"/>
      <w:r>
        <w:rPr>
          <w:noProof/>
        </w:rPr>
        <w:drawing>
          <wp:inline distT="0" distB="0" distL="0" distR="0" wp14:anchorId="0F884233" wp14:editId="79606315">
            <wp:extent cx="769620" cy="780415"/>
            <wp:effectExtent l="0" t="0" r="0" b="0"/>
            <wp:docPr id="25" name="Picture 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9620" cy="780415"/>
                    </a:xfrm>
                    <a:prstGeom prst="rect">
                      <a:avLst/>
                    </a:prstGeom>
                    <a:noFill/>
                    <a:ln>
                      <a:noFill/>
                    </a:ln>
                  </pic:spPr>
                </pic:pic>
              </a:graphicData>
            </a:graphic>
          </wp:inline>
        </w:drawing>
      </w:r>
    </w:p>
    <w:p w14:paraId="6167741C" w14:textId="77777777" w:rsidR="008028AE" w:rsidRDefault="008028AE" w:rsidP="006C62D4">
      <w:pPr>
        <w:spacing w:before="480" w:line="240" w:lineRule="exact"/>
        <w:jc w:val="center"/>
        <w:rPr>
          <w:szCs w:val="22"/>
        </w:rPr>
        <w:sectPr w:rsidR="008028AE" w:rsidSect="00C861F7">
          <w:pgSz w:w="11907" w:h="16840" w:code="9"/>
          <w:pgMar w:top="1089" w:right="1089" w:bottom="284" w:left="1089" w:header="284" w:footer="284" w:gutter="0"/>
          <w:pgNumType w:start="1"/>
          <w:cols w:space="720"/>
        </w:sectPr>
      </w:pPr>
      <w:bookmarkStart w:id="6" w:name="c2tops"/>
      <w:bookmarkEnd w:id="6"/>
    </w:p>
    <w:p w14:paraId="58DE3C00" w14:textId="77777777" w:rsidR="006C62D4" w:rsidRPr="00AC4414" w:rsidRDefault="006C62D4" w:rsidP="00812CE2">
      <w:pPr>
        <w:spacing w:before="0" w:line="240" w:lineRule="exact"/>
        <w:jc w:val="center"/>
        <w:rPr>
          <w:szCs w:val="22"/>
        </w:rPr>
      </w:pPr>
      <w:r w:rsidRPr="00AC4414">
        <w:rPr>
          <w:szCs w:val="22"/>
        </w:rPr>
        <w:lastRenderedPageBreak/>
        <w:t>PREFACIO</w:t>
      </w:r>
    </w:p>
    <w:p w14:paraId="60B0A011" w14:textId="77777777" w:rsidR="00D976F2" w:rsidRPr="00D976F2" w:rsidRDefault="00D976F2" w:rsidP="00D976F2">
      <w:pPr>
        <w:spacing w:line="240" w:lineRule="exact"/>
        <w:rPr>
          <w:sz w:val="20"/>
        </w:rPr>
      </w:pPr>
      <w:r w:rsidRPr="00D976F2">
        <w:rPr>
          <w:sz w:val="20"/>
        </w:rPr>
        <w:t>La Unión Internacional de Telecomunicaciones (UIT) es el organismo especializado de las Naciones Unidas en el campo de las telecomunicaciones y de las tecnologías de la información y la comunicación. El Sector de Normalización de las Telecomunicaciones de la UIT (UIT-T) es un órgano permanente de la UIT. Este órgano estudia los aspectos técnicos, de explotación y tarifarios y publica Recomendaciones sobre los mismos, con miras a la normalización de las telecomunicaciones en el plano mundial.</w:t>
      </w:r>
    </w:p>
    <w:p w14:paraId="72F9A4BC" w14:textId="77777777" w:rsidR="00D976F2" w:rsidRPr="00D976F2" w:rsidRDefault="00D976F2" w:rsidP="00D976F2">
      <w:pPr>
        <w:spacing w:line="240" w:lineRule="exact"/>
        <w:rPr>
          <w:sz w:val="20"/>
        </w:rPr>
      </w:pPr>
      <w:bookmarkStart w:id="7" w:name="iitexts"/>
      <w:r w:rsidRPr="00D976F2">
        <w:rPr>
          <w:sz w:val="20"/>
        </w:rPr>
        <w:t>La Asamblea Mundial de Normalización de las Telecomunicaciones (AMNT), que se celebra cada cuatro años, establece los temas que han de estudiar las Comisiones de Estudio del UIT</w:t>
      </w:r>
      <w:r w:rsidRPr="00D976F2">
        <w:rPr>
          <w:sz w:val="20"/>
        </w:rPr>
        <w:noBreakHyphen/>
        <w:t>T, que a su vez producen Recomendaciones sobre dichos temas.</w:t>
      </w:r>
    </w:p>
    <w:p w14:paraId="6E31A419" w14:textId="77777777" w:rsidR="00D976F2" w:rsidRPr="00D976F2" w:rsidRDefault="00D976F2" w:rsidP="00D976F2">
      <w:pPr>
        <w:spacing w:line="240" w:lineRule="exact"/>
        <w:rPr>
          <w:sz w:val="20"/>
        </w:rPr>
      </w:pPr>
      <w:r w:rsidRPr="00D976F2">
        <w:rPr>
          <w:sz w:val="20"/>
        </w:rPr>
        <w:t>La aprobación de Recomendaciones por los Miembros del UIT</w:t>
      </w:r>
      <w:r w:rsidRPr="00D976F2">
        <w:rPr>
          <w:sz w:val="20"/>
        </w:rPr>
        <w:noBreakHyphen/>
        <w:t>T es el objeto del procedimiento establecido en la Resolución 1 de la AMNT</w:t>
      </w:r>
      <w:bookmarkEnd w:id="7"/>
      <w:r w:rsidRPr="00D976F2">
        <w:rPr>
          <w:sz w:val="20"/>
        </w:rPr>
        <w:t>.</w:t>
      </w:r>
    </w:p>
    <w:p w14:paraId="01715131" w14:textId="77777777" w:rsidR="006C62D4" w:rsidRPr="00143DCC" w:rsidRDefault="00D976F2" w:rsidP="00D976F2">
      <w:pPr>
        <w:spacing w:line="240" w:lineRule="exact"/>
        <w:rPr>
          <w:sz w:val="20"/>
        </w:rPr>
      </w:pPr>
      <w:r w:rsidRPr="00D976F2">
        <w:rPr>
          <w:sz w:val="20"/>
        </w:rPr>
        <w:t>En ciertos sectores de la tecnología de la información que corresponden a la esfera de competencia del UIT</w:t>
      </w:r>
      <w:r w:rsidRPr="00D976F2">
        <w:rPr>
          <w:sz w:val="20"/>
        </w:rPr>
        <w:noBreakHyphen/>
        <w:t>T, se preparan las normas necesarias en colaboración con la ISO y la CEI.</w:t>
      </w:r>
    </w:p>
    <w:p w14:paraId="73446CE2" w14:textId="77777777" w:rsidR="006C62D4" w:rsidRPr="00143DCC" w:rsidRDefault="006C62D4" w:rsidP="006C62D4">
      <w:pPr>
        <w:spacing w:line="240" w:lineRule="exact"/>
        <w:jc w:val="center"/>
        <w:rPr>
          <w:sz w:val="20"/>
        </w:rPr>
      </w:pPr>
    </w:p>
    <w:p w14:paraId="23122120" w14:textId="77777777" w:rsidR="00A5430F" w:rsidRDefault="00A5430F" w:rsidP="006C62D4">
      <w:pPr>
        <w:spacing w:before="480"/>
        <w:jc w:val="center"/>
        <w:rPr>
          <w:sz w:val="18"/>
        </w:rPr>
      </w:pPr>
    </w:p>
    <w:p w14:paraId="098D93C8" w14:textId="77777777" w:rsidR="00A5430F" w:rsidRDefault="00A5430F" w:rsidP="00FB6D55">
      <w:pPr>
        <w:spacing w:before="80" w:after="80"/>
        <w:jc w:val="left"/>
        <w:rPr>
          <w:sz w:val="18"/>
        </w:rPr>
      </w:pPr>
    </w:p>
    <w:p w14:paraId="176B1A41" w14:textId="77777777" w:rsidR="00A5430F" w:rsidRDefault="00A5430F" w:rsidP="00FB6D55">
      <w:pPr>
        <w:spacing w:before="80" w:after="80"/>
        <w:jc w:val="left"/>
        <w:rPr>
          <w:sz w:val="18"/>
        </w:rPr>
      </w:pPr>
    </w:p>
    <w:p w14:paraId="02DAE4BE" w14:textId="77777777" w:rsidR="00C2286E" w:rsidRDefault="00C2286E" w:rsidP="00FB6D55">
      <w:pPr>
        <w:spacing w:before="80" w:after="80"/>
        <w:jc w:val="left"/>
        <w:rPr>
          <w:sz w:val="18"/>
        </w:rPr>
      </w:pPr>
    </w:p>
    <w:p w14:paraId="2285F82F" w14:textId="77777777" w:rsidR="00C2286E" w:rsidRDefault="00C2286E" w:rsidP="00FB6D55">
      <w:pPr>
        <w:spacing w:before="80" w:after="80"/>
        <w:jc w:val="left"/>
        <w:rPr>
          <w:sz w:val="18"/>
        </w:rPr>
      </w:pPr>
    </w:p>
    <w:p w14:paraId="088EEE88" w14:textId="77777777" w:rsidR="00C2286E" w:rsidRDefault="00C2286E" w:rsidP="00FB6D55">
      <w:pPr>
        <w:spacing w:before="80" w:after="80"/>
        <w:jc w:val="left"/>
        <w:rPr>
          <w:sz w:val="18"/>
        </w:rPr>
      </w:pPr>
    </w:p>
    <w:p w14:paraId="6E619E83" w14:textId="77777777" w:rsidR="00C2286E" w:rsidRDefault="00C2286E" w:rsidP="00FB6D55">
      <w:pPr>
        <w:spacing w:before="80" w:after="80"/>
        <w:jc w:val="left"/>
        <w:rPr>
          <w:sz w:val="18"/>
        </w:rPr>
      </w:pPr>
    </w:p>
    <w:p w14:paraId="320AEFE4" w14:textId="77777777" w:rsidR="00C2286E" w:rsidRDefault="00C2286E" w:rsidP="00FB6D55">
      <w:pPr>
        <w:spacing w:before="80" w:after="80"/>
        <w:jc w:val="left"/>
        <w:rPr>
          <w:sz w:val="18"/>
        </w:rPr>
      </w:pPr>
    </w:p>
    <w:p w14:paraId="68A1D1AC" w14:textId="77777777" w:rsidR="00C2286E" w:rsidRDefault="00C2286E" w:rsidP="00FB6D55">
      <w:pPr>
        <w:spacing w:before="80" w:after="80"/>
        <w:jc w:val="left"/>
        <w:rPr>
          <w:sz w:val="18"/>
        </w:rPr>
      </w:pPr>
    </w:p>
    <w:p w14:paraId="22F59724" w14:textId="77777777" w:rsidR="00C2286E" w:rsidRDefault="00C2286E" w:rsidP="00FB6D55">
      <w:pPr>
        <w:spacing w:before="80" w:after="80"/>
        <w:jc w:val="left"/>
        <w:rPr>
          <w:sz w:val="18"/>
        </w:rPr>
      </w:pPr>
    </w:p>
    <w:p w14:paraId="42B409E2" w14:textId="77777777" w:rsidR="00C2286E" w:rsidRDefault="00C2286E" w:rsidP="00FB6D55">
      <w:pPr>
        <w:spacing w:before="80" w:after="80"/>
        <w:jc w:val="left"/>
        <w:rPr>
          <w:sz w:val="18"/>
        </w:rPr>
      </w:pPr>
    </w:p>
    <w:p w14:paraId="0FEBF9B9" w14:textId="77777777" w:rsidR="00C2286E" w:rsidRDefault="00C2286E" w:rsidP="00FB6D55">
      <w:pPr>
        <w:spacing w:before="80" w:after="80"/>
        <w:jc w:val="left"/>
        <w:rPr>
          <w:sz w:val="18"/>
        </w:rPr>
      </w:pPr>
    </w:p>
    <w:p w14:paraId="6AD7E0C8" w14:textId="77777777" w:rsidR="00C2286E" w:rsidRDefault="00C2286E" w:rsidP="00FB6D55">
      <w:pPr>
        <w:spacing w:before="80" w:after="80"/>
        <w:jc w:val="left"/>
        <w:rPr>
          <w:sz w:val="18"/>
        </w:rPr>
      </w:pPr>
    </w:p>
    <w:p w14:paraId="76D749CC" w14:textId="77777777" w:rsidR="00C2286E" w:rsidRDefault="00C2286E" w:rsidP="00FB6D55">
      <w:pPr>
        <w:spacing w:before="80" w:after="80"/>
        <w:jc w:val="left"/>
        <w:rPr>
          <w:sz w:val="18"/>
        </w:rPr>
      </w:pPr>
    </w:p>
    <w:p w14:paraId="3C36FBBD" w14:textId="77777777" w:rsidR="00C2286E" w:rsidRDefault="00C2286E" w:rsidP="00FB6D55">
      <w:pPr>
        <w:spacing w:before="80" w:after="80"/>
        <w:jc w:val="left"/>
        <w:rPr>
          <w:sz w:val="18"/>
        </w:rPr>
      </w:pPr>
    </w:p>
    <w:p w14:paraId="24645967" w14:textId="77777777" w:rsidR="00C2286E" w:rsidRDefault="00C2286E" w:rsidP="00FB6D55">
      <w:pPr>
        <w:spacing w:before="80" w:after="80"/>
        <w:jc w:val="left"/>
        <w:rPr>
          <w:sz w:val="18"/>
        </w:rPr>
      </w:pPr>
    </w:p>
    <w:p w14:paraId="38C692CB" w14:textId="77777777" w:rsidR="00C2286E" w:rsidRDefault="00C2286E" w:rsidP="00FB6D55">
      <w:pPr>
        <w:spacing w:before="80" w:after="80"/>
        <w:jc w:val="left"/>
        <w:rPr>
          <w:sz w:val="18"/>
        </w:rPr>
      </w:pPr>
    </w:p>
    <w:p w14:paraId="34FA4F70" w14:textId="77777777" w:rsidR="00812CE2" w:rsidRDefault="00812CE2" w:rsidP="00FB6D55">
      <w:pPr>
        <w:spacing w:before="80" w:after="80"/>
        <w:jc w:val="left"/>
        <w:rPr>
          <w:sz w:val="18"/>
        </w:rPr>
      </w:pPr>
    </w:p>
    <w:p w14:paraId="01C63F6D" w14:textId="77777777" w:rsidR="00812CE2" w:rsidRDefault="00812CE2" w:rsidP="00FB6D55">
      <w:pPr>
        <w:spacing w:before="80" w:after="80"/>
        <w:jc w:val="left"/>
        <w:rPr>
          <w:sz w:val="18"/>
        </w:rPr>
      </w:pPr>
    </w:p>
    <w:p w14:paraId="2D7BF3DE" w14:textId="77777777" w:rsidR="00C2286E" w:rsidRDefault="00C2286E" w:rsidP="00FB6D55">
      <w:pPr>
        <w:spacing w:before="80" w:after="80"/>
        <w:jc w:val="left"/>
        <w:rPr>
          <w:sz w:val="18"/>
        </w:rPr>
      </w:pPr>
    </w:p>
    <w:p w14:paraId="07475921" w14:textId="77777777" w:rsidR="00C2286E" w:rsidRDefault="00C2286E" w:rsidP="00FB6D55">
      <w:pPr>
        <w:spacing w:before="80" w:after="80"/>
        <w:jc w:val="left"/>
        <w:rPr>
          <w:sz w:val="18"/>
        </w:rPr>
      </w:pPr>
    </w:p>
    <w:p w14:paraId="57330A6C" w14:textId="77777777" w:rsidR="00885482" w:rsidRDefault="00885482" w:rsidP="00FB6D55">
      <w:pPr>
        <w:spacing w:before="80" w:after="80"/>
        <w:jc w:val="left"/>
        <w:rPr>
          <w:sz w:val="18"/>
        </w:rPr>
      </w:pPr>
    </w:p>
    <w:p w14:paraId="5C23BD5B" w14:textId="77777777" w:rsidR="00C2286E" w:rsidRDefault="00C2286E" w:rsidP="00FB6D55">
      <w:pPr>
        <w:spacing w:before="80" w:after="80"/>
        <w:jc w:val="left"/>
        <w:rPr>
          <w:sz w:val="18"/>
        </w:rPr>
      </w:pPr>
    </w:p>
    <w:p w14:paraId="62242A04" w14:textId="77777777" w:rsidR="00C2286E" w:rsidRDefault="00C2286E" w:rsidP="00FB6D55">
      <w:pPr>
        <w:spacing w:before="80" w:after="80"/>
        <w:jc w:val="left"/>
        <w:rPr>
          <w:sz w:val="18"/>
        </w:rPr>
      </w:pPr>
    </w:p>
    <w:p w14:paraId="206CD31E" w14:textId="198EA8BC" w:rsidR="00C2286E" w:rsidRPr="008028AE" w:rsidRDefault="00C2286E" w:rsidP="00A922AD">
      <w:pPr>
        <w:jc w:val="center"/>
        <w:rPr>
          <w:sz w:val="20"/>
        </w:rPr>
      </w:pPr>
      <w:proofErr w:type="gramStart"/>
      <w:r w:rsidRPr="008028AE">
        <w:rPr>
          <w:rFonts w:ascii="Symbol" w:hAnsi="Symbol"/>
          <w:sz w:val="20"/>
        </w:rPr>
        <w:t></w:t>
      </w:r>
      <w:r w:rsidRPr="008028AE">
        <w:rPr>
          <w:sz w:val="20"/>
        </w:rPr>
        <w:t>  UIT</w:t>
      </w:r>
      <w:proofErr w:type="gramEnd"/>
      <w:r w:rsidRPr="008028AE">
        <w:rPr>
          <w:sz w:val="20"/>
        </w:rPr>
        <w:t>  </w:t>
      </w:r>
      <w:bookmarkStart w:id="8" w:name="iiannes"/>
      <w:bookmarkEnd w:id="8"/>
      <w:r w:rsidR="006C62D4" w:rsidRPr="008028AE">
        <w:rPr>
          <w:sz w:val="20"/>
        </w:rPr>
        <w:t>20</w:t>
      </w:r>
      <w:r w:rsidR="00100C95">
        <w:rPr>
          <w:sz w:val="20"/>
        </w:rPr>
        <w:t>22</w:t>
      </w:r>
    </w:p>
    <w:p w14:paraId="09EBDC73" w14:textId="77777777" w:rsidR="00C2286E" w:rsidRPr="008028AE" w:rsidRDefault="00C2286E" w:rsidP="00C2286E">
      <w:pPr>
        <w:tabs>
          <w:tab w:val="clear" w:pos="794"/>
          <w:tab w:val="clear" w:pos="1191"/>
          <w:tab w:val="clear" w:pos="1588"/>
          <w:tab w:val="clear" w:pos="1985"/>
        </w:tabs>
        <w:overflowPunct/>
        <w:textAlignment w:val="auto"/>
        <w:rPr>
          <w:sz w:val="20"/>
        </w:rPr>
      </w:pPr>
      <w:r w:rsidRPr="008028AE">
        <w:rPr>
          <w:sz w:val="20"/>
        </w:rPr>
        <w:t>Reservados todos los derechos. Ninguna parte de esta publicación puede reproducirse por ningún procedimiento sin previa autorización escrita por parte de la UIT.</w:t>
      </w:r>
    </w:p>
    <w:p w14:paraId="3874E43F" w14:textId="77777777" w:rsidR="00FB6D55" w:rsidRPr="003518D5" w:rsidRDefault="00FB6D55">
      <w:pPr>
        <w:spacing w:before="80"/>
        <w:jc w:val="left"/>
        <w:rPr>
          <w:i/>
          <w:sz w:val="20"/>
        </w:rPr>
      </w:pPr>
    </w:p>
    <w:p w14:paraId="77650EC3" w14:textId="77777777" w:rsidR="00FB6D55" w:rsidRPr="003518D5" w:rsidRDefault="00FB6D55">
      <w:pPr>
        <w:sectPr w:rsidR="00FB6D55" w:rsidRPr="003518D5" w:rsidSect="008028AE">
          <w:type w:val="evenPage"/>
          <w:pgSz w:w="11907" w:h="16840" w:code="9"/>
          <w:pgMar w:top="1134" w:right="1134" w:bottom="1134" w:left="1134" w:header="567" w:footer="567" w:gutter="0"/>
          <w:paperSrc w:first="15" w:other="15"/>
          <w:pgNumType w:start="1"/>
          <w:cols w:space="720"/>
        </w:sectPr>
      </w:pPr>
    </w:p>
    <w:p w14:paraId="7AF452C9" w14:textId="4FA6A647" w:rsidR="006F5455" w:rsidRPr="00100C95" w:rsidRDefault="006F5455" w:rsidP="00100C95">
      <w:pPr>
        <w:pStyle w:val="ResNo"/>
      </w:pPr>
      <w:bookmarkStart w:id="9" w:name="irecnos"/>
      <w:bookmarkEnd w:id="9"/>
      <w:r w:rsidRPr="00A922AD">
        <w:lastRenderedPageBreak/>
        <w:t xml:space="preserve">RESOLUCIÓN </w:t>
      </w:r>
      <w:r w:rsidR="00C861F7">
        <w:rPr>
          <w:rStyle w:val="href"/>
        </w:rPr>
        <w:t>74</w:t>
      </w:r>
      <w:r w:rsidR="0028582D" w:rsidRPr="00100C95">
        <w:t xml:space="preserve"> </w:t>
      </w:r>
      <w:r w:rsidR="00C861F7">
        <w:t>(Rev. Ginebra, 2022)</w:t>
      </w:r>
    </w:p>
    <w:p w14:paraId="582A813C" w14:textId="77777777" w:rsidR="00C861F7" w:rsidRPr="00A9398A" w:rsidRDefault="00C861F7" w:rsidP="00C861F7">
      <w:pPr>
        <w:pStyle w:val="Restitle"/>
      </w:pPr>
      <w:r w:rsidRPr="00A9398A">
        <w:t>Mejora de la participación de Miembros de Sector</w:t>
      </w:r>
      <w:r w:rsidRPr="00A9398A">
        <w:rPr>
          <w:position w:val="6"/>
          <w:sz w:val="16"/>
        </w:rPr>
        <w:footnoteReference w:customMarkFollows="1" w:id="1"/>
        <w:t>1</w:t>
      </w:r>
      <w:r w:rsidRPr="00A9398A">
        <w:t xml:space="preserve"> de los países en desarrollo</w:t>
      </w:r>
      <w:r w:rsidRPr="00A9398A">
        <w:rPr>
          <w:rStyle w:val="FootnoteReference"/>
        </w:rPr>
        <w:footnoteReference w:customMarkFollows="1" w:id="2"/>
        <w:t>2</w:t>
      </w:r>
      <w:r w:rsidRPr="00A9398A">
        <w:t xml:space="preserve"> en la labor del Sector de Normalización de las Telecomunicaciones de la UIT</w:t>
      </w:r>
    </w:p>
    <w:p w14:paraId="71ACB72E" w14:textId="77777777" w:rsidR="00C861F7" w:rsidRPr="00A9398A" w:rsidRDefault="00C861F7" w:rsidP="00C861F7">
      <w:pPr>
        <w:pStyle w:val="Resref"/>
      </w:pPr>
      <w:r w:rsidRPr="00A9398A">
        <w:t>(Johannesburgo, 2008; Dubái, 2012; Ginebra, 2022)</w:t>
      </w:r>
    </w:p>
    <w:p w14:paraId="09FC5E7E" w14:textId="77777777" w:rsidR="00C861F7" w:rsidRPr="00C861F7" w:rsidRDefault="00C861F7" w:rsidP="00C861F7">
      <w:pPr>
        <w:pStyle w:val="Normalaftertitle0"/>
        <w:rPr>
          <w:lang w:val="es-ES"/>
        </w:rPr>
      </w:pPr>
      <w:r w:rsidRPr="00C861F7">
        <w:rPr>
          <w:lang w:val="es-ES"/>
        </w:rPr>
        <w:t>La Asamblea Mundial de Normalización de las Telecomunicaciones (Ginebra, 2022),</w:t>
      </w:r>
    </w:p>
    <w:p w14:paraId="31C1C823" w14:textId="77777777" w:rsidR="00C861F7" w:rsidRPr="00A9398A" w:rsidRDefault="00C861F7" w:rsidP="00C861F7">
      <w:pPr>
        <w:pStyle w:val="Call"/>
      </w:pPr>
      <w:r w:rsidRPr="00A9398A">
        <w:t>recordando</w:t>
      </w:r>
    </w:p>
    <w:p w14:paraId="7227C1AD" w14:textId="77777777" w:rsidR="00C861F7" w:rsidRPr="00A9398A" w:rsidRDefault="00C861F7" w:rsidP="00C861F7">
      <w:r w:rsidRPr="00A9398A">
        <w:rPr>
          <w:i/>
          <w:iCs/>
        </w:rPr>
        <w:t>a)</w:t>
      </w:r>
      <w:r w:rsidRPr="00A9398A">
        <w:tab/>
        <w:t>la Resolución 71 (Rev. Dubái, 2018) de la Conferencia de Plenipotenciarios, sobre el plan estratégico de la Unión para 2020-2023;</w:t>
      </w:r>
    </w:p>
    <w:p w14:paraId="7A3DF751" w14:textId="77777777" w:rsidR="00C861F7" w:rsidRPr="00A9398A" w:rsidRDefault="00C861F7" w:rsidP="00C861F7">
      <w:r w:rsidRPr="00A9398A">
        <w:rPr>
          <w:i/>
          <w:iCs/>
        </w:rPr>
        <w:t>b)</w:t>
      </w:r>
      <w:r w:rsidRPr="00A9398A">
        <w:tab/>
        <w:t>el espíritu de la Resolución 123 (Rev. Dubái, 2018) de la Conferencia de Plenipotenciarios, sobre la reducción de la brecha de normalización entre los países en desarrollo y los desarrollados;</w:t>
      </w:r>
    </w:p>
    <w:p w14:paraId="3645C6CD" w14:textId="77777777" w:rsidR="00C861F7" w:rsidRPr="00A9398A" w:rsidRDefault="00C861F7" w:rsidP="00C861F7">
      <w:r w:rsidRPr="00A9398A">
        <w:rPr>
          <w:i/>
          <w:iCs/>
        </w:rPr>
        <w:t>c)</w:t>
      </w:r>
      <w:r w:rsidRPr="00A9398A">
        <w:tab/>
        <w:t>los objetivos de las Resoluciones 44 y 54 (Rev. Ginebra, 2022) de la presente Asamblea,</w:t>
      </w:r>
    </w:p>
    <w:p w14:paraId="2DE8815D" w14:textId="77777777" w:rsidR="00C861F7" w:rsidRPr="00A9398A" w:rsidRDefault="00C861F7" w:rsidP="00C861F7">
      <w:pPr>
        <w:pStyle w:val="Call"/>
      </w:pPr>
      <w:r w:rsidRPr="00A9398A">
        <w:t>teniendo en cuenta</w:t>
      </w:r>
    </w:p>
    <w:p w14:paraId="4BB78CEC" w14:textId="77777777" w:rsidR="00C861F7" w:rsidRPr="00A9398A" w:rsidRDefault="00C861F7" w:rsidP="00C861F7">
      <w:r w:rsidRPr="00A9398A">
        <w:t>la Resolución 170 (Rev. Busán, 2014) de la Conferencia de Plenipotenciarios, sobre la admisión de los Miembros de Sector de los países en desarrollo para participar en los trabajos del Sector de Normalización de las Telecomunicaciones de la UIT (UIT-T) y del Sector de Radiocomunicaciones de la UIT (UIT-R), en virtud de la cual se fija el nivel de la contribución económica de los Miembros de Sector de los países en desarrollo para sufragar los gastos de la Unión en un dieciseisavo del valor de la unidad contributiva de los Miembros de Sector,</w:t>
      </w:r>
    </w:p>
    <w:p w14:paraId="5BA62627" w14:textId="77777777" w:rsidR="00C861F7" w:rsidRPr="00A9398A" w:rsidRDefault="00C861F7" w:rsidP="00C861F7">
      <w:pPr>
        <w:pStyle w:val="Call"/>
      </w:pPr>
      <w:r w:rsidRPr="00A9398A">
        <w:t>reconociendo</w:t>
      </w:r>
    </w:p>
    <w:p w14:paraId="1012A001" w14:textId="77777777" w:rsidR="00C861F7" w:rsidRPr="00A9398A" w:rsidRDefault="00C861F7" w:rsidP="00C861F7">
      <w:r w:rsidRPr="00A9398A">
        <w:rPr>
          <w:i/>
          <w:iCs/>
        </w:rPr>
        <w:t>a)</w:t>
      </w:r>
      <w:r w:rsidRPr="00A9398A">
        <w:tab/>
        <w:t>la escasa participación de los operadores de los países en desarrollo en las actividades de normalización;</w:t>
      </w:r>
    </w:p>
    <w:p w14:paraId="3591072D" w14:textId="77777777" w:rsidR="00C861F7" w:rsidRPr="00A9398A" w:rsidRDefault="00C861F7" w:rsidP="00C861F7">
      <w:r w:rsidRPr="00A9398A">
        <w:rPr>
          <w:i/>
          <w:iCs/>
        </w:rPr>
        <w:t>b)</w:t>
      </w:r>
      <w:r w:rsidRPr="00A9398A">
        <w:tab/>
        <w:t>que la mayoría de dichos operadores son filiales de empresas de telecomunicaciones de países desarrollados que ya son Miembros de Sector;</w:t>
      </w:r>
    </w:p>
    <w:p w14:paraId="17CD27C3" w14:textId="77777777" w:rsidR="00C861F7" w:rsidRPr="00A9398A" w:rsidRDefault="00C861F7" w:rsidP="00C861F7">
      <w:r w:rsidRPr="00A9398A">
        <w:rPr>
          <w:i/>
          <w:iCs/>
        </w:rPr>
        <w:t>c)</w:t>
      </w:r>
      <w:r w:rsidRPr="00A9398A">
        <w:tab/>
        <w:t>que los objetivos estratégicos de los Miembros de Sector de los países desarrollados que participan en las actividades del UIT-T no siempre incluyen la participación de sus filiales;</w:t>
      </w:r>
    </w:p>
    <w:p w14:paraId="347B1239" w14:textId="77777777" w:rsidR="00C861F7" w:rsidRPr="00A9398A" w:rsidRDefault="00C861F7" w:rsidP="00C861F7">
      <w:r w:rsidRPr="00A9398A">
        <w:rPr>
          <w:i/>
          <w:iCs/>
        </w:rPr>
        <w:t>d)</w:t>
      </w:r>
      <w:r w:rsidRPr="00A9398A">
        <w:tab/>
        <w:t>que los citados operadores de telecomunicaciones de los países en desarrollo muestran un especial interés por la explotación e instalación de infraestructuras de tecnologías de la información y la comunicación, en vez de participar de forma activa en las actividades de normalización;</w:t>
      </w:r>
    </w:p>
    <w:p w14:paraId="7076D8E4" w14:textId="77777777" w:rsidR="00C861F7" w:rsidRPr="00A9398A" w:rsidRDefault="00C861F7" w:rsidP="00C861F7">
      <w:pPr>
        <w:keepNext/>
        <w:keepLines/>
      </w:pPr>
      <w:r w:rsidRPr="00A9398A">
        <w:rPr>
          <w:i/>
          <w:iCs/>
        </w:rPr>
        <w:t>e)</w:t>
      </w:r>
      <w:r w:rsidRPr="00A9398A">
        <w:tab/>
        <w:t>que, en el Artículo 1 de la Constitución de la UIT, se señala que la Unión facilitará el proceso de normalización mundial de las telecomunicaciones con una calidad de servicio satisfactoria, alentará y mejorará la participación de entidades y organizaciones en las actividades de la Unión favoreciendo la cooperación fructífera y la asociación entre ellas y los Estados Miembros para la consecución de los fines de la Unión,</w:t>
      </w:r>
    </w:p>
    <w:p w14:paraId="4ED374F9" w14:textId="77777777" w:rsidR="004F177E" w:rsidRDefault="004F177E" w:rsidP="00C861F7">
      <w:pPr>
        <w:pStyle w:val="Call"/>
      </w:pPr>
      <w:r>
        <w:br w:type="page"/>
      </w:r>
    </w:p>
    <w:p w14:paraId="1A6B87E9" w14:textId="43C3EFCD" w:rsidR="00C861F7" w:rsidRPr="00A9398A" w:rsidRDefault="00C861F7" w:rsidP="00C861F7">
      <w:pPr>
        <w:pStyle w:val="Call"/>
      </w:pPr>
      <w:r w:rsidRPr="00A9398A">
        <w:lastRenderedPageBreak/>
        <w:t>considerando</w:t>
      </w:r>
    </w:p>
    <w:p w14:paraId="2A49AA78" w14:textId="77777777" w:rsidR="00C861F7" w:rsidRPr="00A9398A" w:rsidRDefault="00C861F7" w:rsidP="00C861F7">
      <w:r w:rsidRPr="00A9398A">
        <w:rPr>
          <w:i/>
          <w:iCs/>
        </w:rPr>
        <w:t>a)</w:t>
      </w:r>
      <w:r w:rsidRPr="00A9398A">
        <w:tab/>
        <w:t>que las entidades u organizaciones pertinentes de los países en desarrollo se interesan por la labor de normalización que lleva a cabo el UIT</w:t>
      </w:r>
      <w:r w:rsidRPr="00A9398A">
        <w:noBreakHyphen/>
        <w:t>T y estarían dispuestas a sumarse a dicha labor si existieran condiciones financieras más favorables para su participación en los trabajos del UIT</w:t>
      </w:r>
      <w:r w:rsidRPr="00A9398A">
        <w:noBreakHyphen/>
        <w:t>T;</w:t>
      </w:r>
    </w:p>
    <w:p w14:paraId="671D999B" w14:textId="77777777" w:rsidR="00C861F7" w:rsidRPr="00A9398A" w:rsidRDefault="00C861F7" w:rsidP="00C861F7">
      <w:pPr>
        <w:rPr>
          <w:lang w:eastAsia="ar-SA"/>
        </w:rPr>
      </w:pPr>
      <w:r w:rsidRPr="00A9398A">
        <w:rPr>
          <w:i/>
          <w:iCs/>
          <w:lang w:eastAsia="ar-SA"/>
        </w:rPr>
        <w:t>b)</w:t>
      </w:r>
      <w:r w:rsidRPr="00A9398A">
        <w:rPr>
          <w:lang w:eastAsia="ar-SA"/>
        </w:rPr>
        <w:tab/>
        <w:t>que las citadas entidades u organizaciones podrían desempeñar un importante papel a efectos de la investigación y el desarrollo de nuevas tecnologías, y que la participación de tales entidades de los países en desarrollo en el trabajo del UIT</w:t>
      </w:r>
      <w:r w:rsidRPr="00A9398A">
        <w:rPr>
          <w:lang w:eastAsia="ar-SA"/>
        </w:rPr>
        <w:noBreakHyphen/>
        <w:t>T contribuiría a reducir la brecha de normalización;</w:t>
      </w:r>
    </w:p>
    <w:p w14:paraId="759AAB3E" w14:textId="77777777" w:rsidR="00C861F7" w:rsidRPr="00A9398A" w:rsidRDefault="00C861F7" w:rsidP="00C861F7">
      <w:pPr>
        <w:rPr>
          <w:i/>
          <w:lang w:eastAsia="ar-SA"/>
        </w:rPr>
      </w:pPr>
      <w:r w:rsidRPr="00A9398A">
        <w:rPr>
          <w:i/>
          <w:lang w:eastAsia="ar-SA"/>
        </w:rPr>
        <w:t>c)</w:t>
      </w:r>
      <w:r w:rsidRPr="00A9398A">
        <w:rPr>
          <w:i/>
          <w:lang w:eastAsia="ar-SA"/>
        </w:rPr>
        <w:tab/>
      </w:r>
      <w:r w:rsidRPr="00A9398A">
        <w:t>que esta participación de los Miembros de Sector contribuiría a fortalecer la labor de capacitación en los países en desarrollo, fomentaría su competitividad y facilitaría la innovación en sus mercados,</w:t>
      </w:r>
    </w:p>
    <w:p w14:paraId="49A864DB" w14:textId="77777777" w:rsidR="00C861F7" w:rsidRPr="00A9398A" w:rsidRDefault="00C861F7" w:rsidP="00C861F7">
      <w:pPr>
        <w:pStyle w:val="Call"/>
      </w:pPr>
      <w:r w:rsidRPr="00A9398A">
        <w:t>resuelve</w:t>
      </w:r>
    </w:p>
    <w:p w14:paraId="5C31FECC" w14:textId="704BBFD5" w:rsidR="00C861F7" w:rsidRPr="00A9398A" w:rsidRDefault="00C861F7" w:rsidP="00C861F7">
      <w:r w:rsidRPr="00A9398A">
        <w:t>1</w:t>
      </w:r>
      <w:r w:rsidRPr="00A9398A">
        <w:tab/>
        <w:t>alentar la adopción de las medidas y los mecanismos necesarios para permitir la incorporación al UIT</w:t>
      </w:r>
      <w:r w:rsidR="004F177E">
        <w:noBreakHyphen/>
      </w:r>
      <w:r w:rsidRPr="00A9398A">
        <w:t>T de nuevos Miembros de Sector de países en desarrollo y su participación en la labor de las Comisiones de Estudio y de otros grupos del UIT</w:t>
      </w:r>
      <w:r w:rsidRPr="00A9398A">
        <w:noBreakHyphen/>
        <w:t>T;</w:t>
      </w:r>
    </w:p>
    <w:p w14:paraId="0508BEC4" w14:textId="77777777" w:rsidR="00C861F7" w:rsidRPr="00A9398A" w:rsidRDefault="00C861F7" w:rsidP="00C861F7">
      <w:r w:rsidRPr="00A9398A">
        <w:t>2</w:t>
      </w:r>
      <w:r w:rsidRPr="00A9398A">
        <w:tab/>
        <w:t>alentar a los Miembros de Sector de los países desarrollados a fomentar la participación en las actividades del UIT-T de sus filiales instaladas en países en desarrollo,</w:t>
      </w:r>
    </w:p>
    <w:p w14:paraId="3B8B12D6" w14:textId="77777777" w:rsidR="00C861F7" w:rsidRPr="00A9398A" w:rsidRDefault="00C861F7" w:rsidP="00C861F7">
      <w:pPr>
        <w:pStyle w:val="Call"/>
      </w:pPr>
      <w:r w:rsidRPr="00A9398A">
        <w:t>invita a los Estados Miembros</w:t>
      </w:r>
    </w:p>
    <w:p w14:paraId="615E66F8" w14:textId="77777777" w:rsidR="00C861F7" w:rsidRPr="00A9398A" w:rsidRDefault="00C861F7" w:rsidP="00C861F7">
      <w:r w:rsidRPr="00A9398A">
        <w:t>a instar a sus Miembros de Sector a que participen en las actividades del UIT</w:t>
      </w:r>
      <w:r w:rsidRPr="00A9398A">
        <w:noBreakHyphen/>
        <w:t>T.</w:t>
      </w:r>
    </w:p>
    <w:p w14:paraId="7DA12004" w14:textId="79B2308A" w:rsidR="00C861F7" w:rsidRDefault="00C861F7" w:rsidP="00C861F7">
      <w:pPr>
        <w:pStyle w:val="Reasons"/>
      </w:pPr>
    </w:p>
    <w:p w14:paraId="43FD0935" w14:textId="5D56FF75" w:rsidR="004F177E" w:rsidRDefault="004F177E" w:rsidP="00C861F7">
      <w:pPr>
        <w:pStyle w:val="Reasons"/>
      </w:pPr>
    </w:p>
    <w:p w14:paraId="6D931719" w14:textId="3EEA13FE" w:rsidR="004F177E" w:rsidRDefault="004F177E" w:rsidP="00C861F7">
      <w:pPr>
        <w:pStyle w:val="Reasons"/>
      </w:pPr>
    </w:p>
    <w:p w14:paraId="350DBF21" w14:textId="6B6A363E" w:rsidR="004F177E" w:rsidRDefault="004F177E" w:rsidP="00C861F7">
      <w:pPr>
        <w:pStyle w:val="Reasons"/>
      </w:pPr>
    </w:p>
    <w:p w14:paraId="64AFDFE2" w14:textId="4A2CC894" w:rsidR="004F177E" w:rsidRDefault="004F177E" w:rsidP="00C861F7">
      <w:pPr>
        <w:pStyle w:val="Reasons"/>
      </w:pPr>
    </w:p>
    <w:p w14:paraId="3317A9B0" w14:textId="2DD58933" w:rsidR="004F177E" w:rsidRDefault="004F177E" w:rsidP="00C861F7">
      <w:pPr>
        <w:pStyle w:val="Reasons"/>
      </w:pPr>
    </w:p>
    <w:p w14:paraId="73FD2F35" w14:textId="5309019C" w:rsidR="004F177E" w:rsidRDefault="004F177E" w:rsidP="00C861F7">
      <w:pPr>
        <w:pStyle w:val="Reasons"/>
      </w:pPr>
    </w:p>
    <w:p w14:paraId="1B8F932B" w14:textId="6E0D95C3" w:rsidR="004F177E" w:rsidRDefault="004F177E" w:rsidP="00C861F7">
      <w:pPr>
        <w:pStyle w:val="Reasons"/>
      </w:pPr>
    </w:p>
    <w:p w14:paraId="1A373C13" w14:textId="54085D79" w:rsidR="004F177E" w:rsidRDefault="004F177E" w:rsidP="00C861F7">
      <w:pPr>
        <w:pStyle w:val="Reasons"/>
      </w:pPr>
    </w:p>
    <w:p w14:paraId="5FF6CA1D" w14:textId="19B4AE9A" w:rsidR="004F177E" w:rsidRDefault="004F177E" w:rsidP="00C861F7">
      <w:pPr>
        <w:pStyle w:val="Reasons"/>
      </w:pPr>
    </w:p>
    <w:p w14:paraId="439B0B48" w14:textId="2E0CB1FB" w:rsidR="004F177E" w:rsidRDefault="004F177E" w:rsidP="00C861F7">
      <w:pPr>
        <w:pStyle w:val="Reasons"/>
      </w:pPr>
    </w:p>
    <w:p w14:paraId="3814C872" w14:textId="105A8439" w:rsidR="004F177E" w:rsidRDefault="004F177E" w:rsidP="00C861F7">
      <w:pPr>
        <w:pStyle w:val="Reasons"/>
      </w:pPr>
    </w:p>
    <w:p w14:paraId="7B8F4B21" w14:textId="43423BAE" w:rsidR="004F177E" w:rsidRDefault="004F177E" w:rsidP="00C861F7">
      <w:pPr>
        <w:pStyle w:val="Reasons"/>
      </w:pPr>
    </w:p>
    <w:p w14:paraId="5EF86471" w14:textId="77777777" w:rsidR="004F177E" w:rsidRPr="00A9398A" w:rsidRDefault="004F177E" w:rsidP="00C861F7">
      <w:pPr>
        <w:pStyle w:val="Reasons"/>
      </w:pPr>
    </w:p>
    <w:p w14:paraId="041FEA60" w14:textId="77777777" w:rsidR="00664F8D" w:rsidRDefault="00664F8D" w:rsidP="00664F8D"/>
    <w:p w14:paraId="576F1A86" w14:textId="77777777" w:rsidR="00664F8D" w:rsidRPr="006F5DC8" w:rsidRDefault="00664F8D" w:rsidP="00664F8D"/>
    <w:sectPr w:rsidR="00664F8D" w:rsidRPr="006F5DC8" w:rsidSect="00A922AD">
      <w:headerReference w:type="even" r:id="rId9"/>
      <w:headerReference w:type="default" r:id="rId10"/>
      <w:footerReference w:type="even" r:id="rId11"/>
      <w:footerReference w:type="default" r:id="rId12"/>
      <w:footerReference w:type="first" r:id="rId13"/>
      <w:footnotePr>
        <w:pos w:val="beneathText"/>
      </w:footnotePr>
      <w:pgSz w:w="11907" w:h="16834" w:code="9"/>
      <w:pgMar w:top="1134" w:right="1134" w:bottom="1134" w:left="1134" w:header="567" w:footer="567" w:gutter="0"/>
      <w:pgNumType w:start="1"/>
      <w:cols w:space="720"/>
      <w:vAlign w:val="both"/>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FA649" w14:textId="77777777" w:rsidR="0052251F" w:rsidRDefault="0052251F">
      <w:r>
        <w:separator/>
      </w:r>
    </w:p>
  </w:endnote>
  <w:endnote w:type="continuationSeparator" w:id="0">
    <w:p w14:paraId="3A6F79BF" w14:textId="77777777" w:rsidR="0052251F" w:rsidRDefault="00522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B9542" w14:textId="223AC73C" w:rsidR="00877E7D" w:rsidRDefault="00877E7D" w:rsidP="00885482">
    <w:pPr>
      <w:pStyle w:val="FooterQP"/>
      <w:rPr>
        <w:lang w:val="en-US"/>
      </w:rPr>
    </w:pPr>
    <w:r w:rsidRPr="002D6EB1">
      <w:rPr>
        <w:b w:val="0"/>
      </w:rPr>
      <w:fldChar w:fldCharType="begin"/>
    </w:r>
    <w:r w:rsidRPr="00877E7D">
      <w:rPr>
        <w:b w:val="0"/>
        <w:lang w:val="es-ES"/>
      </w:rPr>
      <w:instrText xml:space="preserve"> PAGE  \* MERGEFORMAT </w:instrText>
    </w:r>
    <w:r w:rsidRPr="002D6EB1">
      <w:rPr>
        <w:b w:val="0"/>
      </w:rPr>
      <w:fldChar w:fldCharType="separate"/>
    </w:r>
    <w:r w:rsidR="004533B9">
      <w:rPr>
        <w:b w:val="0"/>
        <w:noProof/>
        <w:lang w:val="es-ES"/>
      </w:rPr>
      <w:t>6</w:t>
    </w:r>
    <w:r w:rsidRPr="002D6EB1">
      <w:rPr>
        <w:b w:val="0"/>
      </w:rPr>
      <w:fldChar w:fldCharType="end"/>
    </w:r>
    <w:r w:rsidRPr="00877E7D">
      <w:rPr>
        <w:lang w:val="es-ES"/>
      </w:rPr>
      <w:tab/>
    </w:r>
    <w:r w:rsidR="004F177E">
      <w:rPr>
        <w:lang w:val="en-US"/>
      </w:rPr>
      <w:t xml:space="preserve">AMNT-20 – Resolución </w:t>
    </w:r>
    <w:r w:rsidR="004F177E">
      <w:fldChar w:fldCharType="begin"/>
    </w:r>
    <w:r w:rsidR="004F177E">
      <w:rPr>
        <w:lang w:val="en-US"/>
      </w:rPr>
      <w:instrText>styleref href</w:instrText>
    </w:r>
    <w:r w:rsidR="004F177E">
      <w:fldChar w:fldCharType="separate"/>
    </w:r>
    <w:r w:rsidR="00654AB4">
      <w:rPr>
        <w:noProof/>
        <w:lang w:val="en-US"/>
      </w:rPr>
      <w:t>74</w:t>
    </w:r>
    <w:r w:rsidR="004F177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A398F" w14:textId="77777777" w:rsidR="00877E7D" w:rsidRPr="00877E7D" w:rsidRDefault="00877E7D" w:rsidP="0028582D">
    <w:pPr>
      <w:pStyle w:val="FooterQP"/>
      <w:rPr>
        <w:b w:val="0"/>
        <w:lang w:val="en-US"/>
      </w:rPr>
    </w:pPr>
    <w:r>
      <w:tab/>
    </w:r>
    <w:r>
      <w:tab/>
      <w:t>AMNT</w:t>
    </w:r>
    <w:r w:rsidR="0028582D">
      <w:rPr>
        <w:lang w:val="en-US"/>
      </w:rPr>
      <w:t>-16 – Resolución 76</w:t>
    </w:r>
    <w:r>
      <w:rPr>
        <w:lang w:val="en-US"/>
      </w:rPr>
      <w:tab/>
    </w:r>
    <w:r>
      <w:rPr>
        <w:b w:val="0"/>
      </w:rPr>
      <w:fldChar w:fldCharType="begin"/>
    </w:r>
    <w:r>
      <w:rPr>
        <w:b w:val="0"/>
        <w:lang w:val="en-US"/>
      </w:rPr>
      <w:instrText xml:space="preserve"> PAGE  \* MERGEFORMAT </w:instrText>
    </w:r>
    <w:r>
      <w:rPr>
        <w:b w:val="0"/>
      </w:rPr>
      <w:fldChar w:fldCharType="separate"/>
    </w:r>
    <w:r w:rsidR="004533B9">
      <w:rPr>
        <w:b w:val="0"/>
        <w:noProof/>
        <w:lang w:val="en-US"/>
      </w:rPr>
      <w:t>7</w:t>
    </w:r>
    <w:r>
      <w:rPr>
        <w:b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D90E" w14:textId="00A1B21D" w:rsidR="00100C95" w:rsidRPr="00A4766C" w:rsidRDefault="00100C95" w:rsidP="00100C95">
    <w:pPr>
      <w:pStyle w:val="FooterQP"/>
      <w:rPr>
        <w:lang w:val="en-US"/>
      </w:rPr>
    </w:pPr>
    <w:r>
      <w:rPr>
        <w:lang w:val="en-US"/>
      </w:rPr>
      <w:tab/>
    </w:r>
    <w:r>
      <w:rPr>
        <w:lang w:val="en-US"/>
      </w:rPr>
      <w:tab/>
      <w:t xml:space="preserve">AMNT-20 – Resolución </w:t>
    </w:r>
    <w:r>
      <w:fldChar w:fldCharType="begin"/>
    </w:r>
    <w:r>
      <w:rPr>
        <w:lang w:val="en-US"/>
      </w:rPr>
      <w:instrText>styleref href</w:instrText>
    </w:r>
    <w:r>
      <w:fldChar w:fldCharType="separate"/>
    </w:r>
    <w:r w:rsidR="00654AB4">
      <w:rPr>
        <w:noProof/>
        <w:lang w:val="en-US"/>
      </w:rPr>
      <w:t>74</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rPr>
      <w:t>1</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C0C7B" w14:textId="77777777" w:rsidR="0052251F" w:rsidRDefault="0052251F">
      <w:r>
        <w:t>____________________</w:t>
      </w:r>
    </w:p>
  </w:footnote>
  <w:footnote w:type="continuationSeparator" w:id="0">
    <w:p w14:paraId="6BCBC101" w14:textId="77777777" w:rsidR="0052251F" w:rsidRDefault="0052251F">
      <w:r>
        <w:continuationSeparator/>
      </w:r>
    </w:p>
  </w:footnote>
  <w:footnote w:id="1">
    <w:p w14:paraId="2956372F" w14:textId="77777777" w:rsidR="00C861F7" w:rsidRPr="001E6B98" w:rsidRDefault="00C861F7" w:rsidP="00C861F7">
      <w:pPr>
        <w:pStyle w:val="FootnoteText"/>
        <w:tabs>
          <w:tab w:val="left" w:pos="284"/>
        </w:tabs>
      </w:pPr>
      <w:r w:rsidRPr="001E6B98">
        <w:rPr>
          <w:rStyle w:val="FootnoteReference"/>
        </w:rPr>
        <w:t>1</w:t>
      </w:r>
      <w:r w:rsidRPr="001E6B98">
        <w:tab/>
        <w:t xml:space="preserve">Estos Miembros de Sector de los países en desarrollo no podrán estar afiliados en modo alguno a ningún Miembro de Sector de un país desarrollado, y se limitarán a aquellos Miembros de Sector de países en desarrollo (incluidos los países menos adelantados, los pequeños Estados insulares en desarrollo, los países en desarrollo sin litoral y los países con economías en transición) que posean una renta per cápita </w:t>
      </w:r>
      <w:r w:rsidRPr="0014077C">
        <w:rPr>
          <w:lang w:val="es-ES"/>
        </w:rPr>
        <w:t>de acuerdo con el Programa de Desarrollo de las Naciones Unidas que no supere un umbral por determinar.</w:t>
      </w:r>
    </w:p>
  </w:footnote>
  <w:footnote w:id="2">
    <w:p w14:paraId="6B8FD81E" w14:textId="77777777" w:rsidR="00C861F7" w:rsidRPr="0072102D" w:rsidRDefault="00C861F7" w:rsidP="00C861F7">
      <w:pPr>
        <w:pStyle w:val="FootnoteText"/>
        <w:rPr>
          <w:lang w:val="es-ES"/>
        </w:rPr>
      </w:pPr>
      <w:r>
        <w:rPr>
          <w:rStyle w:val="FootnoteReference"/>
        </w:rPr>
        <w:t>2</w:t>
      </w:r>
      <w:r>
        <w:tab/>
      </w:r>
      <w:r w:rsidRPr="00A31D56">
        <w:rPr>
          <w:lang w:val="es-ES"/>
        </w:rPr>
        <w:t>Este término comprende los países menos adelantados, los pequeños Estados insulares en desarrollo, los países en desarrollo sin litoral y los países con economías en transición</w:t>
      </w:r>
      <w:r w:rsidRPr="007317D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3C57A" w14:textId="77777777" w:rsidR="006D0F26" w:rsidRPr="00D075E1" w:rsidRDefault="006D0F26" w:rsidP="00D075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B60F3" w14:textId="77777777" w:rsidR="006D0F26" w:rsidRPr="00D075E1" w:rsidRDefault="006D0F26" w:rsidP="00D075E1">
    <w:pPr>
      <w:pStyle w:val="Header"/>
      <w:rPr>
        <w:rStyle w:val="PageNumbe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F7CFB4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9202F9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0CE067C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71262FF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F92A2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C4A62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128D86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31A8E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EBEDA8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D7489C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evenAndOddHeaders/>
  <w:drawingGridHorizontalSpacing w:val="120"/>
  <w:displayHorizontalDrawingGridEvery w:val="0"/>
  <w:displayVerticalDrawingGridEvery w:val="0"/>
  <w:doNotShadeFormData/>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55"/>
    <w:rsid w:val="00011D16"/>
    <w:rsid w:val="00021556"/>
    <w:rsid w:val="00044B4D"/>
    <w:rsid w:val="00065BE4"/>
    <w:rsid w:val="00082EA6"/>
    <w:rsid w:val="00096419"/>
    <w:rsid w:val="000B08A1"/>
    <w:rsid w:val="000B3B7D"/>
    <w:rsid w:val="000E0592"/>
    <w:rsid w:val="000E0C3D"/>
    <w:rsid w:val="000E6A10"/>
    <w:rsid w:val="00100C95"/>
    <w:rsid w:val="00104176"/>
    <w:rsid w:val="00104723"/>
    <w:rsid w:val="00115F55"/>
    <w:rsid w:val="001166BD"/>
    <w:rsid w:val="00153A2F"/>
    <w:rsid w:val="00160F88"/>
    <w:rsid w:val="00164FB0"/>
    <w:rsid w:val="001958EC"/>
    <w:rsid w:val="001C4D78"/>
    <w:rsid w:val="001E3C05"/>
    <w:rsid w:val="001E47B2"/>
    <w:rsid w:val="001F5708"/>
    <w:rsid w:val="001F7101"/>
    <w:rsid w:val="0021547F"/>
    <w:rsid w:val="00217CDB"/>
    <w:rsid w:val="00223031"/>
    <w:rsid w:val="00241D6F"/>
    <w:rsid w:val="00245661"/>
    <w:rsid w:val="00256525"/>
    <w:rsid w:val="00256F54"/>
    <w:rsid w:val="0028582D"/>
    <w:rsid w:val="0029052C"/>
    <w:rsid w:val="00295585"/>
    <w:rsid w:val="00315C1E"/>
    <w:rsid w:val="003518D5"/>
    <w:rsid w:val="00372B66"/>
    <w:rsid w:val="00377687"/>
    <w:rsid w:val="003C2D00"/>
    <w:rsid w:val="003E33A8"/>
    <w:rsid w:val="003F0680"/>
    <w:rsid w:val="00400600"/>
    <w:rsid w:val="004442F6"/>
    <w:rsid w:val="004533B9"/>
    <w:rsid w:val="00466E41"/>
    <w:rsid w:val="004F177E"/>
    <w:rsid w:val="004F1EA7"/>
    <w:rsid w:val="0052251F"/>
    <w:rsid w:val="005330B1"/>
    <w:rsid w:val="005428C5"/>
    <w:rsid w:val="005435AA"/>
    <w:rsid w:val="0055021E"/>
    <w:rsid w:val="00585ED1"/>
    <w:rsid w:val="005A4F08"/>
    <w:rsid w:val="006349BE"/>
    <w:rsid w:val="00642735"/>
    <w:rsid w:val="00643BC7"/>
    <w:rsid w:val="00654AB4"/>
    <w:rsid w:val="00664F8D"/>
    <w:rsid w:val="00671751"/>
    <w:rsid w:val="006A2304"/>
    <w:rsid w:val="006C1E98"/>
    <w:rsid w:val="006C5ED6"/>
    <w:rsid w:val="006C62D4"/>
    <w:rsid w:val="006D0F26"/>
    <w:rsid w:val="006F5455"/>
    <w:rsid w:val="007057EE"/>
    <w:rsid w:val="00712378"/>
    <w:rsid w:val="00743611"/>
    <w:rsid w:val="0079215F"/>
    <w:rsid w:val="007A0BE3"/>
    <w:rsid w:val="007B0D90"/>
    <w:rsid w:val="007C64E7"/>
    <w:rsid w:val="007C7F35"/>
    <w:rsid w:val="008028AE"/>
    <w:rsid w:val="00812CE2"/>
    <w:rsid w:val="008222EF"/>
    <w:rsid w:val="00831A21"/>
    <w:rsid w:val="00841271"/>
    <w:rsid w:val="00862C3A"/>
    <w:rsid w:val="00877E7D"/>
    <w:rsid w:val="00885482"/>
    <w:rsid w:val="00892A35"/>
    <w:rsid w:val="008B2002"/>
    <w:rsid w:val="008C357D"/>
    <w:rsid w:val="008C6F85"/>
    <w:rsid w:val="008D5D1B"/>
    <w:rsid w:val="008D6B1E"/>
    <w:rsid w:val="008E70B2"/>
    <w:rsid w:val="008F6F22"/>
    <w:rsid w:val="008F7079"/>
    <w:rsid w:val="00906FCA"/>
    <w:rsid w:val="00917AD8"/>
    <w:rsid w:val="009215A0"/>
    <w:rsid w:val="009242C6"/>
    <w:rsid w:val="00946DF2"/>
    <w:rsid w:val="009560C3"/>
    <w:rsid w:val="009B4B48"/>
    <w:rsid w:val="009C06D6"/>
    <w:rsid w:val="009E0CE3"/>
    <w:rsid w:val="009E4ACC"/>
    <w:rsid w:val="00A048CE"/>
    <w:rsid w:val="00A054FD"/>
    <w:rsid w:val="00A1158B"/>
    <w:rsid w:val="00A16E12"/>
    <w:rsid w:val="00A23640"/>
    <w:rsid w:val="00A300F8"/>
    <w:rsid w:val="00A31A3C"/>
    <w:rsid w:val="00A428C4"/>
    <w:rsid w:val="00A5029E"/>
    <w:rsid w:val="00A5430F"/>
    <w:rsid w:val="00A64176"/>
    <w:rsid w:val="00A762C1"/>
    <w:rsid w:val="00A7749A"/>
    <w:rsid w:val="00A922AD"/>
    <w:rsid w:val="00AD62D4"/>
    <w:rsid w:val="00B122C8"/>
    <w:rsid w:val="00B24C2D"/>
    <w:rsid w:val="00B31246"/>
    <w:rsid w:val="00B450BE"/>
    <w:rsid w:val="00B57627"/>
    <w:rsid w:val="00B96F52"/>
    <w:rsid w:val="00BD5BF5"/>
    <w:rsid w:val="00BE0A5C"/>
    <w:rsid w:val="00BE14B0"/>
    <w:rsid w:val="00C028FA"/>
    <w:rsid w:val="00C10AF4"/>
    <w:rsid w:val="00C2286E"/>
    <w:rsid w:val="00C307BC"/>
    <w:rsid w:val="00C3111E"/>
    <w:rsid w:val="00C37FA4"/>
    <w:rsid w:val="00C82CB8"/>
    <w:rsid w:val="00C861F7"/>
    <w:rsid w:val="00C87C51"/>
    <w:rsid w:val="00C92632"/>
    <w:rsid w:val="00C97C18"/>
    <w:rsid w:val="00CC2761"/>
    <w:rsid w:val="00CD1B1B"/>
    <w:rsid w:val="00CF15EA"/>
    <w:rsid w:val="00D075E1"/>
    <w:rsid w:val="00D13CDA"/>
    <w:rsid w:val="00D23B4C"/>
    <w:rsid w:val="00D460E6"/>
    <w:rsid w:val="00D5161F"/>
    <w:rsid w:val="00D74EFE"/>
    <w:rsid w:val="00D9465C"/>
    <w:rsid w:val="00D962F2"/>
    <w:rsid w:val="00D976F2"/>
    <w:rsid w:val="00DC4B81"/>
    <w:rsid w:val="00DD71D5"/>
    <w:rsid w:val="00DE4D43"/>
    <w:rsid w:val="00E16169"/>
    <w:rsid w:val="00E26A91"/>
    <w:rsid w:val="00E461D8"/>
    <w:rsid w:val="00E5178C"/>
    <w:rsid w:val="00E654F0"/>
    <w:rsid w:val="00E72AD0"/>
    <w:rsid w:val="00ED48FA"/>
    <w:rsid w:val="00EE233D"/>
    <w:rsid w:val="00F40D91"/>
    <w:rsid w:val="00F46759"/>
    <w:rsid w:val="00F517A1"/>
    <w:rsid w:val="00F56432"/>
    <w:rsid w:val="00F64291"/>
    <w:rsid w:val="00F72501"/>
    <w:rsid w:val="00F816C3"/>
    <w:rsid w:val="00F968E6"/>
    <w:rsid w:val="00FB6D55"/>
    <w:rsid w:val="00FD0876"/>
    <w:rsid w:val="00FD4011"/>
    <w:rsid w:val="00FD6CCF"/>
    <w:rsid w:val="00FF23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88F5409"/>
  <w15:chartTrackingRefBased/>
  <w15:docId w15:val="{84553B84-8405-4C30-BD3A-4BFE1A0A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15EA"/>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es-ES_tradnl" w:eastAsia="en-US"/>
    </w:rPr>
  </w:style>
  <w:style w:type="paragraph" w:styleId="Heading1">
    <w:name w:val="heading 1"/>
    <w:basedOn w:val="Normal"/>
    <w:next w:val="Normal"/>
    <w:qFormat/>
    <w:rsid w:val="008E70B2"/>
    <w:pPr>
      <w:keepNext/>
      <w:keepLines/>
      <w:spacing w:before="360"/>
      <w:ind w:left="794" w:hanging="794"/>
      <w:jc w:val="left"/>
      <w:outlineLvl w:val="0"/>
    </w:pPr>
    <w:rPr>
      <w:b/>
      <w:sz w:val="24"/>
    </w:rPr>
  </w:style>
  <w:style w:type="paragraph" w:styleId="Heading2">
    <w:name w:val="heading 2"/>
    <w:basedOn w:val="Heading1"/>
    <w:next w:val="Normal"/>
    <w:link w:val="Heading2Char"/>
    <w:qFormat/>
    <w:rsid w:val="00082EA6"/>
    <w:pPr>
      <w:spacing w:before="240"/>
      <w:outlineLvl w:val="1"/>
    </w:pPr>
  </w:style>
  <w:style w:type="paragraph" w:styleId="Heading3">
    <w:name w:val="heading 3"/>
    <w:basedOn w:val="Heading1"/>
    <w:next w:val="Normal"/>
    <w:qFormat/>
    <w:rsid w:val="00082EA6"/>
    <w:pPr>
      <w:spacing w:before="160"/>
      <w:outlineLvl w:val="2"/>
    </w:pPr>
  </w:style>
  <w:style w:type="paragraph" w:styleId="Heading4">
    <w:name w:val="heading 4"/>
    <w:basedOn w:val="Heading3"/>
    <w:next w:val="Normal"/>
    <w:qFormat/>
    <w:rsid w:val="00082EA6"/>
    <w:pPr>
      <w:tabs>
        <w:tab w:val="clear" w:pos="794"/>
        <w:tab w:val="left" w:pos="1021"/>
      </w:tabs>
      <w:ind w:left="1021" w:hanging="1021"/>
      <w:outlineLvl w:val="3"/>
    </w:pPr>
  </w:style>
  <w:style w:type="paragraph" w:styleId="Heading5">
    <w:name w:val="heading 5"/>
    <w:basedOn w:val="Heading4"/>
    <w:next w:val="Normal"/>
    <w:qFormat/>
    <w:rsid w:val="00082EA6"/>
    <w:pPr>
      <w:outlineLvl w:val="4"/>
    </w:pPr>
  </w:style>
  <w:style w:type="paragraph" w:styleId="Heading6">
    <w:name w:val="heading 6"/>
    <w:basedOn w:val="Heading4"/>
    <w:next w:val="Normal"/>
    <w:qFormat/>
    <w:rsid w:val="00082EA6"/>
    <w:pPr>
      <w:tabs>
        <w:tab w:val="clear" w:pos="1021"/>
        <w:tab w:val="clear" w:pos="1191"/>
      </w:tabs>
      <w:ind w:left="1588" w:hanging="1588"/>
      <w:outlineLvl w:val="5"/>
    </w:pPr>
  </w:style>
  <w:style w:type="paragraph" w:styleId="Heading7">
    <w:name w:val="heading 7"/>
    <w:basedOn w:val="Heading6"/>
    <w:next w:val="Normal"/>
    <w:qFormat/>
    <w:rsid w:val="00082EA6"/>
    <w:pPr>
      <w:outlineLvl w:val="6"/>
    </w:pPr>
  </w:style>
  <w:style w:type="paragraph" w:styleId="Heading8">
    <w:name w:val="heading 8"/>
    <w:basedOn w:val="Heading6"/>
    <w:next w:val="Normal"/>
    <w:qFormat/>
    <w:rsid w:val="00082EA6"/>
    <w:pPr>
      <w:outlineLvl w:val="7"/>
    </w:pPr>
  </w:style>
  <w:style w:type="paragraph" w:styleId="Heading9">
    <w:name w:val="heading 9"/>
    <w:basedOn w:val="Heading6"/>
    <w:next w:val="Normal"/>
    <w:qFormat/>
    <w:rsid w:val="00082EA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082EA6"/>
  </w:style>
  <w:style w:type="paragraph" w:styleId="TOC4">
    <w:name w:val="toc 4"/>
    <w:basedOn w:val="TOC3"/>
    <w:semiHidden/>
    <w:rsid w:val="00082EA6"/>
  </w:style>
  <w:style w:type="paragraph" w:styleId="TOC3">
    <w:name w:val="toc 3"/>
    <w:basedOn w:val="TOC2"/>
    <w:semiHidden/>
    <w:rsid w:val="00082EA6"/>
  </w:style>
  <w:style w:type="paragraph" w:styleId="TOC2">
    <w:name w:val="toc 2"/>
    <w:basedOn w:val="TOC1"/>
    <w:semiHidden/>
    <w:rsid w:val="00082EA6"/>
    <w:pPr>
      <w:spacing w:before="80"/>
      <w:ind w:left="1531" w:hanging="851"/>
    </w:pPr>
  </w:style>
  <w:style w:type="paragraph" w:styleId="TOC1">
    <w:name w:val="toc 1"/>
    <w:basedOn w:val="Normal"/>
    <w:semiHidden/>
    <w:rsid w:val="00082EA6"/>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082EA6"/>
  </w:style>
  <w:style w:type="paragraph" w:styleId="TOC6">
    <w:name w:val="toc 6"/>
    <w:basedOn w:val="TOC4"/>
    <w:semiHidden/>
    <w:rsid w:val="00082EA6"/>
  </w:style>
  <w:style w:type="paragraph" w:styleId="TOC5">
    <w:name w:val="toc 5"/>
    <w:basedOn w:val="TOC4"/>
    <w:semiHidden/>
    <w:rsid w:val="00082EA6"/>
  </w:style>
  <w:style w:type="paragraph" w:styleId="Footer">
    <w:name w:val="footer"/>
    <w:basedOn w:val="Normal"/>
    <w:link w:val="FooterChar"/>
    <w:uiPriority w:val="99"/>
    <w:rsid w:val="00082EA6"/>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aliases w:val="h,Header/Footer"/>
    <w:basedOn w:val="Normal"/>
    <w:link w:val="HeaderChar"/>
    <w:uiPriority w:val="99"/>
    <w:rsid w:val="00082EA6"/>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rsid w:val="00082EA6"/>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C3111E"/>
    <w:pPr>
      <w:keepLines/>
      <w:tabs>
        <w:tab w:val="left" w:pos="255"/>
      </w:tabs>
      <w:spacing w:before="80"/>
      <w:ind w:left="255" w:hanging="255"/>
    </w:pPr>
    <w:rPr>
      <w:sz w:val="20"/>
    </w:rPr>
  </w:style>
  <w:style w:type="paragraph" w:customStyle="1" w:styleId="Note">
    <w:name w:val="Note"/>
    <w:basedOn w:val="Normal"/>
    <w:rsid w:val="00223031"/>
    <w:pPr>
      <w:spacing w:before="80"/>
    </w:pPr>
    <w:rPr>
      <w:sz w:val="20"/>
    </w:rPr>
  </w:style>
  <w:style w:type="paragraph" w:customStyle="1" w:styleId="Section1">
    <w:name w:val="Section_1"/>
    <w:basedOn w:val="Normal"/>
    <w:next w:val="Normal"/>
    <w:rsid w:val="00082EA6"/>
    <w:pPr>
      <w:tabs>
        <w:tab w:val="clear" w:pos="794"/>
        <w:tab w:val="clear" w:pos="1191"/>
        <w:tab w:val="clear" w:pos="1588"/>
        <w:tab w:val="clear" w:pos="1985"/>
      </w:tabs>
      <w:spacing w:before="624"/>
      <w:jc w:val="center"/>
    </w:pPr>
    <w:rPr>
      <w:b/>
    </w:rPr>
  </w:style>
  <w:style w:type="paragraph" w:customStyle="1" w:styleId="enumlev1">
    <w:name w:val="enumlev1"/>
    <w:basedOn w:val="Normal"/>
    <w:link w:val="enumlev1Char"/>
    <w:rsid w:val="00082EA6"/>
    <w:pPr>
      <w:spacing w:before="80"/>
      <w:ind w:left="794" w:hanging="794"/>
    </w:pPr>
  </w:style>
  <w:style w:type="paragraph" w:customStyle="1" w:styleId="enumlev2">
    <w:name w:val="enumlev2"/>
    <w:basedOn w:val="enumlev1"/>
    <w:rsid w:val="00082EA6"/>
    <w:pPr>
      <w:ind w:left="1191" w:hanging="397"/>
    </w:pPr>
  </w:style>
  <w:style w:type="paragraph" w:customStyle="1" w:styleId="enumlev3">
    <w:name w:val="enumlev3"/>
    <w:basedOn w:val="enumlev2"/>
    <w:rsid w:val="00082EA6"/>
    <w:pPr>
      <w:ind w:left="1588"/>
    </w:pPr>
  </w:style>
  <w:style w:type="paragraph" w:customStyle="1" w:styleId="Section2">
    <w:name w:val="Section_2"/>
    <w:basedOn w:val="Normal"/>
    <w:next w:val="Normal"/>
    <w:rsid w:val="00082EA6"/>
    <w:pPr>
      <w:tabs>
        <w:tab w:val="clear" w:pos="794"/>
        <w:tab w:val="clear" w:pos="1191"/>
        <w:tab w:val="clear" w:pos="1588"/>
        <w:tab w:val="clear" w:pos="1985"/>
      </w:tabs>
      <w:spacing w:before="240"/>
      <w:jc w:val="center"/>
    </w:pPr>
    <w:rPr>
      <w:i/>
    </w:rPr>
  </w:style>
  <w:style w:type="paragraph" w:customStyle="1" w:styleId="Equation">
    <w:name w:val="Equation"/>
    <w:basedOn w:val="Normal"/>
    <w:rsid w:val="00082EA6"/>
    <w:pPr>
      <w:tabs>
        <w:tab w:val="clear" w:pos="1191"/>
        <w:tab w:val="clear" w:pos="1588"/>
        <w:tab w:val="clear" w:pos="1985"/>
        <w:tab w:val="center" w:pos="4820"/>
        <w:tab w:val="right" w:pos="9639"/>
      </w:tabs>
      <w:jc w:val="left"/>
    </w:pPr>
  </w:style>
  <w:style w:type="paragraph" w:customStyle="1" w:styleId="toc0">
    <w:name w:val="toc 0"/>
    <w:basedOn w:val="Normal"/>
    <w:next w:val="TOC1"/>
    <w:rsid w:val="00082EA6"/>
    <w:pPr>
      <w:keepLines/>
      <w:tabs>
        <w:tab w:val="clear" w:pos="794"/>
        <w:tab w:val="clear" w:pos="1191"/>
        <w:tab w:val="clear" w:pos="1588"/>
        <w:tab w:val="clear" w:pos="1985"/>
        <w:tab w:val="right" w:pos="9639"/>
      </w:tabs>
      <w:jc w:val="left"/>
    </w:pPr>
    <w:rPr>
      <w:b/>
    </w:rPr>
  </w:style>
  <w:style w:type="paragraph" w:customStyle="1" w:styleId="ASN1">
    <w:name w:val="ASN.1"/>
    <w:rsid w:val="00082EA6"/>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es-ES_tradnl" w:eastAsia="en-US"/>
    </w:rPr>
  </w:style>
  <w:style w:type="paragraph" w:styleId="TOC9">
    <w:name w:val="toc 9"/>
    <w:basedOn w:val="TOC3"/>
    <w:semiHidden/>
    <w:rsid w:val="00082EA6"/>
  </w:style>
  <w:style w:type="paragraph" w:customStyle="1" w:styleId="Chaptitle">
    <w:name w:val="Chap_title"/>
    <w:basedOn w:val="Normal"/>
    <w:next w:val="Normalaftertitle"/>
    <w:rsid w:val="00082EA6"/>
    <w:pPr>
      <w:keepNext/>
      <w:keepLines/>
      <w:spacing w:before="240"/>
      <w:jc w:val="center"/>
    </w:pPr>
    <w:rPr>
      <w:b/>
      <w:sz w:val="28"/>
    </w:rPr>
  </w:style>
  <w:style w:type="paragraph" w:styleId="Index1">
    <w:name w:val="index 1"/>
    <w:basedOn w:val="Normal"/>
    <w:next w:val="Normal"/>
    <w:semiHidden/>
    <w:rsid w:val="00082EA6"/>
    <w:pPr>
      <w:jc w:val="left"/>
    </w:pPr>
  </w:style>
  <w:style w:type="paragraph" w:customStyle="1" w:styleId="Formal">
    <w:name w:val="Formal"/>
    <w:basedOn w:val="ASN1"/>
    <w:rsid w:val="00082EA6"/>
    <w:rPr>
      <w:b w:val="0"/>
    </w:rPr>
  </w:style>
  <w:style w:type="paragraph" w:customStyle="1" w:styleId="AnnexNoTitle">
    <w:name w:val="Annex_NoTitle"/>
    <w:basedOn w:val="Normal"/>
    <w:next w:val="Normalaftertitle"/>
    <w:rsid w:val="00082EA6"/>
    <w:pPr>
      <w:keepNext/>
      <w:keepLines/>
      <w:spacing w:before="720"/>
      <w:jc w:val="center"/>
    </w:pPr>
    <w:rPr>
      <w:b/>
      <w:sz w:val="28"/>
    </w:rPr>
  </w:style>
  <w:style w:type="character" w:customStyle="1" w:styleId="Appdef">
    <w:name w:val="App_def"/>
    <w:rsid w:val="00082EA6"/>
    <w:rPr>
      <w:rFonts w:ascii="Times New Roman" w:hAnsi="Times New Roman" w:cs="Times New Roman"/>
      <w:b/>
    </w:rPr>
  </w:style>
  <w:style w:type="character" w:customStyle="1" w:styleId="Appref">
    <w:name w:val="App_ref"/>
    <w:rsid w:val="00082EA6"/>
    <w:rPr>
      <w:rFonts w:cs="Times New Roman"/>
    </w:rPr>
  </w:style>
  <w:style w:type="paragraph" w:customStyle="1" w:styleId="AppendixNoTitle">
    <w:name w:val="Appendix_NoTitle"/>
    <w:basedOn w:val="AnnexNoTitle"/>
    <w:next w:val="Normalaftertitle"/>
    <w:rsid w:val="00082EA6"/>
  </w:style>
  <w:style w:type="character" w:customStyle="1" w:styleId="Artdef">
    <w:name w:val="Art_def"/>
    <w:rsid w:val="00082EA6"/>
    <w:rPr>
      <w:rFonts w:ascii="Times New Roman" w:hAnsi="Times New Roman" w:cs="Times New Roman"/>
      <w:b/>
    </w:rPr>
  </w:style>
  <w:style w:type="paragraph" w:customStyle="1" w:styleId="Artheading">
    <w:name w:val="Art_heading"/>
    <w:basedOn w:val="Normal"/>
    <w:next w:val="Normalaftertitle"/>
    <w:rsid w:val="00082EA6"/>
    <w:pPr>
      <w:spacing w:before="480"/>
      <w:jc w:val="center"/>
    </w:pPr>
    <w:rPr>
      <w:b/>
      <w:sz w:val="28"/>
    </w:rPr>
  </w:style>
  <w:style w:type="paragraph" w:customStyle="1" w:styleId="ArtNo">
    <w:name w:val="Art_No"/>
    <w:basedOn w:val="Normal"/>
    <w:next w:val="Arttitle"/>
    <w:rsid w:val="00082EA6"/>
    <w:pPr>
      <w:keepNext/>
      <w:keepLines/>
      <w:spacing w:before="480"/>
      <w:jc w:val="center"/>
    </w:pPr>
    <w:rPr>
      <w:caps/>
      <w:sz w:val="28"/>
    </w:rPr>
  </w:style>
  <w:style w:type="character" w:customStyle="1" w:styleId="Artref">
    <w:name w:val="Art_ref"/>
    <w:rsid w:val="00082EA6"/>
    <w:rPr>
      <w:rFonts w:cs="Times New Roman"/>
    </w:rPr>
  </w:style>
  <w:style w:type="paragraph" w:customStyle="1" w:styleId="Arttitle">
    <w:name w:val="Art_title"/>
    <w:basedOn w:val="Normal"/>
    <w:next w:val="Normalaftertitle"/>
    <w:rsid w:val="00082EA6"/>
    <w:pPr>
      <w:keepNext/>
      <w:keepLines/>
      <w:spacing w:before="240"/>
      <w:jc w:val="center"/>
    </w:pPr>
    <w:rPr>
      <w:b/>
      <w:sz w:val="28"/>
    </w:rPr>
  </w:style>
  <w:style w:type="paragraph" w:customStyle="1" w:styleId="Call">
    <w:name w:val="Call"/>
    <w:basedOn w:val="Normal"/>
    <w:next w:val="Normal"/>
    <w:link w:val="CallChar"/>
    <w:rsid w:val="00082EA6"/>
    <w:pPr>
      <w:keepNext/>
      <w:keepLines/>
      <w:spacing w:before="160"/>
      <w:ind w:left="794"/>
      <w:jc w:val="left"/>
    </w:pPr>
    <w:rPr>
      <w:i/>
    </w:rPr>
  </w:style>
  <w:style w:type="paragraph" w:customStyle="1" w:styleId="ChapNo">
    <w:name w:val="Chap_No"/>
    <w:basedOn w:val="Normal"/>
    <w:next w:val="Chaptitle"/>
    <w:rsid w:val="00082EA6"/>
    <w:pPr>
      <w:keepNext/>
      <w:keepLines/>
      <w:spacing w:before="480"/>
      <w:jc w:val="center"/>
    </w:pPr>
    <w:rPr>
      <w:b/>
      <w:caps/>
      <w:sz w:val="28"/>
    </w:rPr>
  </w:style>
  <w:style w:type="paragraph" w:customStyle="1" w:styleId="Equationlegend">
    <w:name w:val="Equation_legend"/>
    <w:basedOn w:val="Normal"/>
    <w:rsid w:val="00082EA6"/>
    <w:pPr>
      <w:tabs>
        <w:tab w:val="clear" w:pos="794"/>
        <w:tab w:val="clear" w:pos="1191"/>
        <w:tab w:val="clear" w:pos="1588"/>
        <w:tab w:val="right" w:pos="1814"/>
      </w:tabs>
      <w:spacing w:before="80"/>
      <w:ind w:left="1985" w:hanging="1985"/>
    </w:pPr>
  </w:style>
  <w:style w:type="paragraph" w:customStyle="1" w:styleId="Figurelegend">
    <w:name w:val="Figure_legend"/>
    <w:basedOn w:val="Normal"/>
    <w:uiPriority w:val="99"/>
    <w:rsid w:val="00082EA6"/>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link w:val="FigureChar"/>
    <w:rsid w:val="00082EA6"/>
    <w:pPr>
      <w:keepNext/>
      <w:keepLines/>
      <w:spacing w:before="240" w:after="120"/>
      <w:jc w:val="center"/>
    </w:pPr>
  </w:style>
  <w:style w:type="paragraph" w:customStyle="1" w:styleId="FigureNoTitle">
    <w:name w:val="Figure_NoTitle"/>
    <w:basedOn w:val="Normal"/>
    <w:next w:val="Normalaftertitle"/>
    <w:rsid w:val="00082EA6"/>
    <w:pPr>
      <w:keepLines/>
      <w:spacing w:before="240" w:after="120"/>
      <w:jc w:val="center"/>
    </w:pPr>
    <w:rPr>
      <w:b/>
    </w:rPr>
  </w:style>
  <w:style w:type="paragraph" w:customStyle="1" w:styleId="Figurewithouttitle">
    <w:name w:val="Figure_without_title"/>
    <w:basedOn w:val="Normal"/>
    <w:next w:val="Normalaftertitle"/>
    <w:rsid w:val="00082EA6"/>
    <w:pPr>
      <w:keepLines/>
      <w:spacing w:before="240" w:after="120"/>
      <w:jc w:val="center"/>
    </w:pPr>
  </w:style>
  <w:style w:type="paragraph" w:customStyle="1" w:styleId="FirstFooter">
    <w:name w:val="FirstFooter"/>
    <w:basedOn w:val="Footer"/>
    <w:rsid w:val="00082EA6"/>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link w:val="FooterQPChar"/>
    <w:rsid w:val="00082EA6"/>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082EA6"/>
    <w:pPr>
      <w:keepNext/>
      <w:spacing w:before="160"/>
      <w:jc w:val="left"/>
    </w:pPr>
    <w:rPr>
      <w:b/>
    </w:rPr>
  </w:style>
  <w:style w:type="paragraph" w:customStyle="1" w:styleId="Headingi">
    <w:name w:val="Heading_i"/>
    <w:basedOn w:val="Normal"/>
    <w:next w:val="Normal"/>
    <w:rsid w:val="00082EA6"/>
    <w:pPr>
      <w:keepNext/>
      <w:spacing w:before="160"/>
      <w:jc w:val="left"/>
    </w:pPr>
    <w:rPr>
      <w:i/>
    </w:rPr>
  </w:style>
  <w:style w:type="paragraph" w:styleId="Index2">
    <w:name w:val="index 2"/>
    <w:basedOn w:val="Normal"/>
    <w:next w:val="Normal"/>
    <w:semiHidden/>
    <w:rsid w:val="00082EA6"/>
    <w:pPr>
      <w:ind w:left="284"/>
      <w:jc w:val="left"/>
    </w:pPr>
  </w:style>
  <w:style w:type="paragraph" w:styleId="Index3">
    <w:name w:val="index 3"/>
    <w:basedOn w:val="Normal"/>
    <w:next w:val="Normal"/>
    <w:semiHidden/>
    <w:rsid w:val="00082EA6"/>
    <w:pPr>
      <w:ind w:left="567"/>
      <w:jc w:val="left"/>
    </w:pPr>
  </w:style>
  <w:style w:type="paragraph" w:customStyle="1" w:styleId="Normalaftertitle">
    <w:name w:val="Normal_after_title"/>
    <w:basedOn w:val="Normal"/>
    <w:next w:val="Normal"/>
    <w:rsid w:val="00082EA6"/>
    <w:pPr>
      <w:spacing w:before="360"/>
    </w:pPr>
  </w:style>
  <w:style w:type="paragraph" w:customStyle="1" w:styleId="PartNo">
    <w:name w:val="Part_No"/>
    <w:basedOn w:val="Normal"/>
    <w:next w:val="Partref"/>
    <w:rsid w:val="00082EA6"/>
    <w:pPr>
      <w:keepNext/>
      <w:keepLines/>
      <w:spacing w:before="480" w:after="80"/>
      <w:jc w:val="center"/>
    </w:pPr>
    <w:rPr>
      <w:caps/>
      <w:sz w:val="28"/>
    </w:rPr>
  </w:style>
  <w:style w:type="paragraph" w:customStyle="1" w:styleId="Partref">
    <w:name w:val="Part_ref"/>
    <w:basedOn w:val="Normal"/>
    <w:next w:val="Parttitle"/>
    <w:rsid w:val="00082EA6"/>
    <w:pPr>
      <w:keepNext/>
      <w:keepLines/>
      <w:spacing w:before="280"/>
      <w:jc w:val="center"/>
    </w:pPr>
  </w:style>
  <w:style w:type="paragraph" w:customStyle="1" w:styleId="Parttitle">
    <w:name w:val="Part_title"/>
    <w:basedOn w:val="Normal"/>
    <w:next w:val="Normalaftertitle"/>
    <w:rsid w:val="00082EA6"/>
    <w:pPr>
      <w:keepNext/>
      <w:keepLines/>
      <w:spacing w:before="240" w:after="280"/>
      <w:jc w:val="center"/>
    </w:pPr>
    <w:rPr>
      <w:b/>
      <w:sz w:val="28"/>
    </w:rPr>
  </w:style>
  <w:style w:type="paragraph" w:customStyle="1" w:styleId="Recdate">
    <w:name w:val="Rec_date"/>
    <w:basedOn w:val="Normal"/>
    <w:next w:val="Normalaftertitle"/>
    <w:rsid w:val="00082EA6"/>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082EA6"/>
  </w:style>
  <w:style w:type="paragraph" w:customStyle="1" w:styleId="RecNo">
    <w:name w:val="Rec_No"/>
    <w:basedOn w:val="Normal"/>
    <w:next w:val="Rectitle"/>
    <w:rsid w:val="00082EA6"/>
    <w:pPr>
      <w:keepNext/>
      <w:keepLines/>
      <w:spacing w:before="0"/>
      <w:jc w:val="left"/>
    </w:pPr>
    <w:rPr>
      <w:b/>
      <w:sz w:val="28"/>
    </w:rPr>
  </w:style>
  <w:style w:type="paragraph" w:customStyle="1" w:styleId="QuestionNo">
    <w:name w:val="Question_No"/>
    <w:basedOn w:val="RecNo"/>
    <w:next w:val="Questiontitle"/>
    <w:rsid w:val="00082EA6"/>
  </w:style>
  <w:style w:type="paragraph" w:customStyle="1" w:styleId="Recref">
    <w:name w:val="Rec_ref"/>
    <w:basedOn w:val="Normal"/>
    <w:next w:val="Recdate"/>
    <w:rsid w:val="00082EA6"/>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082EA6"/>
  </w:style>
  <w:style w:type="paragraph" w:customStyle="1" w:styleId="Rectitle">
    <w:name w:val="Rec_title"/>
    <w:basedOn w:val="Normal"/>
    <w:next w:val="Normalaftertitle"/>
    <w:rsid w:val="00082EA6"/>
    <w:pPr>
      <w:keepNext/>
      <w:keepLines/>
      <w:spacing w:before="360"/>
      <w:jc w:val="center"/>
    </w:pPr>
    <w:rPr>
      <w:b/>
      <w:sz w:val="28"/>
    </w:rPr>
  </w:style>
  <w:style w:type="paragraph" w:customStyle="1" w:styleId="Questiontitle">
    <w:name w:val="Question_title"/>
    <w:basedOn w:val="Rectitle"/>
    <w:next w:val="Questionref"/>
    <w:rsid w:val="00082EA6"/>
  </w:style>
  <w:style w:type="paragraph" w:customStyle="1" w:styleId="Reftext">
    <w:name w:val="Ref_text"/>
    <w:basedOn w:val="Normal"/>
    <w:rsid w:val="00082EA6"/>
    <w:pPr>
      <w:ind w:left="794" w:hanging="794"/>
      <w:jc w:val="left"/>
    </w:pPr>
  </w:style>
  <w:style w:type="character" w:styleId="PageNumber">
    <w:name w:val="page number"/>
    <w:rsid w:val="00082EA6"/>
    <w:rPr>
      <w:rFonts w:cs="Times New Roman"/>
    </w:rPr>
  </w:style>
  <w:style w:type="paragraph" w:customStyle="1" w:styleId="Repdate">
    <w:name w:val="Rep_date"/>
    <w:basedOn w:val="Recdate"/>
    <w:next w:val="Normalaftertitle"/>
    <w:rsid w:val="00082EA6"/>
  </w:style>
  <w:style w:type="paragraph" w:customStyle="1" w:styleId="RepNo">
    <w:name w:val="Rep_No"/>
    <w:basedOn w:val="RecNo"/>
    <w:next w:val="Reptitle"/>
    <w:rsid w:val="00082EA6"/>
  </w:style>
  <w:style w:type="paragraph" w:customStyle="1" w:styleId="Repref">
    <w:name w:val="Rep_ref"/>
    <w:basedOn w:val="Recref"/>
    <w:next w:val="Repdate"/>
    <w:rsid w:val="00082EA6"/>
  </w:style>
  <w:style w:type="paragraph" w:customStyle="1" w:styleId="Reptitle">
    <w:name w:val="Rep_title"/>
    <w:basedOn w:val="Rectitle"/>
    <w:next w:val="Repref"/>
    <w:rsid w:val="00082EA6"/>
  </w:style>
  <w:style w:type="paragraph" w:customStyle="1" w:styleId="Resdate">
    <w:name w:val="Res_date"/>
    <w:basedOn w:val="Recdate"/>
    <w:next w:val="Normalaftertitle"/>
    <w:rsid w:val="00082EA6"/>
  </w:style>
  <w:style w:type="character" w:customStyle="1" w:styleId="Resdef">
    <w:name w:val="Res_def"/>
    <w:rsid w:val="00082EA6"/>
    <w:rPr>
      <w:rFonts w:ascii="Times New Roman" w:hAnsi="Times New Roman" w:cs="Times New Roman"/>
      <w:b/>
    </w:rPr>
  </w:style>
  <w:style w:type="paragraph" w:customStyle="1" w:styleId="ResNo">
    <w:name w:val="Res_No"/>
    <w:basedOn w:val="RecNo"/>
    <w:next w:val="Restitle"/>
    <w:link w:val="ResNoChar"/>
    <w:rsid w:val="00100C95"/>
    <w:pPr>
      <w:jc w:val="center"/>
      <w:outlineLvl w:val="0"/>
    </w:pPr>
    <w:rPr>
      <w:b w:val="0"/>
    </w:rPr>
  </w:style>
  <w:style w:type="paragraph" w:customStyle="1" w:styleId="Resref">
    <w:name w:val="Res_ref"/>
    <w:basedOn w:val="Recref"/>
    <w:next w:val="Resdate"/>
    <w:qFormat/>
    <w:rsid w:val="00082EA6"/>
  </w:style>
  <w:style w:type="paragraph" w:customStyle="1" w:styleId="Restitle">
    <w:name w:val="Res_title"/>
    <w:basedOn w:val="Rectitle"/>
    <w:next w:val="Resref"/>
    <w:link w:val="RestitleChar"/>
    <w:rsid w:val="00082EA6"/>
  </w:style>
  <w:style w:type="paragraph" w:customStyle="1" w:styleId="SectionNo">
    <w:name w:val="Section_No"/>
    <w:basedOn w:val="Normal"/>
    <w:next w:val="Sectiontitle"/>
    <w:rsid w:val="00082EA6"/>
    <w:pPr>
      <w:keepNext/>
      <w:keepLines/>
      <w:spacing w:before="480" w:after="80"/>
      <w:jc w:val="center"/>
    </w:pPr>
    <w:rPr>
      <w:caps/>
      <w:sz w:val="28"/>
    </w:rPr>
  </w:style>
  <w:style w:type="paragraph" w:customStyle="1" w:styleId="Sectiontitle">
    <w:name w:val="Section_title"/>
    <w:basedOn w:val="Normal"/>
    <w:next w:val="Normalaftertitle"/>
    <w:rsid w:val="00082EA6"/>
    <w:pPr>
      <w:keepNext/>
      <w:keepLines/>
      <w:spacing w:before="480" w:after="280"/>
      <w:jc w:val="center"/>
    </w:pPr>
    <w:rPr>
      <w:b/>
      <w:sz w:val="28"/>
    </w:rPr>
  </w:style>
  <w:style w:type="paragraph" w:customStyle="1" w:styleId="Source">
    <w:name w:val="Source"/>
    <w:basedOn w:val="Normal"/>
    <w:next w:val="Normalaftertitle"/>
    <w:rsid w:val="00082EA6"/>
    <w:pPr>
      <w:spacing w:before="840" w:after="200"/>
      <w:jc w:val="center"/>
    </w:pPr>
    <w:rPr>
      <w:b/>
      <w:sz w:val="28"/>
    </w:rPr>
  </w:style>
  <w:style w:type="paragraph" w:customStyle="1" w:styleId="SpecialFooter">
    <w:name w:val="Special Footer"/>
    <w:basedOn w:val="Footer"/>
    <w:rsid w:val="00082EA6"/>
    <w:pPr>
      <w:tabs>
        <w:tab w:val="left" w:pos="567"/>
        <w:tab w:val="left" w:pos="1134"/>
        <w:tab w:val="left" w:pos="1701"/>
        <w:tab w:val="left" w:pos="2268"/>
        <w:tab w:val="left" w:pos="2835"/>
      </w:tabs>
    </w:pPr>
    <w:rPr>
      <w:caps w:val="0"/>
      <w:noProof w:val="0"/>
    </w:rPr>
  </w:style>
  <w:style w:type="character" w:customStyle="1" w:styleId="Tablefreq">
    <w:name w:val="Table_freq"/>
    <w:rsid w:val="00082EA6"/>
    <w:rPr>
      <w:rFonts w:cs="Times New Roman"/>
      <w:b/>
      <w:color w:val="auto"/>
    </w:rPr>
  </w:style>
  <w:style w:type="paragraph" w:customStyle="1" w:styleId="Tablehead">
    <w:name w:val="Table_head"/>
    <w:basedOn w:val="Normal"/>
    <w:next w:val="Tabletext"/>
    <w:link w:val="TableheadChar"/>
    <w:rsid w:val="00082EA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legend">
    <w:name w:val="Table_legend"/>
    <w:basedOn w:val="Normal"/>
    <w:rsid w:val="00082EA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character" w:styleId="Hyperlink">
    <w:name w:val="Hyperlink"/>
    <w:rsid w:val="00082EA6"/>
    <w:rPr>
      <w:rFonts w:cs="Times New Roman"/>
      <w:color w:val="0000FF"/>
      <w:u w:val="single"/>
    </w:rPr>
  </w:style>
  <w:style w:type="paragraph" w:customStyle="1" w:styleId="Tabletext">
    <w:name w:val="Table_text"/>
    <w:basedOn w:val="Normal"/>
    <w:rsid w:val="00082EA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TableNoTitle">
    <w:name w:val="Table_NoTitle"/>
    <w:basedOn w:val="Normal"/>
    <w:next w:val="Tablehead"/>
    <w:rsid w:val="00082EA6"/>
    <w:pPr>
      <w:keepNext/>
      <w:keepLines/>
      <w:spacing w:before="360" w:after="120"/>
      <w:jc w:val="center"/>
    </w:pPr>
    <w:rPr>
      <w:b/>
    </w:rPr>
  </w:style>
  <w:style w:type="paragraph" w:customStyle="1" w:styleId="Title1">
    <w:name w:val="Title 1"/>
    <w:basedOn w:val="Source"/>
    <w:next w:val="Title2"/>
    <w:rsid w:val="00082EA6"/>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082EA6"/>
  </w:style>
  <w:style w:type="paragraph" w:customStyle="1" w:styleId="Title3">
    <w:name w:val="Title 3"/>
    <w:basedOn w:val="Title2"/>
    <w:next w:val="Title4"/>
    <w:rsid w:val="00082EA6"/>
    <w:rPr>
      <w:caps w:val="0"/>
    </w:rPr>
  </w:style>
  <w:style w:type="paragraph" w:customStyle="1" w:styleId="Title4">
    <w:name w:val="Title 4"/>
    <w:basedOn w:val="Title3"/>
    <w:next w:val="Heading1"/>
    <w:rsid w:val="00082EA6"/>
    <w:rPr>
      <w:b/>
    </w:rPr>
  </w:style>
  <w:style w:type="table" w:styleId="TableGrid">
    <w:name w:val="Table Grid"/>
    <w:basedOn w:val="TableNormal"/>
    <w:rsid w:val="00FB6D55"/>
    <w:pPr>
      <w:tabs>
        <w:tab w:val="left" w:pos="794"/>
        <w:tab w:val="left" w:pos="1191"/>
        <w:tab w:val="left" w:pos="1588"/>
        <w:tab w:val="left" w:pos="1985"/>
      </w:tabs>
      <w:overflowPunct w:val="0"/>
      <w:autoSpaceDE w:val="0"/>
      <w:autoSpaceDN w:val="0"/>
      <w:adjustRightInd w:val="0"/>
      <w:spacing w:before="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title">
    <w:name w:val="Ref_title"/>
    <w:basedOn w:val="Normal"/>
    <w:next w:val="Reftext"/>
    <w:rsid w:val="00082EA6"/>
    <w:pPr>
      <w:spacing w:before="480"/>
      <w:jc w:val="center"/>
    </w:pPr>
    <w:rPr>
      <w:b/>
    </w:rPr>
  </w:style>
  <w:style w:type="character" w:customStyle="1" w:styleId="TableheadChar">
    <w:name w:val="Table_head Char"/>
    <w:link w:val="Tablehead"/>
    <w:locked/>
    <w:rsid w:val="00BD5BF5"/>
    <w:rPr>
      <w:rFonts w:cs="Times New Roman"/>
      <w:b/>
      <w:sz w:val="22"/>
      <w:lang w:val="es-ES_tradnl" w:eastAsia="en-US" w:bidi="ar-SA"/>
    </w:rPr>
  </w:style>
  <w:style w:type="character" w:customStyle="1" w:styleId="FigureChar">
    <w:name w:val="Figure Char"/>
    <w:link w:val="Figure"/>
    <w:locked/>
    <w:rsid w:val="00065BE4"/>
    <w:rPr>
      <w:rFonts w:cs="Times New Roman"/>
      <w:sz w:val="24"/>
      <w:lang w:val="es-ES_tradnl" w:eastAsia="en-US" w:bidi="ar-SA"/>
    </w:rPr>
  </w:style>
  <w:style w:type="paragraph" w:customStyle="1" w:styleId="TableNotitle0">
    <w:name w:val="Table_No &amp; title"/>
    <w:basedOn w:val="Normal"/>
    <w:next w:val="Tablehead"/>
    <w:rsid w:val="00FB6D55"/>
    <w:pPr>
      <w:keepNext/>
      <w:keepLines/>
      <w:spacing w:before="360" w:after="120"/>
      <w:jc w:val="center"/>
    </w:pPr>
    <w:rPr>
      <w:b/>
    </w:rPr>
  </w:style>
  <w:style w:type="character" w:customStyle="1" w:styleId="Heading2Char">
    <w:name w:val="Heading 2 Char"/>
    <w:link w:val="Heading2"/>
    <w:locked/>
    <w:rsid w:val="00FB6D55"/>
    <w:rPr>
      <w:rFonts w:cs="Times New Roman"/>
      <w:b/>
      <w:sz w:val="24"/>
      <w:lang w:val="es-ES_tradnl" w:eastAsia="en-US" w:bidi="ar-SA"/>
    </w:rPr>
  </w:style>
  <w:style w:type="character" w:customStyle="1" w:styleId="enumlev1Char">
    <w:name w:val="enumlev1 Char"/>
    <w:link w:val="enumlev1"/>
    <w:uiPriority w:val="99"/>
    <w:locked/>
    <w:rsid w:val="00C87C51"/>
    <w:rPr>
      <w:rFonts w:cs="Times New Roman"/>
      <w:sz w:val="24"/>
      <w:lang w:val="es-ES_tradnl" w:eastAsia="en-US" w:bidi="ar-SA"/>
    </w:rPr>
  </w:style>
  <w:style w:type="paragraph" w:customStyle="1" w:styleId="TableText0">
    <w:name w:val="Table_Text"/>
    <w:basedOn w:val="Normal"/>
    <w:rsid w:val="00FB6D5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TableHead0">
    <w:name w:val="Table_Head"/>
    <w:basedOn w:val="TableText0"/>
    <w:rsid w:val="00FB6D55"/>
    <w:pPr>
      <w:spacing w:before="80" w:after="80"/>
      <w:jc w:val="center"/>
    </w:pPr>
    <w:rPr>
      <w:b/>
    </w:rPr>
  </w:style>
  <w:style w:type="character" w:customStyle="1" w:styleId="FooterQPChar">
    <w:name w:val="Footer_QP Char"/>
    <w:link w:val="FooterQP"/>
    <w:locked/>
    <w:rsid w:val="00C87C51"/>
    <w:rPr>
      <w:rFonts w:cs="Times New Roman"/>
      <w:b/>
      <w:sz w:val="22"/>
      <w:lang w:val="es-ES_tradnl" w:eastAsia="en-US" w:bidi="ar-SA"/>
    </w:rPr>
  </w:style>
  <w:style w:type="character" w:customStyle="1" w:styleId="FooterChar">
    <w:name w:val="Footer Char"/>
    <w:link w:val="Footer"/>
    <w:uiPriority w:val="99"/>
    <w:rsid w:val="006F5455"/>
    <w:rPr>
      <w:rFonts w:ascii="Times New Roman" w:hAnsi="Times New Roman"/>
      <w:caps/>
      <w:noProof/>
      <w:sz w:val="16"/>
      <w:lang w:val="es-ES_tradnl" w:eastAsia="en-US"/>
    </w:rPr>
  </w:style>
  <w:style w:type="character" w:customStyle="1" w:styleId="HeaderChar">
    <w:name w:val="Header Char"/>
    <w:aliases w:val="h Char,Header/Footer Char"/>
    <w:link w:val="Header"/>
    <w:uiPriority w:val="99"/>
    <w:rsid w:val="006F5455"/>
    <w:rPr>
      <w:rFonts w:ascii="Times New Roman" w:hAnsi="Times New Roman"/>
      <w:sz w:val="18"/>
      <w:lang w:val="es-ES_tradnl"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C3111E"/>
    <w:rPr>
      <w:rFonts w:ascii="Times New Roman" w:hAnsi="Times New Roman"/>
      <w:lang w:val="es-ES_tradnl" w:eastAsia="en-US"/>
    </w:rPr>
  </w:style>
  <w:style w:type="character" w:customStyle="1" w:styleId="CallChar">
    <w:name w:val="Call Char"/>
    <w:link w:val="Call"/>
    <w:rsid w:val="006F5455"/>
    <w:rPr>
      <w:rFonts w:ascii="Times New Roman" w:hAnsi="Times New Roman"/>
      <w:i/>
      <w:sz w:val="24"/>
      <w:lang w:val="es-ES_tradnl" w:eastAsia="en-US"/>
    </w:rPr>
  </w:style>
  <w:style w:type="character" w:customStyle="1" w:styleId="RestitleChar">
    <w:name w:val="Res_title Char"/>
    <w:link w:val="Restitle"/>
    <w:rsid w:val="006F5455"/>
    <w:rPr>
      <w:rFonts w:ascii="Times New Roman" w:hAnsi="Times New Roman"/>
      <w:b/>
      <w:sz w:val="28"/>
      <w:lang w:val="es-ES_tradnl" w:eastAsia="en-US"/>
    </w:rPr>
  </w:style>
  <w:style w:type="character" w:customStyle="1" w:styleId="ResNoChar">
    <w:name w:val="Res_No Char"/>
    <w:link w:val="ResNo"/>
    <w:rsid w:val="00100C95"/>
    <w:rPr>
      <w:rFonts w:ascii="Times New Roman" w:hAnsi="Times New Roman"/>
      <w:sz w:val="28"/>
      <w:lang w:val="es-ES_tradnl" w:eastAsia="en-US"/>
    </w:rPr>
  </w:style>
  <w:style w:type="character" w:customStyle="1" w:styleId="href">
    <w:name w:val="href"/>
    <w:uiPriority w:val="99"/>
    <w:rsid w:val="006F5455"/>
  </w:style>
  <w:style w:type="paragraph" w:customStyle="1" w:styleId="AppendixNo">
    <w:name w:val="Appendix_No"/>
    <w:basedOn w:val="Normal"/>
    <w:next w:val="Normal"/>
    <w:rsid w:val="006F5455"/>
    <w:pPr>
      <w:keepNext/>
      <w:keepLines/>
      <w:spacing w:before="480" w:after="80"/>
      <w:jc w:val="center"/>
    </w:pPr>
    <w:rPr>
      <w:caps/>
      <w:sz w:val="28"/>
      <w:lang w:val="en-GB"/>
    </w:rPr>
  </w:style>
  <w:style w:type="paragraph" w:customStyle="1" w:styleId="Appendixtitle">
    <w:name w:val="Appendix_title"/>
    <w:basedOn w:val="Normal"/>
    <w:next w:val="Normal"/>
    <w:uiPriority w:val="99"/>
    <w:rsid w:val="006F5455"/>
    <w:pPr>
      <w:keepNext/>
      <w:keepLines/>
      <w:spacing w:before="240" w:after="280"/>
      <w:jc w:val="center"/>
    </w:pPr>
    <w:rPr>
      <w:rFonts w:ascii="Times New Roman Bold" w:hAnsi="Times New Roman Bold"/>
      <w:b/>
      <w:sz w:val="28"/>
      <w:lang w:val="en-GB"/>
    </w:rPr>
  </w:style>
  <w:style w:type="paragraph" w:customStyle="1" w:styleId="FigureNo">
    <w:name w:val="Figure_No"/>
    <w:basedOn w:val="Normal"/>
    <w:next w:val="Figuretitle"/>
    <w:rsid w:val="006F5455"/>
    <w:pPr>
      <w:keepNext/>
      <w:keepLines/>
      <w:spacing w:before="480" w:after="120"/>
      <w:jc w:val="center"/>
    </w:pPr>
    <w:rPr>
      <w:caps/>
      <w:lang w:val="en-GB"/>
    </w:rPr>
  </w:style>
  <w:style w:type="paragraph" w:customStyle="1" w:styleId="Figuretitle">
    <w:name w:val="Figure_title"/>
    <w:basedOn w:val="Normal"/>
    <w:next w:val="Normal"/>
    <w:uiPriority w:val="99"/>
    <w:rsid w:val="006F5455"/>
    <w:pPr>
      <w:keepLines/>
      <w:spacing w:before="0" w:after="480"/>
      <w:jc w:val="center"/>
    </w:pPr>
    <w:rPr>
      <w:rFonts w:ascii="Times New Roman Bold" w:hAnsi="Times New Roman Bold"/>
      <w:b/>
      <w:lang w:val="en-GB"/>
    </w:rPr>
  </w:style>
  <w:style w:type="paragraph" w:styleId="NormalWeb">
    <w:name w:val="Normal (Web)"/>
    <w:basedOn w:val="Normal"/>
    <w:uiPriority w:val="99"/>
    <w:unhideWhenUsed/>
    <w:rsid w:val="006F5455"/>
    <w:pPr>
      <w:tabs>
        <w:tab w:val="clear" w:pos="794"/>
        <w:tab w:val="clear" w:pos="1191"/>
        <w:tab w:val="clear" w:pos="1588"/>
        <w:tab w:val="clear" w:pos="1985"/>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Normalaftertitle0">
    <w:name w:val="Normal after title"/>
    <w:basedOn w:val="Normal"/>
    <w:next w:val="Normal"/>
    <w:link w:val="NormalaftertitleChar"/>
    <w:rsid w:val="006F5455"/>
    <w:pPr>
      <w:tabs>
        <w:tab w:val="clear" w:pos="794"/>
        <w:tab w:val="clear" w:pos="1191"/>
        <w:tab w:val="clear" w:pos="1588"/>
        <w:tab w:val="clear" w:pos="1985"/>
        <w:tab w:val="left" w:pos="1134"/>
        <w:tab w:val="left" w:pos="1871"/>
        <w:tab w:val="left" w:pos="2268"/>
      </w:tabs>
      <w:spacing w:before="280"/>
    </w:pPr>
    <w:rPr>
      <w:lang w:val="en-GB"/>
    </w:rPr>
  </w:style>
  <w:style w:type="character" w:customStyle="1" w:styleId="NormalaftertitleChar">
    <w:name w:val="Normal after title Char"/>
    <w:link w:val="Normalaftertitle0"/>
    <w:locked/>
    <w:rsid w:val="006F5455"/>
    <w:rPr>
      <w:rFonts w:ascii="Times New Roman" w:hAnsi="Times New Roman"/>
      <w:sz w:val="22"/>
      <w:lang w:val="en-GB" w:eastAsia="en-US"/>
    </w:rPr>
  </w:style>
  <w:style w:type="paragraph" w:customStyle="1" w:styleId="StyleResNoNotBoldAllcaps">
    <w:name w:val="Style Res_No + Not Bold All caps"/>
    <w:basedOn w:val="ResNo"/>
    <w:rsid w:val="00100C95"/>
    <w:rPr>
      <w:b/>
      <w:caps/>
    </w:rPr>
  </w:style>
  <w:style w:type="paragraph" w:customStyle="1" w:styleId="Reasons">
    <w:name w:val="Reasons"/>
    <w:basedOn w:val="Normal"/>
    <w:qFormat/>
    <w:rsid w:val="00C861F7"/>
    <w:pPr>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er\Application%20Data\Microsoft\Templates\QuickPub%20-%20ITU\QP-Piano\QPUB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QPUBS.dot</Template>
  <TotalTime>5</TotalTime>
  <Pages>4</Pages>
  <Words>859</Words>
  <Characters>4656</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Resolución 74 – Mejora de la participación de Miembros de Sector de los países en desarrollo en la labor del Sector de Normalización de las Telecomunicaciones de la UIT</vt:lpstr>
    </vt:vector>
  </TitlesOfParts>
  <Company>International Telecommunication Union (ITU)</Company>
  <LinksUpToDate>false</LinksUpToDate>
  <CharactersWithSpaces>5504</CharactersWithSpaces>
  <SharedDoc>false</SharedDoc>
  <HLinks>
    <vt:vector size="6" baseType="variant">
      <vt:variant>
        <vt:i4>5832768</vt:i4>
      </vt:variant>
      <vt:variant>
        <vt:i4>6</vt:i4>
      </vt:variant>
      <vt:variant>
        <vt:i4>0</vt:i4>
      </vt:variant>
      <vt:variant>
        <vt:i4>5</vt:i4>
      </vt:variant>
      <vt:variant>
        <vt:lpwstr>http://www.itu.int/ITU 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74 – Mejora de la participación de Miembros de Sector de los países en desarrollo en la labor del Sector de Normalización de las Telecomunicaciones de la UIT</dc:title>
  <dc:subject>World Telecommunication Standardization Assembly</dc:subject>
  <dc:creator>ITU-T</dc:creator>
  <cp:keywords/>
  <dc:description/>
  <cp:lastModifiedBy>Catalano Moreira, Rossana</cp:lastModifiedBy>
  <cp:revision>5</cp:revision>
  <cp:lastPrinted>2016-12-13T15:23:00Z</cp:lastPrinted>
  <dcterms:created xsi:type="dcterms:W3CDTF">2022-04-20T07:30:00Z</dcterms:created>
  <dcterms:modified xsi:type="dcterms:W3CDTF">2022-04-20T07:35:00Z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E.802</vt:lpwstr>
  </property>
  <property fmtid="{D5CDD505-2E9C-101B-9397-08002B2CF9AE}" pid="3" name="docdate">
    <vt:lpwstr>8 de febrero de 2007</vt:lpwstr>
  </property>
  <property fmtid="{D5CDD505-2E9C-101B-9397-08002B2CF9AE}" pid="4" name="doctitle">
    <vt:lpwstr>Marco y metodología para la determinación y la aplicación de parámetros de calidad de servicio</vt:lpwstr>
  </property>
  <property fmtid="{D5CDD505-2E9C-101B-9397-08002B2CF9AE}" pid="5" name="doctitle2">
    <vt:lpwstr>SERIE E: EXPLOTACIÓN GENERAL DE LA RED, SERVICIO TELEFÓNICO, EXPLOTACIÓN DEL SERVICIO Y FACTORES HUMANOS Calidad de los servicios de telecomunicación: conceptos, modelos, objetivos, planificación de la seguridad de funcionamiento – Términos y definiciones</vt:lpwstr>
  </property>
</Properties>
</file>