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21717B" w:rsidP="0021717B">
            <w:pPr>
              <w:tabs>
                <w:tab w:val="right" w:pos="9639"/>
              </w:tabs>
              <w:jc w:val="left"/>
              <w:rPr>
                <w:rFonts w:ascii="Arial" w:hAnsi="Arial"/>
                <w:b/>
                <w:bCs/>
                <w:sz w:val="36"/>
                <w:lang w:val="fr-CH"/>
              </w:rPr>
            </w:pPr>
            <w:r w:rsidRPr="00A052F7">
              <w:rPr>
                <w:rFonts w:ascii="Arial" w:hAnsi="Arial" w:cs="Arial"/>
                <w:b/>
                <w:sz w:val="36"/>
                <w:szCs w:val="36"/>
                <w:lang w:val="fr-CH"/>
              </w:rPr>
              <w:t xml:space="preserve">Résolution </w:t>
            </w:r>
            <w:r w:rsidRPr="00A052F7">
              <w:rPr>
                <w:rStyle w:val="href"/>
                <w:rFonts w:ascii="Arial" w:hAnsi="Arial" w:cs="Arial"/>
                <w:b/>
                <w:sz w:val="36"/>
                <w:szCs w:val="36"/>
                <w:lang w:val="fr-CH"/>
              </w:rPr>
              <w:t xml:space="preserve">74 – </w:t>
            </w:r>
            <w:r w:rsidRPr="00A052F7">
              <w:rPr>
                <w:rFonts w:ascii="Arial" w:hAnsi="Arial" w:cs="Arial"/>
                <w:b/>
                <w:sz w:val="36"/>
                <w:szCs w:val="36"/>
              </w:rPr>
              <w:t xml:space="preserve">Admission de Membres </w:t>
            </w:r>
            <w:r>
              <w:rPr>
                <w:rFonts w:ascii="Arial" w:hAnsi="Arial" w:cs="Arial"/>
                <w:b/>
                <w:sz w:val="36"/>
                <w:szCs w:val="36"/>
              </w:rPr>
              <w:br/>
            </w:r>
            <w:r w:rsidRPr="00A052F7">
              <w:rPr>
                <w:rFonts w:ascii="Arial" w:hAnsi="Arial" w:cs="Arial"/>
                <w:b/>
                <w:sz w:val="36"/>
                <w:szCs w:val="36"/>
              </w:rPr>
              <w:t xml:space="preserve">de Secteur de pays en développement à participer aux travaux du Secteur </w:t>
            </w:r>
            <w:r>
              <w:rPr>
                <w:rFonts w:ascii="Arial" w:hAnsi="Arial" w:cs="Arial"/>
                <w:b/>
                <w:sz w:val="36"/>
                <w:szCs w:val="36"/>
              </w:rPr>
              <w:br/>
              <w:t xml:space="preserve">de la normalisation des </w:t>
            </w:r>
            <w:r w:rsidRPr="00A052F7">
              <w:rPr>
                <w:rFonts w:ascii="Arial" w:hAnsi="Arial" w:cs="Arial"/>
                <w:b/>
                <w:sz w:val="36"/>
                <w:szCs w:val="36"/>
                <w:lang w:val="fr-CH"/>
              </w:rPr>
              <w:t>télécommunications</w:t>
            </w:r>
            <w:r w:rsidRPr="00A052F7">
              <w:rPr>
                <w:rFonts w:ascii="Arial" w:hAnsi="Arial" w:cs="Arial"/>
                <w:b/>
                <w:sz w:val="36"/>
                <w:szCs w:val="36"/>
              </w:rPr>
              <w:t xml:space="preserve"> </w:t>
            </w:r>
            <w:r>
              <w:rPr>
                <w:rFonts w:ascii="Arial" w:hAnsi="Arial" w:cs="Arial"/>
                <w:b/>
                <w:sz w:val="36"/>
                <w:szCs w:val="36"/>
              </w:rPr>
              <w:br/>
            </w:r>
            <w:r w:rsidRPr="00A052F7">
              <w:rPr>
                <w:rFonts w:ascii="Arial" w:hAnsi="Arial" w:cs="Arial"/>
                <w:b/>
                <w:sz w:val="36"/>
                <w:szCs w:val="36"/>
              </w:rPr>
              <w:t>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21717B" w:rsidRPr="0021717B" w:rsidRDefault="0021717B" w:rsidP="0021717B">
      <w:pPr>
        <w:keepNext/>
        <w:keepLines/>
        <w:tabs>
          <w:tab w:val="clear" w:pos="794"/>
          <w:tab w:val="clear" w:pos="1191"/>
          <w:tab w:val="clear" w:pos="1588"/>
          <w:tab w:val="clear" w:pos="1985"/>
        </w:tabs>
        <w:spacing w:before="0" w:line="280" w:lineRule="exact"/>
        <w:jc w:val="center"/>
        <w:rPr>
          <w:caps/>
          <w:sz w:val="28"/>
          <w:lang w:val="fr-CH"/>
        </w:rPr>
      </w:pPr>
      <w:r w:rsidRPr="0021717B">
        <w:rPr>
          <w:caps/>
          <w:sz w:val="28"/>
          <w:lang w:val="fr-CH"/>
        </w:rPr>
        <w:t>RÉSOLUTION 74 (</w:t>
      </w:r>
      <w:r w:rsidRPr="0021717B">
        <w:rPr>
          <w:sz w:val="28"/>
          <w:lang w:val="fr-CH"/>
        </w:rPr>
        <w:t>Rév. Dubaï, 2012</w:t>
      </w:r>
      <w:r w:rsidRPr="0021717B">
        <w:rPr>
          <w:caps/>
          <w:sz w:val="28"/>
          <w:lang w:val="fr-CH"/>
        </w:rPr>
        <w:t>)</w:t>
      </w:r>
    </w:p>
    <w:p w:rsidR="0021717B" w:rsidRPr="0021717B" w:rsidRDefault="0021717B" w:rsidP="0021717B">
      <w:pPr>
        <w:keepNext/>
        <w:keepLines/>
        <w:spacing w:before="360"/>
        <w:jc w:val="center"/>
        <w:rPr>
          <w:b/>
          <w:sz w:val="28"/>
        </w:rPr>
      </w:pPr>
      <w:r w:rsidRPr="0021717B">
        <w:rPr>
          <w:b/>
          <w:sz w:val="28"/>
        </w:rPr>
        <w:t>Admission de Membres de Secteur</w:t>
      </w:r>
      <w:r w:rsidRPr="0021717B">
        <w:rPr>
          <w:b/>
          <w:position w:val="6"/>
          <w:sz w:val="16"/>
        </w:rPr>
        <w:footnoteReference w:customMarkFollows="1" w:id="1"/>
        <w:t>1</w:t>
      </w:r>
      <w:r w:rsidRPr="0021717B">
        <w:rPr>
          <w:b/>
          <w:sz w:val="28"/>
        </w:rPr>
        <w:t xml:space="preserve"> de pays en développement à participer </w:t>
      </w:r>
      <w:r w:rsidRPr="0021717B">
        <w:rPr>
          <w:b/>
          <w:sz w:val="28"/>
        </w:rPr>
        <w:br/>
        <w:t xml:space="preserve">aux travaux du Secteur de la normalisation des </w:t>
      </w:r>
      <w:r w:rsidRPr="0021717B">
        <w:rPr>
          <w:b/>
          <w:sz w:val="28"/>
        </w:rPr>
        <w:br/>
      </w:r>
      <w:r w:rsidRPr="0021717B">
        <w:rPr>
          <w:b/>
          <w:sz w:val="28"/>
          <w:lang w:val="fr-CH"/>
        </w:rPr>
        <w:t>télécommunications</w:t>
      </w:r>
      <w:r w:rsidRPr="0021717B">
        <w:rPr>
          <w:b/>
          <w:sz w:val="28"/>
        </w:rPr>
        <w:t xml:space="preserve"> de l'UIT</w:t>
      </w:r>
    </w:p>
    <w:p w:rsidR="0021717B" w:rsidRPr="0021717B" w:rsidRDefault="0021717B" w:rsidP="0021717B">
      <w:pPr>
        <w:keepNext/>
        <w:keepLines/>
        <w:tabs>
          <w:tab w:val="clear" w:pos="794"/>
          <w:tab w:val="clear" w:pos="1191"/>
          <w:tab w:val="clear" w:pos="1588"/>
          <w:tab w:val="clear" w:pos="1985"/>
        </w:tabs>
        <w:spacing w:before="160"/>
        <w:jc w:val="center"/>
        <w:rPr>
          <w:i/>
          <w:sz w:val="22"/>
        </w:rPr>
      </w:pPr>
      <w:r w:rsidRPr="0021717B">
        <w:rPr>
          <w:i/>
          <w:sz w:val="22"/>
        </w:rPr>
        <w:t>(Johannesburg, 2008; Dubaï, 2012)</w:t>
      </w:r>
    </w:p>
    <w:p w:rsidR="0021717B" w:rsidRPr="0021717B" w:rsidRDefault="0021717B" w:rsidP="0021717B">
      <w:pPr>
        <w:tabs>
          <w:tab w:val="clear" w:pos="794"/>
          <w:tab w:val="clear" w:pos="1191"/>
          <w:tab w:val="clear" w:pos="1588"/>
          <w:tab w:val="clear" w:pos="1985"/>
          <w:tab w:val="left" w:pos="1134"/>
          <w:tab w:val="left" w:pos="1871"/>
          <w:tab w:val="left" w:pos="2268"/>
        </w:tabs>
        <w:spacing w:before="280"/>
        <w:rPr>
          <w:sz w:val="22"/>
          <w:lang w:val="fr-CH"/>
        </w:rPr>
      </w:pPr>
      <w:r w:rsidRPr="0021717B">
        <w:rPr>
          <w:sz w:val="22"/>
          <w:lang w:val="fr-CH"/>
        </w:rPr>
        <w:t>L'Assemblée mondiale de normalisation des télécommunications (Dubaï, 2012),</w:t>
      </w:r>
    </w:p>
    <w:p w:rsidR="0021717B" w:rsidRPr="0021717B" w:rsidRDefault="0021717B" w:rsidP="0021717B">
      <w:pPr>
        <w:keepNext/>
        <w:keepLines/>
        <w:spacing w:before="240" w:line="280" w:lineRule="exact"/>
        <w:ind w:left="794"/>
        <w:jc w:val="left"/>
        <w:rPr>
          <w:i/>
          <w:sz w:val="22"/>
        </w:rPr>
      </w:pPr>
      <w:r w:rsidRPr="0021717B">
        <w:rPr>
          <w:i/>
          <w:sz w:val="22"/>
        </w:rPr>
        <w:t>reconnaissant</w:t>
      </w:r>
    </w:p>
    <w:p w:rsidR="0021717B" w:rsidRPr="0021717B" w:rsidRDefault="0021717B" w:rsidP="0021717B">
      <w:pPr>
        <w:spacing w:before="160" w:line="280" w:lineRule="exact"/>
        <w:rPr>
          <w:sz w:val="22"/>
        </w:rPr>
      </w:pPr>
      <w:r w:rsidRPr="0021717B">
        <w:rPr>
          <w:i/>
          <w:iCs/>
          <w:sz w:val="22"/>
        </w:rPr>
        <w:t>a)</w:t>
      </w:r>
      <w:r w:rsidRPr="0021717B">
        <w:rPr>
          <w:sz w:val="22"/>
        </w:rPr>
        <w:tab/>
        <w:t>que l'article 1 de la Constitution de l'UIT dispose que l'Union doit faciliter la normalisation mondiale des télécommunications, avec une qualité de service satisfaisante, encourager et élargir la participation d'entités et d'organisations aux activités de l'Union et assurer une coopération et un partenariat fructueux entre elles et les Etats Membres en vue de répondre aux objectifs généraux énoncés dans l'objet de l'Union;</w:t>
      </w:r>
    </w:p>
    <w:p w:rsidR="0021717B" w:rsidRPr="0021717B" w:rsidRDefault="0021717B" w:rsidP="0021717B">
      <w:pPr>
        <w:spacing w:before="160" w:line="280" w:lineRule="exact"/>
        <w:rPr>
          <w:sz w:val="22"/>
        </w:rPr>
      </w:pPr>
      <w:r w:rsidRPr="0021717B">
        <w:rPr>
          <w:i/>
          <w:iCs/>
          <w:sz w:val="22"/>
        </w:rPr>
        <w:t>b)</w:t>
      </w:r>
      <w:r w:rsidRPr="0021717B">
        <w:rPr>
          <w:sz w:val="22"/>
        </w:rPr>
        <w:tab/>
        <w:t>la Résolution 71 (Rév. Guadalajara, 2010), de la Conférence de plénipotentiaires relative au Plan stratégique de l'Union pour la période 2012</w:t>
      </w:r>
      <w:r w:rsidRPr="0021717B">
        <w:rPr>
          <w:sz w:val="22"/>
        </w:rPr>
        <w:noBreakHyphen/>
        <w:t>2015;</w:t>
      </w:r>
    </w:p>
    <w:p w:rsidR="0021717B" w:rsidRPr="0021717B" w:rsidRDefault="0021717B" w:rsidP="0021717B">
      <w:pPr>
        <w:spacing w:before="160" w:line="280" w:lineRule="exact"/>
        <w:rPr>
          <w:sz w:val="22"/>
        </w:rPr>
      </w:pPr>
      <w:r w:rsidRPr="0021717B">
        <w:rPr>
          <w:i/>
          <w:iCs/>
          <w:sz w:val="22"/>
        </w:rPr>
        <w:t>c)</w:t>
      </w:r>
      <w:r w:rsidRPr="0021717B">
        <w:rPr>
          <w:sz w:val="22"/>
        </w:rPr>
        <w:tab/>
        <w:t>l'esprit de la Résolution 123 (Rév. Guadalajara, 2010) de la Conférence de plénipotentiaires relative à la réduction de l'écart qui existe en matière de normalisation entre pays en développement et pays développés;</w:t>
      </w:r>
    </w:p>
    <w:p w:rsidR="0021717B" w:rsidRPr="0021717B" w:rsidRDefault="0021717B" w:rsidP="0021717B">
      <w:pPr>
        <w:spacing w:before="160" w:line="280" w:lineRule="exact"/>
        <w:rPr>
          <w:sz w:val="22"/>
        </w:rPr>
      </w:pPr>
      <w:r w:rsidRPr="0021717B">
        <w:rPr>
          <w:i/>
          <w:iCs/>
          <w:sz w:val="22"/>
        </w:rPr>
        <w:t>d)</w:t>
      </w:r>
      <w:r w:rsidRPr="0021717B">
        <w:rPr>
          <w:sz w:val="22"/>
        </w:rPr>
        <w:tab/>
        <w:t>les objectifs des Résolutions 44 et 54 (Rév. Dubaï, 2012) de la présente Assemblée,</w:t>
      </w:r>
    </w:p>
    <w:p w:rsidR="0021717B" w:rsidRPr="0021717B" w:rsidRDefault="0021717B" w:rsidP="0021717B">
      <w:pPr>
        <w:keepNext/>
        <w:keepLines/>
        <w:spacing w:before="240" w:line="280" w:lineRule="exact"/>
        <w:ind w:left="794"/>
        <w:jc w:val="left"/>
        <w:rPr>
          <w:i/>
          <w:sz w:val="22"/>
        </w:rPr>
      </w:pPr>
      <w:r w:rsidRPr="0021717B">
        <w:rPr>
          <w:i/>
          <w:sz w:val="22"/>
        </w:rPr>
        <w:t>considérant</w:t>
      </w:r>
    </w:p>
    <w:p w:rsidR="0021717B" w:rsidRPr="0021717B" w:rsidRDefault="0021717B" w:rsidP="0021717B">
      <w:pPr>
        <w:spacing w:before="160" w:line="280" w:lineRule="exact"/>
        <w:rPr>
          <w:sz w:val="22"/>
        </w:rPr>
      </w:pPr>
      <w:r w:rsidRPr="0021717B">
        <w:rPr>
          <w:i/>
          <w:iCs/>
          <w:sz w:val="22"/>
        </w:rPr>
        <w:t>a)</w:t>
      </w:r>
      <w:r w:rsidRPr="0021717B">
        <w:rPr>
          <w:sz w:val="22"/>
        </w:rPr>
        <w:tab/>
        <w:t>que certaines entités ou organisations de pays en développement s'intéressent aux travaux de normalisation du Secteur de la normalisation des télécommunications de l'UIT (UIT-T) et seraient disposées à y participer s'il existait des conditions financières plus favorables pour leur participation;</w:t>
      </w:r>
    </w:p>
    <w:p w:rsidR="0021717B" w:rsidRPr="0021717B" w:rsidRDefault="0021717B" w:rsidP="0021717B">
      <w:pPr>
        <w:keepNext/>
        <w:keepLines/>
        <w:spacing w:before="160" w:line="280" w:lineRule="exact"/>
        <w:rPr>
          <w:sz w:val="22"/>
        </w:rPr>
      </w:pPr>
      <w:r w:rsidRPr="0021717B">
        <w:rPr>
          <w:i/>
          <w:iCs/>
          <w:sz w:val="22"/>
        </w:rPr>
        <w:t>b)</w:t>
      </w:r>
      <w:r w:rsidRPr="0021717B">
        <w:rPr>
          <w:sz w:val="22"/>
        </w:rPr>
        <w:tab/>
        <w:t>que les entités ou organisations mentionnées ci-dessus pourraient avoir un rôle important à jouer en ce qui concerne la recherche et le développement de nouvelles technologies et que la participation aux travaux de l'UIT</w:t>
      </w:r>
      <w:r w:rsidRPr="0021717B">
        <w:rPr>
          <w:sz w:val="22"/>
        </w:rPr>
        <w:noBreakHyphen/>
        <w:t>T d'entités de pays en développement contribue à réduire l'écart en matière de normalisation,</w:t>
      </w:r>
    </w:p>
    <w:p w:rsidR="0021717B" w:rsidRPr="0021717B" w:rsidRDefault="0021717B" w:rsidP="0021717B">
      <w:pPr>
        <w:keepNext/>
        <w:keepLines/>
        <w:spacing w:before="240" w:line="280" w:lineRule="exact"/>
        <w:ind w:left="794"/>
        <w:jc w:val="left"/>
        <w:rPr>
          <w:i/>
          <w:sz w:val="22"/>
        </w:rPr>
      </w:pPr>
      <w:r w:rsidRPr="0021717B">
        <w:rPr>
          <w:i/>
          <w:sz w:val="22"/>
        </w:rPr>
        <w:t>décide</w:t>
      </w:r>
    </w:p>
    <w:p w:rsidR="00311F37" w:rsidRPr="001B4BEB" w:rsidRDefault="0021717B" w:rsidP="0021717B">
      <w:pPr>
        <w:spacing w:before="160" w:line="280" w:lineRule="exact"/>
      </w:pPr>
      <w:r w:rsidRPr="0021717B">
        <w:rPr>
          <w:sz w:val="22"/>
        </w:rPr>
        <w:t>d'encourager l'adoption des mesures nécessaires pour permettre à de nouveaux membres de pays en développement d'être admis à participer aux travaux des commissions d'études de l'UIT</w:t>
      </w:r>
      <w:r w:rsidRPr="0021717B">
        <w:rPr>
          <w:sz w:val="22"/>
        </w:rPr>
        <w:noBreakHyphen/>
        <w:t>T et d'autres groupes de ce Secteur, en tenant compte de niveaux de contributions financières égaux aux niveaux appliqués aux pays en développement admis à participer aux travaux des commissions d'études du Secteur du développement des télécommunications de l'UIT (UIT-D)</w:t>
      </w:r>
      <w:r w:rsidRPr="0021717B">
        <w:rPr>
          <w:sz w:val="22"/>
          <w:lang w:val="fr-CH"/>
        </w:rPr>
        <w:t>.</w:t>
      </w: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856" w:rsidRDefault="00A46856">
      <w:r>
        <w:separator/>
      </w:r>
    </w:p>
  </w:endnote>
  <w:endnote w:type="continuationSeparator" w:id="0">
    <w:p w:rsidR="00A46856" w:rsidRDefault="00A468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5B215F">
      <w:rPr>
        <w:b w:val="0"/>
        <w:lang w:val="en-US"/>
      </w:rPr>
      <w:fldChar w:fldCharType="begin"/>
    </w:r>
    <w:r>
      <w:rPr>
        <w:b w:val="0"/>
        <w:lang w:val="en-US"/>
      </w:rPr>
      <w:instrText xml:space="preserve"> PAGE  \* MERGEFORMAT </w:instrText>
    </w:r>
    <w:r w:rsidR="005B215F">
      <w:rPr>
        <w:b w:val="0"/>
        <w:lang w:val="en-US"/>
      </w:rPr>
      <w:fldChar w:fldCharType="separate"/>
    </w:r>
    <w:r w:rsidR="0021717B">
      <w:rPr>
        <w:b w:val="0"/>
        <w:noProof/>
        <w:lang w:val="en-US"/>
      </w:rPr>
      <w:t>3</w:t>
    </w:r>
    <w:r w:rsidR="005B215F">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5B215F"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21717B">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Résolution 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21717B">
      <w:rPr>
        <w:lang w:val="fr-CH"/>
      </w:rPr>
      <w:t>74</w:t>
    </w:r>
    <w:r w:rsidRPr="00415608">
      <w:rPr>
        <w:lang w:val="fr-CH"/>
      </w:rPr>
      <w:tab/>
    </w:r>
    <w:r w:rsidR="005B215F">
      <w:rPr>
        <w:b w:val="0"/>
      </w:rPr>
      <w:fldChar w:fldCharType="begin"/>
    </w:r>
    <w:r w:rsidRPr="00415608">
      <w:rPr>
        <w:b w:val="0"/>
        <w:lang w:val="fr-CH"/>
      </w:rPr>
      <w:instrText xml:space="preserve"> PAGE  \* MERGEFORMAT </w:instrText>
    </w:r>
    <w:r w:rsidR="005B215F">
      <w:rPr>
        <w:b w:val="0"/>
      </w:rPr>
      <w:fldChar w:fldCharType="separate"/>
    </w:r>
    <w:r w:rsidR="0021717B">
      <w:rPr>
        <w:b w:val="0"/>
        <w:noProof/>
        <w:lang w:val="fr-CH"/>
      </w:rPr>
      <w:t>1</w:t>
    </w:r>
    <w:r w:rsidR="005B215F">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856" w:rsidRDefault="00A46856">
      <w:r>
        <w:t>____________________</w:t>
      </w:r>
    </w:p>
  </w:footnote>
  <w:footnote w:type="continuationSeparator" w:id="0">
    <w:p w:rsidR="00A46856" w:rsidRDefault="00A46856">
      <w:r>
        <w:continuationSeparator/>
      </w:r>
    </w:p>
  </w:footnote>
  <w:footnote w:id="1">
    <w:p w:rsidR="0021717B" w:rsidRPr="005679D6" w:rsidRDefault="0021717B" w:rsidP="0021717B">
      <w:pPr>
        <w:pStyle w:val="FootnoteText"/>
        <w:rPr>
          <w:vertAlign w:val="superscript"/>
          <w:lang w:val="fr-CH"/>
        </w:rPr>
      </w:pPr>
      <w:r>
        <w:rPr>
          <w:rStyle w:val="FootnoteReference"/>
        </w:rPr>
        <w:t>1</w:t>
      </w:r>
      <w:r w:rsidRPr="00F14CFB">
        <w:rPr>
          <w:lang w:val="fr-CH"/>
        </w:rPr>
        <w:tab/>
        <w:t>Les Membres d</w:t>
      </w:r>
      <w:r>
        <w:rPr>
          <w:lang w:val="fr-CH"/>
        </w:rPr>
        <w:t>e</w:t>
      </w:r>
      <w:r w:rsidRPr="00F14CFB">
        <w:rPr>
          <w:lang w:val="fr-CH"/>
        </w:rPr>
        <w:t xml:space="preserve"> Secteur des pays en développement ne sont affiliés en aucune manière à un Membre du Secteur d'un pays développé et se limitent aux Membres de Secteur des pays en développement (y compris les pays les moins avancés, les petits Etats insulaires en développement</w:t>
      </w:r>
      <w:r>
        <w:rPr>
          <w:lang w:val="fr-CH"/>
        </w:rPr>
        <w:t>, les pays en développement sans littoral</w:t>
      </w:r>
      <w:r w:rsidRPr="00F14CFB">
        <w:rPr>
          <w:lang w:val="fr-CH"/>
        </w:rPr>
        <w:t xml:space="preserve"> et les pays dont l'économie est en transition) dont le revenu par habitant, conformément au Programme des Nations Unies pour le développement, ne dépasse pas un seuil à déterminer.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5B215F">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5B215F"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21717B">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A46856"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17B"/>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B215F"/>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46856"/>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217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41D5-7AA3-4FDF-893A-7121E675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3959</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2013-04-26T09:31:00Z</dcterms:created>
  <dcterms:modified xsi:type="dcterms:W3CDTF">2013-04-26T09:31:00Z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