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D50B12">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B90C69">
        <w:rPr>
          <w:szCs w:val="52"/>
          <w:lang w:val="fr-CH"/>
        </w:rPr>
        <w:t>7</w:t>
      </w:r>
      <w:r w:rsidR="00D50B12">
        <w:rPr>
          <w:szCs w:val="52"/>
          <w:lang w:val="fr-CH"/>
        </w:rPr>
        <w:t>4</w:t>
      </w:r>
      <w:r w:rsidRPr="00135457">
        <w:rPr>
          <w:rFonts w:hint="cs"/>
          <w:szCs w:val="52"/>
          <w:rtl/>
          <w:lang w:val="fr-CH"/>
        </w:rPr>
        <w:t xml:space="preserve"> - </w:t>
      </w:r>
      <w:bookmarkStart w:id="4" w:name="_Toc219803573"/>
      <w:bookmarkStart w:id="5" w:name="_Toc349551628"/>
      <w:bookmarkEnd w:id="0"/>
      <w:bookmarkEnd w:id="1"/>
      <w:bookmarkEnd w:id="2"/>
      <w:bookmarkEnd w:id="3"/>
      <w:r w:rsidR="00D50B12" w:rsidRPr="00D750B9">
        <w:rPr>
          <w:rtl/>
          <w:lang w:val="fr-FR"/>
        </w:rPr>
        <w:t>قبول أعضاء القطاع من البلدان النامية في أعمال</w:t>
      </w:r>
      <w:r w:rsidR="00D50B12">
        <w:rPr>
          <w:rFonts w:hint="cs"/>
          <w:rtl/>
          <w:lang w:val="fr-FR"/>
        </w:rPr>
        <w:t xml:space="preserve"> </w:t>
      </w:r>
      <w:r w:rsidR="00D50B12" w:rsidRPr="00D750B9">
        <w:rPr>
          <w:rtl/>
          <w:lang w:val="fr-FR"/>
        </w:rPr>
        <w:t xml:space="preserve">قطاع تقييس الاتصالات </w:t>
      </w:r>
      <w:bookmarkEnd w:id="4"/>
      <w:r w:rsidR="00D50B12">
        <w:rPr>
          <w:rFonts w:hint="cs"/>
          <w:rtl/>
          <w:lang w:val="fr-FR"/>
        </w:rPr>
        <w:br/>
        <w:t>للاتحاد الدولي للاتصالات</w:t>
      </w:r>
      <w:bookmarkEnd w:id="5"/>
    </w:p>
    <w:p w:rsidR="000179A2" w:rsidRPr="00780EB8" w:rsidRDefault="000179A2" w:rsidP="000179A2">
      <w:pPr>
        <w:rPr>
          <w:noProof/>
          <w:rtl/>
        </w:rPr>
      </w:pPr>
    </w:p>
    <w:p w:rsidR="009F378C" w:rsidRDefault="009F378C" w:rsidP="00645D39">
      <w:pPr>
        <w:spacing w:before="240"/>
        <w:rPr>
          <w:noProof/>
          <w:rtl/>
        </w:rPr>
      </w:pPr>
    </w:p>
    <w:p w:rsidR="00717C9C" w:rsidRDefault="00717C9C"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A21B8C">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A21B8C">
        <w:rPr>
          <w:rStyle w:val="href"/>
        </w:rPr>
        <w:t>74</w:t>
      </w:r>
      <w:r w:rsidR="0086032F">
        <w:rPr>
          <w:rStyle w:val="href"/>
          <w:rFonts w:hint="cs"/>
          <w:rtl/>
        </w:rPr>
        <w:t xml:space="preserve"> </w:t>
      </w:r>
      <w:r w:rsidR="0086032F" w:rsidRPr="00C04E6F">
        <w:rPr>
          <w:rFonts w:hint="cs"/>
          <w:rtl/>
        </w:rPr>
        <w:t xml:space="preserve">(المراجَع في دبي، </w:t>
      </w:r>
      <w:r w:rsidR="0086032F" w:rsidRPr="00C04E6F">
        <w:t>2012</w:t>
      </w:r>
      <w:r w:rsidR="0086032F" w:rsidRPr="00C04E6F">
        <w:rPr>
          <w:rFonts w:hint="cs"/>
          <w:rtl/>
        </w:rPr>
        <w:t>)</w:t>
      </w:r>
      <w:bookmarkStart w:id="6" w:name="_GoBack"/>
      <w:bookmarkEnd w:id="6"/>
    </w:p>
    <w:p w:rsidR="00A21B8C" w:rsidRPr="00D750B9" w:rsidRDefault="00A21B8C" w:rsidP="00A21B8C">
      <w:pPr>
        <w:pStyle w:val="Restitle"/>
        <w:rPr>
          <w:noProof/>
          <w:rtl/>
          <w:lang w:val="fr-FR"/>
        </w:rPr>
      </w:pPr>
      <w:r w:rsidRPr="00D750B9">
        <w:rPr>
          <w:noProof/>
          <w:rtl/>
          <w:lang w:val="fr-FR"/>
        </w:rPr>
        <w:t>قبول أعضاء القطاع</w:t>
      </w:r>
      <w:r>
        <w:rPr>
          <w:rStyle w:val="FootnoteReference"/>
          <w:noProof/>
          <w:rtl/>
          <w:lang w:val="fr-FR"/>
        </w:rPr>
        <w:footnoteReference w:id="1"/>
      </w:r>
      <w:r w:rsidRPr="00D750B9">
        <w:rPr>
          <w:noProof/>
          <w:rtl/>
          <w:lang w:val="fr-FR"/>
        </w:rPr>
        <w:t xml:space="preserve"> من البلدان النامية في أعمال</w:t>
      </w:r>
      <w:r>
        <w:rPr>
          <w:rFonts w:hint="cs"/>
          <w:noProof/>
          <w:rtl/>
          <w:lang w:val="fr-FR"/>
        </w:rPr>
        <w:br/>
      </w:r>
      <w:r w:rsidRPr="00D750B9">
        <w:rPr>
          <w:noProof/>
          <w:rtl/>
          <w:lang w:val="fr-FR"/>
        </w:rPr>
        <w:t xml:space="preserve">قطاع تقييس الاتصالات </w:t>
      </w:r>
      <w:r>
        <w:rPr>
          <w:rFonts w:hint="cs"/>
          <w:noProof/>
          <w:rtl/>
          <w:lang w:val="fr-FR"/>
        </w:rPr>
        <w:t>للاتحاد الدولي للاتصالات</w:t>
      </w:r>
    </w:p>
    <w:p w:rsidR="00A21B8C" w:rsidRPr="00D750B9" w:rsidRDefault="00A21B8C" w:rsidP="00A21B8C">
      <w:pPr>
        <w:pStyle w:val="Resref"/>
        <w:spacing w:line="187" w:lineRule="auto"/>
        <w:rPr>
          <w:iCs w:val="0"/>
          <w:rtl/>
        </w:rPr>
      </w:pPr>
      <w:r w:rsidRPr="00D750B9">
        <w:rPr>
          <w:rtl/>
        </w:rPr>
        <w:t xml:space="preserve">(جوهانسبرغ، </w:t>
      </w:r>
      <w:r w:rsidRPr="00D750B9">
        <w:t>2008</w:t>
      </w:r>
      <w:r w:rsidRPr="00D750B9">
        <w:rPr>
          <w:rFonts w:hint="cs"/>
          <w:rtl/>
        </w:rPr>
        <w:t>؛ دبي، </w:t>
      </w:r>
      <w:r w:rsidRPr="00D750B9">
        <w:t>2012</w:t>
      </w:r>
      <w:r w:rsidRPr="00D750B9">
        <w:rPr>
          <w:rtl/>
        </w:rPr>
        <w:t>)</w:t>
      </w:r>
    </w:p>
    <w:p w:rsidR="00A21B8C" w:rsidRPr="00D750B9" w:rsidRDefault="00A21B8C" w:rsidP="00A21B8C">
      <w:pPr>
        <w:pStyle w:val="Normalaftertitle0"/>
        <w:spacing w:line="187" w:lineRule="auto"/>
        <w:rPr>
          <w:noProof/>
          <w:rtl/>
          <w:lang w:bidi="ar-EG"/>
        </w:rPr>
      </w:pPr>
      <w:r w:rsidRPr="00D750B9">
        <w:rPr>
          <w:noProof/>
          <w:rtl/>
          <w:lang w:bidi="ar-EG"/>
        </w:rPr>
        <w:t>إن الجمعية العالمية لتقييس الاتصالات (</w:t>
      </w:r>
      <w:r w:rsidRPr="00D750B9">
        <w:rPr>
          <w:rFonts w:hint="cs"/>
          <w:noProof/>
          <w:rtl/>
          <w:lang w:bidi="ar-EG"/>
        </w:rPr>
        <w:t>دبي، </w:t>
      </w:r>
      <w:r w:rsidRPr="00D750B9">
        <w:rPr>
          <w:noProof/>
          <w:lang w:bidi="ar-EG"/>
        </w:rPr>
        <w:t>2012</w:t>
      </w:r>
      <w:r w:rsidRPr="00D750B9">
        <w:rPr>
          <w:noProof/>
          <w:rtl/>
          <w:lang w:bidi="ar-EG"/>
        </w:rPr>
        <w:t>)،</w:t>
      </w:r>
    </w:p>
    <w:p w:rsidR="00A21B8C" w:rsidRPr="00D750B9" w:rsidRDefault="00A21B8C" w:rsidP="00A21B8C">
      <w:pPr>
        <w:pStyle w:val="Call"/>
        <w:tabs>
          <w:tab w:val="center" w:pos="5386"/>
        </w:tabs>
        <w:rPr>
          <w:rtl/>
        </w:rPr>
      </w:pPr>
      <w:r w:rsidRPr="00D750B9">
        <w:rPr>
          <w:rtl/>
        </w:rPr>
        <w:t>إذ تشير إلى</w:t>
      </w:r>
    </w:p>
    <w:p w:rsidR="00A21B8C" w:rsidRPr="00D750B9" w:rsidRDefault="00A21B8C" w:rsidP="00A21B8C">
      <w:pPr>
        <w:spacing w:line="187" w:lineRule="auto"/>
        <w:rPr>
          <w:noProof/>
          <w:rtl/>
          <w:lang w:bidi="ar-EG"/>
        </w:rPr>
      </w:pPr>
      <w:r w:rsidRPr="00D750B9">
        <w:rPr>
          <w:i/>
          <w:iCs/>
          <w:noProof/>
          <w:rtl/>
          <w:lang w:bidi="ar-EG"/>
        </w:rPr>
        <w:t>أ )</w:t>
      </w:r>
      <w:r w:rsidRPr="00D750B9">
        <w:rPr>
          <w:noProof/>
          <w:rtl/>
          <w:lang w:bidi="ar-EG"/>
        </w:rPr>
        <w:tab/>
        <w:t xml:space="preserve">أن المادة </w:t>
      </w:r>
      <w:r w:rsidRPr="00D750B9">
        <w:rPr>
          <w:noProof/>
          <w:lang w:bidi="ar-EG"/>
        </w:rPr>
        <w:t>1</w:t>
      </w:r>
      <w:r w:rsidRPr="00D750B9">
        <w:rPr>
          <w:noProof/>
          <w:rtl/>
          <w:lang w:bidi="ar-EG"/>
        </w:rPr>
        <w:t xml:space="preserve"> من دستور الاتحاد تنص على أن يسهل الاتحاد عملية </w:t>
      </w:r>
      <w:r w:rsidRPr="00D750B9">
        <w:rPr>
          <w:rFonts w:hint="cs"/>
          <w:noProof/>
          <w:rtl/>
          <w:lang w:bidi="ar-EG"/>
        </w:rPr>
        <w:t>ال</w:t>
      </w:r>
      <w:r w:rsidRPr="00D750B9">
        <w:rPr>
          <w:noProof/>
          <w:rtl/>
          <w:lang w:bidi="ar-EG"/>
        </w:rPr>
        <w:t>تقييس</w:t>
      </w:r>
      <w:r w:rsidRPr="00D750B9">
        <w:rPr>
          <w:rFonts w:hint="cs"/>
          <w:noProof/>
          <w:rtl/>
          <w:lang w:bidi="ar-EG"/>
        </w:rPr>
        <w:t xml:space="preserve"> الدولي</w:t>
      </w:r>
      <w:r w:rsidRPr="00D750B9">
        <w:rPr>
          <w:noProof/>
          <w:rtl/>
          <w:lang w:bidi="ar-EG"/>
        </w:rPr>
        <w:t xml:space="preserve"> </w:t>
      </w:r>
      <w:r w:rsidRPr="00D750B9">
        <w:rPr>
          <w:rFonts w:hint="cs"/>
          <w:noProof/>
          <w:rtl/>
          <w:lang w:bidi="ar-EG"/>
        </w:rPr>
        <w:t>ل</w:t>
      </w:r>
      <w:r w:rsidRPr="00D750B9">
        <w:rPr>
          <w:noProof/>
          <w:rtl/>
          <w:lang w:bidi="ar-EG"/>
        </w:rPr>
        <w:t>لاتصالات مع نوعية خدمة مرضية، ويشجع مشاركة الكيانات والمنظمات في أنشطة الاتحاد</w:t>
      </w:r>
      <w:r w:rsidRPr="00D750B9">
        <w:rPr>
          <w:rFonts w:hint="cs"/>
          <w:noProof/>
          <w:rtl/>
          <w:lang w:bidi="ar-EG"/>
        </w:rPr>
        <w:t xml:space="preserve"> وزيادة هذه المشاركة</w:t>
      </w:r>
      <w:r w:rsidRPr="00D750B9">
        <w:rPr>
          <w:noProof/>
          <w:rtl/>
          <w:lang w:bidi="ar-EG"/>
        </w:rPr>
        <w:t>، ويعزز التعاون المثمر والشراكة بين هذه الكيانات والمنظمات والدول الأعضاء بغية بلوغ الغايات الإجمالية المنصوص عليها ضمن أهداف</w:t>
      </w:r>
      <w:r w:rsidRPr="00D750B9">
        <w:rPr>
          <w:rFonts w:hint="eastAsia"/>
          <w:rtl/>
          <w:lang w:bidi="ar-EG"/>
        </w:rPr>
        <w:t> </w:t>
      </w:r>
      <w:r w:rsidRPr="00D750B9">
        <w:rPr>
          <w:noProof/>
          <w:rtl/>
          <w:lang w:bidi="ar-EG"/>
        </w:rPr>
        <w:t>الاتحاد؛</w:t>
      </w:r>
    </w:p>
    <w:p w:rsidR="00A21B8C" w:rsidRPr="00D750B9" w:rsidRDefault="00A21B8C" w:rsidP="00A21B8C">
      <w:pPr>
        <w:spacing w:line="187" w:lineRule="auto"/>
        <w:rPr>
          <w:noProof/>
          <w:rtl/>
          <w:lang w:bidi="ar-EG"/>
        </w:rPr>
      </w:pPr>
      <w:r w:rsidRPr="00D750B9">
        <w:rPr>
          <w:i/>
          <w:iCs/>
          <w:noProof/>
          <w:rtl/>
          <w:lang w:bidi="ar-EG"/>
        </w:rPr>
        <w:t>ب)</w:t>
      </w:r>
      <w:r w:rsidRPr="00D750B9">
        <w:rPr>
          <w:noProof/>
          <w:rtl/>
          <w:lang w:bidi="ar-EG"/>
        </w:rPr>
        <w:tab/>
      </w:r>
      <w:r w:rsidRPr="00D750B9">
        <w:rPr>
          <w:rFonts w:hint="cs"/>
          <w:noProof/>
          <w:rtl/>
          <w:lang w:bidi="ar-EG"/>
        </w:rPr>
        <w:t>ا</w:t>
      </w:r>
      <w:r w:rsidRPr="00D750B9">
        <w:rPr>
          <w:noProof/>
          <w:rtl/>
          <w:lang w:bidi="ar-EG"/>
        </w:rPr>
        <w:t>لقرار</w:t>
      </w:r>
      <w:r w:rsidRPr="00D750B9">
        <w:rPr>
          <w:rFonts w:hint="eastAsia"/>
          <w:rtl/>
          <w:lang w:bidi="ar-EG"/>
        </w:rPr>
        <w:t> </w:t>
      </w:r>
      <w:r w:rsidRPr="00D750B9">
        <w:rPr>
          <w:noProof/>
          <w:lang w:bidi="ar-EG"/>
        </w:rPr>
        <w:t>71</w:t>
      </w:r>
      <w:r w:rsidRPr="00D750B9">
        <w:rPr>
          <w:noProof/>
          <w:rtl/>
          <w:lang w:bidi="ar-EG"/>
        </w:rPr>
        <w:t xml:space="preserve"> (المراجَع في </w:t>
      </w:r>
      <w:r w:rsidRPr="00D750B9">
        <w:rPr>
          <w:rFonts w:hint="cs"/>
          <w:noProof/>
          <w:rtl/>
          <w:lang w:bidi="ar-EG"/>
        </w:rPr>
        <w:t>غوادالاخارا، </w:t>
      </w:r>
      <w:r w:rsidRPr="00D750B9">
        <w:rPr>
          <w:noProof/>
          <w:lang w:bidi="ar-EG"/>
        </w:rPr>
        <w:t>2010</w:t>
      </w:r>
      <w:r w:rsidRPr="00D750B9">
        <w:rPr>
          <w:noProof/>
          <w:rtl/>
          <w:lang w:bidi="ar-EG"/>
        </w:rPr>
        <w:t>)</w:t>
      </w:r>
      <w:r w:rsidRPr="00D750B9">
        <w:rPr>
          <w:rFonts w:hint="cs"/>
          <w:noProof/>
          <w:rtl/>
          <w:lang w:bidi="ar-EG"/>
        </w:rPr>
        <w:t xml:space="preserve"> الصادر عن مؤتمر المندوبين المفوضين</w:t>
      </w:r>
      <w:r>
        <w:rPr>
          <w:rFonts w:hint="cs"/>
          <w:noProof/>
          <w:rtl/>
          <w:lang w:bidi="ar-EG"/>
        </w:rPr>
        <w:t>،</w:t>
      </w:r>
      <w:r w:rsidRPr="00D750B9">
        <w:rPr>
          <w:rFonts w:hint="cs"/>
          <w:noProof/>
          <w:rtl/>
          <w:lang w:bidi="ar-EG"/>
        </w:rPr>
        <w:t xml:space="preserve"> بشأن</w:t>
      </w:r>
      <w:r w:rsidRPr="00D750B9">
        <w:rPr>
          <w:noProof/>
          <w:rtl/>
          <w:lang w:bidi="ar-EG"/>
        </w:rPr>
        <w:t xml:space="preserve"> الخطة الاستراتيجية للاتحاد للفترة</w:t>
      </w:r>
      <w:r w:rsidRPr="00D750B9">
        <w:rPr>
          <w:rFonts w:hint="eastAsia"/>
          <w:rtl/>
          <w:lang w:bidi="ar-EG"/>
        </w:rPr>
        <w:t> </w:t>
      </w:r>
      <w:r>
        <w:rPr>
          <w:noProof/>
          <w:lang w:bidi="ar-EG"/>
        </w:rPr>
        <w:t>2015-2012</w:t>
      </w:r>
      <w:r w:rsidRPr="00D750B9">
        <w:rPr>
          <w:noProof/>
          <w:rtl/>
          <w:lang w:bidi="ar-EG"/>
        </w:rPr>
        <w:t>؛</w:t>
      </w:r>
    </w:p>
    <w:p w:rsidR="00A21B8C" w:rsidRPr="006C0B9F" w:rsidRDefault="00A21B8C" w:rsidP="00A21B8C">
      <w:pPr>
        <w:keepNext/>
        <w:keepLines/>
        <w:spacing w:line="187" w:lineRule="auto"/>
        <w:rPr>
          <w:noProof/>
          <w:rtl/>
          <w:lang w:bidi="ar-EG"/>
        </w:rPr>
      </w:pPr>
      <w:r w:rsidRPr="006C0B9F">
        <w:rPr>
          <w:i/>
          <w:iCs/>
          <w:noProof/>
          <w:rtl/>
          <w:lang w:bidi="ar-EG"/>
        </w:rPr>
        <w:t>ج)</w:t>
      </w:r>
      <w:r w:rsidRPr="006C0B9F">
        <w:rPr>
          <w:noProof/>
          <w:rtl/>
          <w:lang w:bidi="ar-EG"/>
        </w:rPr>
        <w:tab/>
        <w:t>روح القرار</w:t>
      </w:r>
      <w:r w:rsidRPr="006C0B9F">
        <w:rPr>
          <w:rFonts w:hint="cs"/>
          <w:noProof/>
          <w:rtl/>
          <w:lang w:bidi="ar-EG"/>
        </w:rPr>
        <w:t> </w:t>
      </w:r>
      <w:r w:rsidRPr="006C0B9F">
        <w:rPr>
          <w:noProof/>
          <w:lang w:bidi="ar-EG"/>
        </w:rPr>
        <w:t>123</w:t>
      </w:r>
      <w:r w:rsidRPr="006C0B9F">
        <w:rPr>
          <w:noProof/>
          <w:rtl/>
          <w:lang w:bidi="ar-EG"/>
        </w:rPr>
        <w:t xml:space="preserve"> (المراجَع في </w:t>
      </w:r>
      <w:r w:rsidRPr="006C0B9F">
        <w:rPr>
          <w:rFonts w:hint="cs"/>
          <w:noProof/>
          <w:rtl/>
          <w:lang w:bidi="ar-EG"/>
        </w:rPr>
        <w:t>غوادالاخارا، </w:t>
      </w:r>
      <w:r w:rsidRPr="006C0B9F">
        <w:rPr>
          <w:noProof/>
          <w:lang w:bidi="ar-EG"/>
        </w:rPr>
        <w:t>2010</w:t>
      </w:r>
      <w:r w:rsidRPr="006C0B9F">
        <w:rPr>
          <w:noProof/>
          <w:rtl/>
          <w:lang w:bidi="ar-EG"/>
        </w:rPr>
        <w:t xml:space="preserve">) </w:t>
      </w:r>
      <w:r w:rsidRPr="006C0B9F">
        <w:rPr>
          <w:rFonts w:hint="cs"/>
          <w:noProof/>
          <w:rtl/>
          <w:lang w:bidi="ar-EG"/>
        </w:rPr>
        <w:t>الصادر عن مؤتمر المندوبين المفوضين</w:t>
      </w:r>
      <w:r>
        <w:rPr>
          <w:rFonts w:hint="cs"/>
          <w:noProof/>
          <w:rtl/>
          <w:lang w:bidi="ar-EG"/>
        </w:rPr>
        <w:t>،</w:t>
      </w:r>
      <w:r w:rsidRPr="006C0B9F">
        <w:rPr>
          <w:rFonts w:hint="cs"/>
          <w:noProof/>
          <w:rtl/>
          <w:lang w:bidi="ar-EG"/>
        </w:rPr>
        <w:t xml:space="preserve"> بشأن</w:t>
      </w:r>
      <w:r w:rsidRPr="006C0B9F">
        <w:rPr>
          <w:noProof/>
          <w:rtl/>
          <w:lang w:bidi="ar-EG"/>
        </w:rPr>
        <w:t xml:space="preserve"> سد الفجوة في ميدان التقييس بين البلدان المتقدمة والبلدان</w:t>
      </w:r>
      <w:r w:rsidRPr="006C0B9F">
        <w:rPr>
          <w:rFonts w:hint="cs"/>
          <w:noProof/>
          <w:rtl/>
          <w:lang w:bidi="ar-EG"/>
        </w:rPr>
        <w:t> </w:t>
      </w:r>
      <w:r w:rsidRPr="006C0B9F">
        <w:rPr>
          <w:noProof/>
          <w:rtl/>
          <w:lang w:bidi="ar-EG"/>
        </w:rPr>
        <w:t>النامية؛</w:t>
      </w:r>
    </w:p>
    <w:p w:rsidR="00A21B8C" w:rsidRPr="00D750B9" w:rsidRDefault="00A21B8C" w:rsidP="00A21B8C">
      <w:pPr>
        <w:keepNext/>
        <w:keepLines/>
        <w:spacing w:line="187" w:lineRule="auto"/>
        <w:rPr>
          <w:noProof/>
          <w:rtl/>
          <w:lang w:bidi="ar-EG"/>
        </w:rPr>
      </w:pPr>
      <w:r w:rsidRPr="00D750B9">
        <w:rPr>
          <w:i/>
          <w:iCs/>
          <w:noProof/>
          <w:rtl/>
          <w:lang w:bidi="ar-EG"/>
        </w:rPr>
        <w:t>د )</w:t>
      </w:r>
      <w:r w:rsidRPr="00D750B9">
        <w:rPr>
          <w:noProof/>
          <w:rtl/>
          <w:lang w:bidi="ar-EG"/>
        </w:rPr>
        <w:tab/>
        <w:t xml:space="preserve">أهداف </w:t>
      </w:r>
      <w:r>
        <w:rPr>
          <w:rFonts w:hint="cs"/>
          <w:noProof/>
          <w:rtl/>
          <w:lang w:bidi="ar-EG"/>
        </w:rPr>
        <w:t xml:space="preserve">القرارين </w:t>
      </w:r>
      <w:r>
        <w:rPr>
          <w:noProof/>
          <w:lang w:bidi="ar-EG"/>
        </w:rPr>
        <w:t>44</w:t>
      </w:r>
      <w:r>
        <w:rPr>
          <w:rFonts w:hint="cs"/>
          <w:noProof/>
          <w:rtl/>
          <w:lang w:bidi="ar-SY"/>
        </w:rPr>
        <w:t xml:space="preserve"> و</w:t>
      </w:r>
      <w:r>
        <w:rPr>
          <w:noProof/>
          <w:lang w:bidi="ar-SY"/>
        </w:rPr>
        <w:t>54</w:t>
      </w:r>
      <w:r>
        <w:rPr>
          <w:rFonts w:hint="cs"/>
          <w:noProof/>
          <w:rtl/>
          <w:lang w:bidi="ar-SY"/>
        </w:rPr>
        <w:t xml:space="preserve"> (المراجَعين في دبي، </w:t>
      </w:r>
      <w:r>
        <w:rPr>
          <w:noProof/>
          <w:lang w:bidi="ar-SY"/>
        </w:rPr>
        <w:t>2012</w:t>
      </w:r>
      <w:r>
        <w:rPr>
          <w:rFonts w:hint="cs"/>
          <w:noProof/>
          <w:rtl/>
          <w:lang w:bidi="ar-SY"/>
        </w:rPr>
        <w:t xml:space="preserve">) لهذه </w:t>
      </w:r>
      <w:r w:rsidRPr="00D750B9">
        <w:rPr>
          <w:noProof/>
          <w:rtl/>
          <w:lang w:bidi="ar-EG"/>
        </w:rPr>
        <w:t>الجمعية،</w:t>
      </w:r>
    </w:p>
    <w:p w:rsidR="00A21B8C" w:rsidRPr="00D750B9" w:rsidRDefault="00A21B8C" w:rsidP="00A21B8C">
      <w:pPr>
        <w:pStyle w:val="Call"/>
        <w:rPr>
          <w:rtl/>
        </w:rPr>
      </w:pPr>
      <w:r w:rsidRPr="00D750B9">
        <w:rPr>
          <w:rtl/>
        </w:rPr>
        <w:t>وإذ تضع في اعتبارها</w:t>
      </w:r>
    </w:p>
    <w:p w:rsidR="00A21B8C" w:rsidRPr="00D750B9" w:rsidRDefault="00A21B8C" w:rsidP="00A21B8C">
      <w:pPr>
        <w:spacing w:line="187" w:lineRule="auto"/>
        <w:rPr>
          <w:noProof/>
          <w:spacing w:val="-2"/>
          <w:rtl/>
          <w:lang w:bidi="ar-EG"/>
        </w:rPr>
      </w:pPr>
      <w:r w:rsidRPr="00D750B9">
        <w:rPr>
          <w:i/>
          <w:iCs/>
          <w:noProof/>
          <w:spacing w:val="-2"/>
          <w:rtl/>
          <w:lang w:bidi="ar-EG"/>
        </w:rPr>
        <w:t xml:space="preserve"> أ )</w:t>
      </w:r>
      <w:r w:rsidRPr="00D750B9">
        <w:rPr>
          <w:noProof/>
          <w:spacing w:val="-2"/>
          <w:rtl/>
          <w:lang w:bidi="ar-EG"/>
        </w:rPr>
        <w:tab/>
        <w:t xml:space="preserve">أن الكيانات أو المنظمات ذات الصلة المنتمية إلى البلدان النامية تهتم بأعمال التقييس التي يقوم بها قطاع تقييس الاتصالات في الاتحاد </w:t>
      </w:r>
      <w:r w:rsidRPr="00D750B9">
        <w:rPr>
          <w:rFonts w:hint="cs"/>
          <w:noProof/>
          <w:spacing w:val="-2"/>
          <w:rtl/>
          <w:lang w:bidi="ar-EG"/>
        </w:rPr>
        <w:t xml:space="preserve">وأنها </w:t>
      </w:r>
      <w:r w:rsidRPr="00D750B9">
        <w:rPr>
          <w:noProof/>
          <w:spacing w:val="-2"/>
          <w:rtl/>
          <w:lang w:bidi="ar-EG"/>
        </w:rPr>
        <w:t xml:space="preserve">ترغب في الانضمام </w:t>
      </w:r>
      <w:r w:rsidRPr="00D750B9">
        <w:rPr>
          <w:rFonts w:hint="cs"/>
          <w:noProof/>
          <w:spacing w:val="-2"/>
          <w:rtl/>
          <w:lang w:bidi="ar-EG"/>
        </w:rPr>
        <w:t>لو</w:t>
      </w:r>
      <w:r w:rsidRPr="00D750B9">
        <w:rPr>
          <w:noProof/>
          <w:spacing w:val="-2"/>
          <w:rtl/>
          <w:lang w:bidi="ar-EG"/>
        </w:rPr>
        <w:t xml:space="preserve"> توفرت </w:t>
      </w:r>
      <w:r w:rsidRPr="00D750B9">
        <w:rPr>
          <w:rFonts w:hint="cs"/>
          <w:noProof/>
          <w:spacing w:val="-2"/>
          <w:rtl/>
          <w:lang w:bidi="ar-EG"/>
        </w:rPr>
        <w:t xml:space="preserve">لها </w:t>
      </w:r>
      <w:r w:rsidRPr="00D750B9">
        <w:rPr>
          <w:noProof/>
          <w:spacing w:val="-2"/>
          <w:rtl/>
          <w:lang w:bidi="ar-EG"/>
        </w:rPr>
        <w:t>شروط مالية مؤاتية لمشاركتها في أعمال هذا</w:t>
      </w:r>
      <w:r w:rsidRPr="00D750B9">
        <w:rPr>
          <w:rFonts w:hint="cs"/>
          <w:noProof/>
          <w:spacing w:val="-4"/>
          <w:rtl/>
          <w:lang w:bidi="ar-EG"/>
        </w:rPr>
        <w:t> </w:t>
      </w:r>
      <w:r w:rsidRPr="00D750B9">
        <w:rPr>
          <w:noProof/>
          <w:spacing w:val="-2"/>
          <w:rtl/>
          <w:lang w:bidi="ar-EG"/>
        </w:rPr>
        <w:t>القطاع؛</w:t>
      </w:r>
    </w:p>
    <w:p w:rsidR="00A21B8C" w:rsidRPr="00D750B9" w:rsidRDefault="00A21B8C" w:rsidP="00A21B8C">
      <w:pPr>
        <w:spacing w:line="187" w:lineRule="auto"/>
        <w:rPr>
          <w:noProof/>
          <w:rtl/>
          <w:lang w:bidi="ar-EG"/>
        </w:rPr>
      </w:pPr>
      <w:r w:rsidRPr="00D750B9">
        <w:rPr>
          <w:i/>
          <w:iCs/>
          <w:noProof/>
          <w:rtl/>
          <w:lang w:bidi="ar-EG"/>
        </w:rPr>
        <w:t>ب)</w:t>
      </w:r>
      <w:r w:rsidRPr="00D750B9">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D750B9">
        <w:rPr>
          <w:rFonts w:hint="cs"/>
          <w:noProof/>
          <w:spacing w:val="-4"/>
          <w:rtl/>
          <w:lang w:bidi="ar-EG"/>
        </w:rPr>
        <w:t> </w:t>
      </w:r>
      <w:r w:rsidRPr="00D750B9">
        <w:rPr>
          <w:noProof/>
          <w:rtl/>
          <w:lang w:bidi="ar-EG"/>
        </w:rPr>
        <w:t>التقييسية،</w:t>
      </w:r>
    </w:p>
    <w:p w:rsidR="00A21B8C" w:rsidRPr="00D750B9" w:rsidRDefault="00A21B8C" w:rsidP="00A21B8C">
      <w:pPr>
        <w:pStyle w:val="Call"/>
        <w:rPr>
          <w:rtl/>
        </w:rPr>
      </w:pPr>
      <w:r w:rsidRPr="00D750B9">
        <w:rPr>
          <w:rtl/>
        </w:rPr>
        <w:t>تقـرر</w:t>
      </w:r>
    </w:p>
    <w:p w:rsidR="00A21B8C" w:rsidRPr="00D750B9" w:rsidRDefault="00A21B8C" w:rsidP="00A21B8C">
      <w:pPr>
        <w:rPr>
          <w:noProof/>
          <w:rtl/>
          <w:lang w:bidi="ar-EG"/>
        </w:rPr>
      </w:pPr>
      <w:r w:rsidRPr="00D750B9">
        <w:rPr>
          <w:noProof/>
          <w:rtl/>
          <w:lang w:bidi="ar-EG"/>
        </w:rPr>
        <w:t xml:space="preserve">أن تشجع اعتماد التدابير اللازمة لتمكين أعضاء جدد من البلدان النامية من الانضمام إلى قطاع تقييس الاتصالات في الاتحاد </w:t>
      </w:r>
      <w:r w:rsidRPr="00D750B9">
        <w:rPr>
          <w:rFonts w:hint="cs"/>
          <w:noProof/>
          <w:rtl/>
          <w:lang w:bidi="ar-EG"/>
        </w:rPr>
        <w:t>ومن أن يكون</w:t>
      </w:r>
      <w:r w:rsidRPr="00D750B9">
        <w:rPr>
          <w:noProof/>
          <w:rtl/>
          <w:lang w:bidi="ar-EG"/>
        </w:rPr>
        <w:t xml:space="preserve"> لها</w:t>
      </w:r>
      <w:r w:rsidRPr="00D750B9">
        <w:rPr>
          <w:rFonts w:hint="cs"/>
          <w:noProof/>
          <w:rtl/>
          <w:lang w:bidi="ar-EG"/>
        </w:rPr>
        <w:t xml:space="preserve"> حق</w:t>
      </w:r>
      <w:r w:rsidRPr="00D750B9">
        <w:rPr>
          <w:noProof/>
          <w:rtl/>
          <w:lang w:bidi="ar-EG"/>
        </w:rPr>
        <w:t xml:space="preserve"> المشاركة في أعمال لجان </w:t>
      </w:r>
      <w:r>
        <w:rPr>
          <w:rFonts w:hint="cs"/>
          <w:noProof/>
          <w:rtl/>
          <w:lang w:bidi="ar-EG"/>
        </w:rPr>
        <w:t>دراسات قطاع</w:t>
      </w:r>
      <w:r w:rsidRPr="00D750B9">
        <w:rPr>
          <w:noProof/>
          <w:rtl/>
          <w:lang w:bidi="ar-EG"/>
        </w:rPr>
        <w:t xml:space="preserve"> تقييس الاتصالات وغيرها من الأفرقة التابعة لهذا القطاع</w:t>
      </w:r>
      <w:r w:rsidRPr="00D750B9">
        <w:rPr>
          <w:rFonts w:hint="cs"/>
          <w:noProof/>
          <w:rtl/>
          <w:lang w:bidi="ar-EG"/>
        </w:rPr>
        <w:t>،</w:t>
      </w:r>
      <w:r w:rsidRPr="00D750B9">
        <w:rPr>
          <w:noProof/>
          <w:rtl/>
          <w:lang w:bidi="ar-EG"/>
        </w:rPr>
        <w:t xml:space="preserve"> مع مراعاة تطبيق مستويات من المساهمات المالية مساوية لتلك المستويات المطبقة على البلدان النامية عند قبولها في لجان الدراسات ضمن قطاع تنمية</w:t>
      </w:r>
      <w:r w:rsidRPr="00D750B9">
        <w:rPr>
          <w:rFonts w:hint="cs"/>
          <w:noProof/>
          <w:spacing w:val="-4"/>
          <w:rtl/>
          <w:lang w:bidi="ar-EG"/>
        </w:rPr>
        <w:t> </w:t>
      </w:r>
      <w:r w:rsidRPr="00D750B9">
        <w:rPr>
          <w:rFonts w:hint="cs"/>
          <w:noProof/>
          <w:rtl/>
          <w:lang w:bidi="ar-EG"/>
        </w:rPr>
        <w:t>الاتصالات</w:t>
      </w:r>
      <w:r>
        <w:rPr>
          <w:rFonts w:hint="cs"/>
          <w:noProof/>
          <w:rtl/>
          <w:lang w:bidi="ar-EG"/>
        </w:rPr>
        <w:t>.</w:t>
      </w:r>
    </w:p>
    <w:p w:rsidR="006319B6" w:rsidRPr="00B3325B" w:rsidRDefault="006319B6" w:rsidP="00A21B8C">
      <w:pPr>
        <w:pStyle w:val="Restitle"/>
        <w:rPr>
          <w:rtl/>
          <w:lang w:val="en-GB"/>
        </w:rPr>
      </w:pPr>
    </w:p>
    <w:sectPr w:rsidR="006319B6" w:rsidRPr="00B3325B"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A21B8C">
      <w:rPr>
        <w:rStyle w:val="PageNumber"/>
        <w:noProof/>
        <w:rtl/>
      </w:rPr>
      <w:t>6</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A21B8C">
      <w:rPr>
        <w:rFonts w:ascii="Times New Roman Bold" w:hAnsi="Times New Roman Bold" w:cs="Times New Roman Bold"/>
        <w:b/>
        <w:bCs/>
        <w:noProof/>
        <w:szCs w:val="22"/>
        <w:rtl/>
      </w:rPr>
      <w:t>74</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A21B8C">
      <w:rPr>
        <w:rFonts w:ascii="Times New Roman Bold" w:hAnsi="Times New Roman Bold" w:cs="Times New Roman Bold"/>
        <w:b/>
        <w:bCs w:val="0"/>
        <w:noProof/>
        <w:szCs w:val="22"/>
        <w:rtl/>
      </w:rPr>
      <w:t>74</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A21B8C">
      <w:rPr>
        <w:rStyle w:val="PageNumber"/>
        <w:b/>
        <w:bCs w:val="0"/>
        <w:noProof/>
        <w:rtl/>
      </w:rPr>
      <w:t>7</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86032F">
      <w:rPr>
        <w:rFonts w:ascii="Times New Roman Bold" w:hAnsi="Times New Roman Bold" w:cs="Times New Roman Bold"/>
        <w:b/>
        <w:bCs w:val="0"/>
        <w:noProof/>
        <w:szCs w:val="22"/>
        <w:rtl/>
      </w:rPr>
      <w:t>74</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86032F">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A21B8C" w:rsidRPr="00D300A2" w:rsidRDefault="00A21B8C" w:rsidP="00A21B8C">
      <w:pPr>
        <w:pStyle w:val="FootnoteText"/>
      </w:pPr>
      <w:r>
        <w:rPr>
          <w:rStyle w:val="FootnoteReference"/>
        </w:rPr>
        <w:footnoteRef/>
      </w:r>
      <w:r>
        <w:rPr>
          <w:rtl/>
        </w:rPr>
        <w:t xml:space="preserve"> </w:t>
      </w:r>
      <w:r w:rsidRPr="00D300A2">
        <w:rPr>
          <w:rFonts w:hint="cs"/>
          <w:rtl/>
        </w:rPr>
        <w:tab/>
        <w:t xml:space="preserve">يجب ألا ينتمي أعضاء القطاع هؤلاء من البلدان النامية بأي شكل من الأشكال إلى أي عضو من أعضاء القطاع لبلد من البلدان المتقدمة، ويجب أن يقتصر الأمر على أعضاء القطاع من البلدان النامية </w:t>
      </w:r>
      <w:r>
        <w:rPr>
          <w:rFonts w:hint="cs"/>
          <w:rtl/>
        </w:rPr>
        <w:t>(بما فيها أقل البلدان نمواً والدول الجزرية الصغيرة النامية والبلدان النامية غير الساحلية والبلدان التي تمر اقتصاداتها بمرحلة انتقالية)</w:t>
      </w:r>
      <w:r w:rsidRPr="00D300A2">
        <w:rPr>
          <w:rFonts w:hint="cs"/>
          <w:rtl/>
        </w:rPr>
        <w:t xml:space="preserve"> </w:t>
      </w:r>
      <w:r>
        <w:rPr>
          <w:rFonts w:hint="cs"/>
          <w:rtl/>
        </w:rPr>
        <w:t>التي صنفها</w:t>
      </w:r>
      <w:r w:rsidRPr="00D300A2">
        <w:rPr>
          <w:rFonts w:hint="cs"/>
          <w:rtl/>
        </w:rPr>
        <w:t xml:space="preserve"> برنامج الأمم المتحدة الإنمائي ضمن فئة البلدان </w:t>
      </w:r>
      <w:r>
        <w:rPr>
          <w:rFonts w:hint="cs"/>
          <w:rtl/>
        </w:rPr>
        <w:t>التي لا يتجاوز</w:t>
      </w:r>
      <w:r w:rsidRPr="00D300A2">
        <w:rPr>
          <w:rFonts w:hint="eastAsia"/>
          <w:rtl/>
        </w:rPr>
        <w:t> </w:t>
      </w:r>
      <w:r w:rsidRPr="00D300A2">
        <w:rPr>
          <w:rFonts w:hint="cs"/>
          <w:rtl/>
        </w:rPr>
        <w:t>الدخل</w:t>
      </w:r>
      <w:r>
        <w:rPr>
          <w:rFonts w:hint="cs"/>
          <w:rtl/>
        </w:rPr>
        <w:t xml:space="preserve"> فيها حداً سيتم</w:t>
      </w:r>
      <w:r>
        <w:rPr>
          <w:rFonts w:hint="eastAsia"/>
          <w:rtl/>
        </w:rPr>
        <w:t> </w:t>
      </w:r>
      <w:r>
        <w:rPr>
          <w:rFonts w:hint="cs"/>
          <w:rtl/>
        </w:rPr>
        <w:t>تحديده</w:t>
      </w:r>
      <w:r w:rsidRPr="00D300A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032F">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6032F">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032F">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6032F">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32F"/>
    <w:rsid w:val="00860D1C"/>
    <w:rsid w:val="008631C1"/>
    <w:rsid w:val="00871EA6"/>
    <w:rsid w:val="0087642B"/>
    <w:rsid w:val="00877C84"/>
    <w:rsid w:val="008B0713"/>
    <w:rsid w:val="008C3C45"/>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C9D5-799B-4B5F-B34F-D5F63476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103</TotalTime>
  <Pages>3</Pages>
  <Words>452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88</cp:revision>
  <cp:lastPrinted>2009-02-06T14:30:00Z</cp:lastPrinted>
  <dcterms:created xsi:type="dcterms:W3CDTF">2013-04-17T14:43:00Z</dcterms:created>
  <dcterms:modified xsi:type="dcterms:W3CDTF">2013-04-23T14:56:00Z</dcterms:modified>
</cp:coreProperties>
</file>