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20444C" w14:paraId="4BE6989A" w14:textId="77777777">
        <w:trPr>
          <w:trHeight w:hRule="exact" w:val="1418"/>
        </w:trPr>
        <w:tc>
          <w:tcPr>
            <w:tcW w:w="1428" w:type="dxa"/>
            <w:gridSpan w:val="2"/>
          </w:tcPr>
          <w:p w14:paraId="6481B75F" w14:textId="77777777" w:rsidR="009663D2" w:rsidRPr="0020444C" w:rsidRDefault="0054644C">
            <w:pPr>
              <w:rPr>
                <w:lang w:val="ru-RU"/>
              </w:rPr>
            </w:pPr>
            <w:bookmarkStart w:id="0" w:name="InsertLogo"/>
            <w:bookmarkEnd w:id="0"/>
            <w:r w:rsidRPr="0020444C"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49536" behindDoc="0" locked="0" layoutInCell="0" allowOverlap="1" wp14:anchorId="7C42F924" wp14:editId="305CCDB2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64B4F1" w14:textId="77777777" w:rsidR="009663D2" w:rsidRPr="0020444C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14:paraId="357E5DF0" w14:textId="77777777" w:rsidR="009663D2" w:rsidRPr="0020444C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20444C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20444C" w14:paraId="031EC1E3" w14:textId="77777777">
        <w:trPr>
          <w:trHeight w:hRule="exact" w:val="992"/>
        </w:trPr>
        <w:tc>
          <w:tcPr>
            <w:tcW w:w="1428" w:type="dxa"/>
            <w:gridSpan w:val="2"/>
          </w:tcPr>
          <w:p w14:paraId="687932AB" w14:textId="77777777" w:rsidR="009663D2" w:rsidRPr="0020444C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14:paraId="0C99CB73" w14:textId="77777777" w:rsidR="009663D2" w:rsidRPr="0020444C" w:rsidRDefault="009663D2">
            <w:pPr>
              <w:rPr>
                <w:lang w:val="ru-RU"/>
              </w:rPr>
            </w:pPr>
          </w:p>
        </w:tc>
      </w:tr>
      <w:tr w:rsidR="009663D2" w:rsidRPr="0020444C" w14:paraId="699696FF" w14:textId="77777777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14:paraId="4E00E367" w14:textId="77777777" w:rsidR="009663D2" w:rsidRPr="0020444C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 w:rsidRPr="0020444C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14:paraId="1320BA45" w14:textId="77777777" w:rsidR="009663D2" w:rsidRPr="0020444C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20444C" w14:paraId="26ECB350" w14:textId="77777777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14:paraId="512B9BBD" w14:textId="77777777" w:rsidR="009663D2" w:rsidRPr="0020444C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2" w:name="ddatee" w:colFirst="1" w:colLast="1"/>
            <w:bookmarkEnd w:id="1"/>
            <w:r w:rsidRPr="0020444C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20444C">
              <w:rPr>
                <w:rFonts w:ascii="Arial" w:hAnsi="Arial" w:cs="Arial"/>
                <w:sz w:val="20"/>
                <w:lang w:val="ru-RU"/>
              </w:rPr>
              <w:br/>
            </w:r>
            <w:r w:rsidRPr="0020444C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14:paraId="1102791B" w14:textId="77777777" w:rsidR="009663D2" w:rsidRPr="0020444C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20444C" w14:paraId="5391ED93" w14:textId="77777777">
        <w:trPr>
          <w:cantSplit/>
          <w:trHeight w:hRule="exact" w:val="3402"/>
        </w:trPr>
        <w:tc>
          <w:tcPr>
            <w:tcW w:w="1418" w:type="dxa"/>
          </w:tcPr>
          <w:p w14:paraId="61A7C7DF" w14:textId="77777777" w:rsidR="009663D2" w:rsidRPr="00204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14:paraId="7CAB9E9C" w14:textId="23A6CE97" w:rsidR="009663D2" w:rsidRPr="0020444C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20444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20444C">
              <w:rPr>
                <w:rFonts w:ascii="Arial" w:hAnsi="Arial"/>
                <w:sz w:val="32"/>
                <w:lang w:val="ru-RU"/>
              </w:rPr>
              <w:br/>
            </w:r>
            <w:r w:rsidR="001C0E33" w:rsidRPr="0020444C">
              <w:rPr>
                <w:rFonts w:ascii="Arial" w:hAnsi="Arial" w:cs="Arial"/>
                <w:sz w:val="32"/>
                <w:lang w:val="ru-RU"/>
              </w:rPr>
              <w:t>Женева</w:t>
            </w:r>
            <w:r w:rsidR="0054644C" w:rsidRPr="0020444C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1C0E33" w:rsidRPr="0020444C">
              <w:rPr>
                <w:rFonts w:ascii="Arial" w:hAnsi="Arial" w:cs="Arial"/>
                <w:sz w:val="32"/>
                <w:lang w:val="ru-RU"/>
              </w:rPr>
              <w:t>1</w:t>
            </w:r>
            <w:r w:rsidR="007D2D13" w:rsidRPr="0020444C">
              <w:rPr>
                <w:rFonts w:ascii="Arial" w:hAnsi="Arial" w:cs="Arial"/>
                <w:sz w:val="32"/>
                <w:lang w:val="ru-RU"/>
              </w:rPr>
              <w:t>–</w:t>
            </w:r>
            <w:r w:rsidR="001C0E33" w:rsidRPr="0020444C">
              <w:rPr>
                <w:rFonts w:ascii="Arial" w:hAnsi="Arial" w:cs="Arial"/>
                <w:sz w:val="32"/>
                <w:lang w:val="ru-RU"/>
              </w:rPr>
              <w:t>9</w:t>
            </w:r>
            <w:r w:rsidR="0054644C" w:rsidRPr="0020444C">
              <w:rPr>
                <w:rFonts w:ascii="Arial" w:hAnsi="Arial" w:cs="Arial"/>
                <w:sz w:val="32"/>
                <w:lang w:val="ru-RU"/>
              </w:rPr>
              <w:t xml:space="preserve"> </w:t>
            </w:r>
            <w:r w:rsidR="001C0E33" w:rsidRPr="0020444C">
              <w:rPr>
                <w:rFonts w:ascii="Arial" w:hAnsi="Arial" w:cs="Arial"/>
                <w:sz w:val="32"/>
                <w:lang w:val="ru-RU"/>
              </w:rPr>
              <w:t>марта</w:t>
            </w:r>
            <w:r w:rsidR="0054644C" w:rsidRPr="0020444C">
              <w:rPr>
                <w:rFonts w:ascii="Arial" w:hAnsi="Arial" w:cs="Arial"/>
                <w:sz w:val="32"/>
                <w:lang w:val="ru-RU"/>
              </w:rPr>
              <w:t xml:space="preserve"> 20</w:t>
            </w:r>
            <w:r w:rsidR="001C0E33" w:rsidRPr="0020444C">
              <w:rPr>
                <w:rFonts w:ascii="Arial" w:hAnsi="Arial" w:cs="Arial"/>
                <w:sz w:val="32"/>
                <w:lang w:val="ru-RU"/>
              </w:rPr>
              <w:t>22</w:t>
            </w:r>
            <w:r w:rsidR="0054644C" w:rsidRPr="0020444C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14:paraId="5EF0B663" w14:textId="77777777" w:rsidR="009663D2" w:rsidRPr="0020444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20444C" w14:paraId="1FFE0699" w14:textId="77777777" w:rsidTr="00FA73F8">
        <w:trPr>
          <w:cantSplit/>
          <w:trHeight w:hRule="exact" w:val="4196"/>
        </w:trPr>
        <w:tc>
          <w:tcPr>
            <w:tcW w:w="1418" w:type="dxa"/>
          </w:tcPr>
          <w:p w14:paraId="2053F2AD" w14:textId="77777777" w:rsidR="009663D2" w:rsidRPr="00204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14:paraId="4F919B42" w14:textId="0E84421F" w:rsidR="009663D2" w:rsidRPr="0020444C" w:rsidRDefault="009663D2" w:rsidP="00703E49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20444C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A2170F" w:rsidRPr="0020444C">
              <w:rPr>
                <w:rFonts w:ascii="Arial" w:hAnsi="Arial"/>
                <w:b/>
                <w:bCs/>
                <w:sz w:val="36"/>
                <w:lang w:val="ru-RU"/>
              </w:rPr>
              <w:t>7</w:t>
            </w:r>
            <w:r w:rsidR="009E7C30" w:rsidRPr="0020444C">
              <w:rPr>
                <w:rFonts w:ascii="Arial" w:hAnsi="Arial"/>
                <w:b/>
                <w:bCs/>
                <w:sz w:val="36"/>
                <w:lang w:val="ru-RU"/>
              </w:rPr>
              <w:t>3</w:t>
            </w:r>
            <w:r w:rsidR="00703E49" w:rsidRPr="0020444C">
              <w:rPr>
                <w:rFonts w:ascii="Arial" w:hAnsi="Arial"/>
                <w:b/>
                <w:bCs/>
                <w:sz w:val="36"/>
                <w:lang w:val="ru-RU"/>
              </w:rPr>
              <w:t xml:space="preserve"> – </w:t>
            </w:r>
            <w:bookmarkStart w:id="5" w:name="_Toc349120805"/>
            <w:bookmarkStart w:id="6" w:name="_Toc476828261"/>
            <w:bookmarkStart w:id="7" w:name="_Toc478376803"/>
            <w:r w:rsidR="009E7C30" w:rsidRPr="0020444C">
              <w:rPr>
                <w:rFonts w:ascii="Arial" w:hAnsi="Arial"/>
                <w:b/>
                <w:bCs/>
                <w:sz w:val="36"/>
                <w:lang w:val="ru-RU"/>
              </w:rPr>
              <w:t>Информационно-коммуникационные технологии, окружающая среда, изменение климата</w:t>
            </w:r>
            <w:bookmarkEnd w:id="5"/>
            <w:bookmarkEnd w:id="6"/>
            <w:bookmarkEnd w:id="7"/>
            <w:r w:rsidR="009E7C30" w:rsidRPr="0020444C">
              <w:rPr>
                <w:rFonts w:ascii="Arial" w:hAnsi="Arial"/>
                <w:b/>
                <w:bCs/>
                <w:sz w:val="36"/>
                <w:lang w:val="ru-RU"/>
              </w:rPr>
              <w:t xml:space="preserve"> и циркуляционная экономика</w:t>
            </w:r>
          </w:p>
        </w:tc>
      </w:tr>
      <w:bookmarkEnd w:id="4"/>
      <w:tr w:rsidR="009663D2" w:rsidRPr="0020444C" w14:paraId="3AABC301" w14:textId="77777777" w:rsidTr="00FA73F8">
        <w:trPr>
          <w:cantSplit/>
          <w:trHeight w:hRule="exact" w:val="1237"/>
        </w:trPr>
        <w:tc>
          <w:tcPr>
            <w:tcW w:w="1418" w:type="dxa"/>
          </w:tcPr>
          <w:p w14:paraId="6F4FEA54" w14:textId="77777777" w:rsidR="009663D2" w:rsidRPr="00204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14:paraId="67DD950B" w14:textId="54FBDC1E" w:rsidR="009663D2" w:rsidRPr="0020444C" w:rsidRDefault="009663D2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8" w:name="dnum2e"/>
            <w:bookmarkEnd w:id="8"/>
          </w:p>
        </w:tc>
      </w:tr>
    </w:tbl>
    <w:p w14:paraId="2BA57029" w14:textId="77777777" w:rsidR="00B31B8D" w:rsidRPr="0020444C" w:rsidRDefault="00FA73F8" w:rsidP="00FA73F8">
      <w:pPr>
        <w:jc w:val="right"/>
        <w:rPr>
          <w:lang w:val="ru-RU"/>
        </w:rPr>
      </w:pPr>
      <w:bookmarkStart w:id="9" w:name="c2tope"/>
      <w:bookmarkStart w:id="10" w:name="irecnoe"/>
      <w:bookmarkStart w:id="11" w:name="p1rectexte"/>
      <w:bookmarkEnd w:id="9"/>
      <w:bookmarkEnd w:id="10"/>
      <w:bookmarkEnd w:id="11"/>
      <w:r w:rsidRPr="0020444C">
        <w:rPr>
          <w:noProof/>
          <w:lang w:val="ru-RU"/>
        </w:rPr>
        <w:drawing>
          <wp:inline distT="0" distB="0" distL="0" distR="0" wp14:anchorId="7E81F6D2" wp14:editId="5AE6DC7C">
            <wp:extent cx="769620" cy="780415"/>
            <wp:effectExtent l="0" t="0" r="0" b="0"/>
            <wp:docPr id="25" name="Picture 2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7C1D4" w14:textId="77777777" w:rsidR="00FA73F8" w:rsidRPr="0020444C" w:rsidRDefault="00FA73F8" w:rsidP="00FA73F8">
      <w:pPr>
        <w:jc w:val="left"/>
        <w:rPr>
          <w:lang w:val="ru-RU"/>
        </w:rPr>
      </w:pPr>
    </w:p>
    <w:p w14:paraId="376A710A" w14:textId="693841F8" w:rsidR="00FA73F8" w:rsidRPr="0020444C" w:rsidRDefault="00FA73F8" w:rsidP="00FA73F8">
      <w:pPr>
        <w:jc w:val="left"/>
        <w:rPr>
          <w:lang w:val="ru-RU"/>
        </w:rPr>
        <w:sectPr w:rsidR="00FA73F8" w:rsidRPr="0020444C" w:rsidSect="000A064A">
          <w:footerReference w:type="even" r:id="rId9"/>
          <w:footerReference w:type="first" r:id="rId10"/>
          <w:footnotePr>
            <w:numRestart w:val="eachSect"/>
          </w:footnotePr>
          <w:type w:val="continuous"/>
          <w:pgSz w:w="11907" w:h="16840" w:code="9"/>
          <w:pgMar w:top="1089" w:right="1089" w:bottom="284" w:left="1089" w:header="567" w:footer="284" w:gutter="0"/>
          <w:pgNumType w:fmt="lowerRoman"/>
          <w:cols w:space="720"/>
          <w:vAlign w:val="both"/>
        </w:sectPr>
      </w:pPr>
    </w:p>
    <w:p w14:paraId="097F6C3F" w14:textId="77777777" w:rsidR="00AF663A" w:rsidRPr="0020444C" w:rsidRDefault="00AF663A" w:rsidP="00B31B8D">
      <w:pPr>
        <w:jc w:val="center"/>
        <w:rPr>
          <w:lang w:val="ru-RU"/>
        </w:rPr>
      </w:pPr>
      <w:r w:rsidRPr="0020444C">
        <w:rPr>
          <w:lang w:val="ru-RU"/>
        </w:rPr>
        <w:lastRenderedPageBreak/>
        <w:t>ПРЕДИСЛОВИЕ</w:t>
      </w:r>
    </w:p>
    <w:p w14:paraId="786857AB" w14:textId="77777777" w:rsidR="00154CC6" w:rsidRPr="0020444C" w:rsidRDefault="00154CC6" w:rsidP="00154CC6">
      <w:pPr>
        <w:rPr>
          <w:sz w:val="20"/>
          <w:lang w:val="ru-RU"/>
        </w:rPr>
      </w:pPr>
      <w:bookmarkStart w:id="12" w:name="iitextf"/>
      <w:r w:rsidRPr="0020444C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20444C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55F83075" w14:textId="77777777" w:rsidR="00154CC6" w:rsidRPr="0020444C" w:rsidRDefault="00154CC6" w:rsidP="00154CC6">
      <w:pPr>
        <w:rPr>
          <w:sz w:val="20"/>
          <w:lang w:val="ru-RU"/>
        </w:rPr>
      </w:pPr>
      <w:r w:rsidRPr="0020444C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2D67E3BA" w14:textId="77777777" w:rsidR="00154CC6" w:rsidRPr="0020444C" w:rsidRDefault="00154CC6" w:rsidP="00154CC6">
      <w:pPr>
        <w:rPr>
          <w:sz w:val="20"/>
          <w:lang w:val="ru-RU"/>
        </w:rPr>
      </w:pPr>
      <w:r w:rsidRPr="0020444C">
        <w:rPr>
          <w:sz w:val="20"/>
          <w:lang w:val="ru-RU"/>
        </w:rPr>
        <w:t xml:space="preserve">Утверждение </w:t>
      </w:r>
      <w:r w:rsidRPr="0020444C">
        <w:rPr>
          <w:caps/>
          <w:sz w:val="20"/>
          <w:lang w:val="ru-RU"/>
        </w:rPr>
        <w:t>р</w:t>
      </w:r>
      <w:r w:rsidRPr="0020444C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12"/>
      <w:r w:rsidRPr="0020444C">
        <w:rPr>
          <w:sz w:val="20"/>
          <w:lang w:val="ru-RU"/>
        </w:rPr>
        <w:t>.</w:t>
      </w:r>
    </w:p>
    <w:p w14:paraId="05982DA4" w14:textId="77777777" w:rsidR="00154CC6" w:rsidRPr="0020444C" w:rsidRDefault="00154CC6" w:rsidP="00154CC6">
      <w:pPr>
        <w:rPr>
          <w:lang w:val="ru-RU"/>
        </w:rPr>
      </w:pPr>
      <w:r w:rsidRPr="0020444C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3A1BA29A" w14:textId="77777777" w:rsidR="00AF663A" w:rsidRPr="0020444C" w:rsidRDefault="00AF663A" w:rsidP="00AF663A">
      <w:pPr>
        <w:rPr>
          <w:lang w:val="ru-RU"/>
        </w:rPr>
      </w:pPr>
    </w:p>
    <w:p w14:paraId="5139C65C" w14:textId="77777777" w:rsidR="00AF663A" w:rsidRPr="0020444C" w:rsidRDefault="00AF663A" w:rsidP="00AF663A">
      <w:pPr>
        <w:rPr>
          <w:lang w:val="ru-RU"/>
        </w:rPr>
      </w:pPr>
    </w:p>
    <w:p w14:paraId="307B9E26" w14:textId="77777777" w:rsidR="00AF663A" w:rsidRPr="0020444C" w:rsidRDefault="00AF663A" w:rsidP="00AF663A">
      <w:pPr>
        <w:rPr>
          <w:lang w:val="ru-RU"/>
        </w:rPr>
      </w:pPr>
    </w:p>
    <w:p w14:paraId="116EF2C5" w14:textId="77777777" w:rsidR="00AF663A" w:rsidRPr="0020444C" w:rsidRDefault="00AF663A" w:rsidP="00AF663A">
      <w:pPr>
        <w:rPr>
          <w:lang w:val="ru-RU"/>
        </w:rPr>
      </w:pPr>
    </w:p>
    <w:p w14:paraId="686436AC" w14:textId="77777777" w:rsidR="00AF663A" w:rsidRPr="0020444C" w:rsidRDefault="00AF663A" w:rsidP="00AF663A">
      <w:pPr>
        <w:rPr>
          <w:lang w:val="ru-RU"/>
        </w:rPr>
      </w:pPr>
    </w:p>
    <w:p w14:paraId="67924CC8" w14:textId="77777777" w:rsidR="00AF663A" w:rsidRPr="0020444C" w:rsidRDefault="00AF663A" w:rsidP="00AF663A">
      <w:pPr>
        <w:rPr>
          <w:lang w:val="ru-RU"/>
        </w:rPr>
      </w:pPr>
    </w:p>
    <w:p w14:paraId="72988EDD" w14:textId="77777777" w:rsidR="00AF663A" w:rsidRPr="0020444C" w:rsidRDefault="00AF663A" w:rsidP="00AF663A">
      <w:pPr>
        <w:rPr>
          <w:lang w:val="ru-RU"/>
        </w:rPr>
      </w:pPr>
    </w:p>
    <w:p w14:paraId="61AD97F0" w14:textId="77777777" w:rsidR="00AF663A" w:rsidRPr="0020444C" w:rsidRDefault="00AF663A" w:rsidP="00AF663A">
      <w:pPr>
        <w:rPr>
          <w:lang w:val="ru-RU"/>
        </w:rPr>
      </w:pPr>
    </w:p>
    <w:p w14:paraId="5BAAC281" w14:textId="77777777" w:rsidR="00AF663A" w:rsidRPr="0020444C" w:rsidRDefault="00AF663A" w:rsidP="00AF663A">
      <w:pPr>
        <w:rPr>
          <w:lang w:val="ru-RU"/>
        </w:rPr>
      </w:pPr>
    </w:p>
    <w:p w14:paraId="40F4B36B" w14:textId="77777777" w:rsidR="00AF663A" w:rsidRPr="0020444C" w:rsidRDefault="00AF663A" w:rsidP="00AF663A">
      <w:pPr>
        <w:rPr>
          <w:lang w:val="ru-RU"/>
        </w:rPr>
      </w:pPr>
    </w:p>
    <w:p w14:paraId="0693E093" w14:textId="77777777" w:rsidR="00AF663A" w:rsidRPr="0020444C" w:rsidRDefault="00AF663A" w:rsidP="00AF663A">
      <w:pPr>
        <w:rPr>
          <w:lang w:val="ru-RU"/>
        </w:rPr>
      </w:pPr>
    </w:p>
    <w:p w14:paraId="721B0C90" w14:textId="77777777" w:rsidR="00AF663A" w:rsidRPr="0020444C" w:rsidRDefault="00AF663A" w:rsidP="00AF663A">
      <w:pPr>
        <w:rPr>
          <w:lang w:val="ru-RU"/>
        </w:rPr>
      </w:pPr>
    </w:p>
    <w:p w14:paraId="12BDF41D" w14:textId="77777777" w:rsidR="00AF663A" w:rsidRPr="0020444C" w:rsidRDefault="00AF663A" w:rsidP="00AF663A">
      <w:pPr>
        <w:rPr>
          <w:lang w:val="ru-RU"/>
        </w:rPr>
      </w:pPr>
    </w:p>
    <w:p w14:paraId="1C4AC37F" w14:textId="77777777" w:rsidR="00AF663A" w:rsidRPr="0020444C" w:rsidRDefault="00AF663A" w:rsidP="00AF663A">
      <w:pPr>
        <w:rPr>
          <w:lang w:val="ru-RU"/>
        </w:rPr>
      </w:pPr>
    </w:p>
    <w:p w14:paraId="7B3A9322" w14:textId="77777777" w:rsidR="00AF663A" w:rsidRPr="0020444C" w:rsidRDefault="00AF663A" w:rsidP="00AF663A">
      <w:pPr>
        <w:rPr>
          <w:lang w:val="ru-RU"/>
        </w:rPr>
      </w:pPr>
    </w:p>
    <w:p w14:paraId="112B81CE" w14:textId="77777777" w:rsidR="00AF663A" w:rsidRPr="0020444C" w:rsidRDefault="00AF663A" w:rsidP="00AF663A">
      <w:pPr>
        <w:rPr>
          <w:lang w:val="ru-RU"/>
        </w:rPr>
      </w:pPr>
    </w:p>
    <w:p w14:paraId="4D1F7874" w14:textId="77777777" w:rsidR="00AF663A" w:rsidRPr="0020444C" w:rsidRDefault="00AF663A" w:rsidP="00AF663A">
      <w:pPr>
        <w:rPr>
          <w:lang w:val="ru-RU"/>
        </w:rPr>
      </w:pPr>
    </w:p>
    <w:p w14:paraId="4B5CD1F5" w14:textId="77777777" w:rsidR="00AF663A" w:rsidRPr="0020444C" w:rsidRDefault="00AF663A" w:rsidP="00AF663A">
      <w:pPr>
        <w:rPr>
          <w:lang w:val="ru-RU"/>
        </w:rPr>
      </w:pPr>
    </w:p>
    <w:p w14:paraId="42EF7959" w14:textId="77777777" w:rsidR="00AF663A" w:rsidRPr="0020444C" w:rsidRDefault="00AF663A" w:rsidP="00AF663A">
      <w:pPr>
        <w:rPr>
          <w:lang w:val="ru-RU"/>
        </w:rPr>
      </w:pPr>
    </w:p>
    <w:p w14:paraId="780F20E6" w14:textId="77777777" w:rsidR="008357E6" w:rsidRPr="0020444C" w:rsidRDefault="008357E6" w:rsidP="00AF663A">
      <w:pPr>
        <w:rPr>
          <w:lang w:val="ru-RU"/>
        </w:rPr>
      </w:pPr>
    </w:p>
    <w:p w14:paraId="776E0206" w14:textId="77777777" w:rsidR="008357E6" w:rsidRPr="0020444C" w:rsidRDefault="008357E6" w:rsidP="00AF663A">
      <w:pPr>
        <w:rPr>
          <w:lang w:val="ru-RU"/>
        </w:rPr>
      </w:pPr>
    </w:p>
    <w:p w14:paraId="5250A4BA" w14:textId="77777777" w:rsidR="008357E6" w:rsidRPr="0020444C" w:rsidRDefault="008357E6" w:rsidP="00AF663A">
      <w:pPr>
        <w:rPr>
          <w:lang w:val="ru-RU"/>
        </w:rPr>
      </w:pPr>
    </w:p>
    <w:p w14:paraId="7ACC59D8" w14:textId="0FE6AFBA" w:rsidR="00AF663A" w:rsidRPr="0020444C" w:rsidRDefault="00AF663A" w:rsidP="007D2D13">
      <w:pPr>
        <w:jc w:val="center"/>
        <w:rPr>
          <w:sz w:val="20"/>
          <w:lang w:val="ru-RU"/>
        </w:rPr>
      </w:pPr>
      <w:r w:rsidRPr="0020444C">
        <w:rPr>
          <w:sz w:val="20"/>
          <w:lang w:val="ru-RU"/>
        </w:rPr>
        <w:sym w:font="Symbol" w:char="F0E3"/>
      </w:r>
      <w:r w:rsidRPr="0020444C">
        <w:rPr>
          <w:sz w:val="20"/>
          <w:lang w:val="ru-RU"/>
        </w:rPr>
        <w:t>  ITU  </w:t>
      </w:r>
      <w:bookmarkStart w:id="13" w:name="iiannee"/>
      <w:bookmarkEnd w:id="13"/>
      <w:r w:rsidRPr="0020444C">
        <w:rPr>
          <w:sz w:val="20"/>
          <w:lang w:val="ru-RU"/>
        </w:rPr>
        <w:t>20</w:t>
      </w:r>
      <w:r w:rsidR="00CA2461" w:rsidRPr="0020444C">
        <w:rPr>
          <w:sz w:val="20"/>
          <w:lang w:val="ru-RU"/>
        </w:rPr>
        <w:t>22</w:t>
      </w:r>
    </w:p>
    <w:p w14:paraId="0C9FB15A" w14:textId="77777777" w:rsidR="00AF663A" w:rsidRPr="0020444C" w:rsidRDefault="00154CC6" w:rsidP="00F90058">
      <w:pPr>
        <w:rPr>
          <w:sz w:val="20"/>
          <w:lang w:val="ru-RU"/>
        </w:rPr>
      </w:pPr>
      <w:r w:rsidRPr="0020444C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6563832A" w14:textId="77777777" w:rsidR="00A81FB2" w:rsidRPr="0020444C" w:rsidRDefault="00A81FB2" w:rsidP="0042255F">
      <w:pPr>
        <w:rPr>
          <w:sz w:val="20"/>
          <w:lang w:val="ru-RU"/>
        </w:rPr>
      </w:pPr>
    </w:p>
    <w:p w14:paraId="35ABC850" w14:textId="77777777" w:rsidR="00AF663A" w:rsidRPr="0020444C" w:rsidRDefault="00AF663A" w:rsidP="00AF663A">
      <w:pPr>
        <w:rPr>
          <w:lang w:val="ru-RU"/>
        </w:rPr>
        <w:sectPr w:rsidR="00AF663A" w:rsidRPr="0020444C" w:rsidSect="00A633C9">
          <w:headerReference w:type="even" r:id="rId11"/>
          <w:footerReference w:type="even" r:id="rId12"/>
          <w:footerReference w:type="default" r:id="rId13"/>
          <w:footnotePr>
            <w:numRestart w:val="eachSect"/>
          </w:footnotePr>
          <w:type w:val="evenPage"/>
          <w:pgSz w:w="11907" w:h="16840" w:code="9"/>
          <w:pgMar w:top="1134" w:right="1134" w:bottom="1134" w:left="1134" w:header="567" w:footer="567" w:gutter="0"/>
          <w:pgNumType w:fmt="lowerRoman"/>
          <w:cols w:space="720"/>
          <w:vAlign w:val="both"/>
        </w:sectPr>
      </w:pPr>
    </w:p>
    <w:p w14:paraId="67EC1127" w14:textId="7CA01AED" w:rsidR="009E7C30" w:rsidRPr="0020444C" w:rsidRDefault="009E7C30" w:rsidP="009E7C30">
      <w:pPr>
        <w:pStyle w:val="ResNo"/>
        <w:rPr>
          <w:lang w:val="ru-RU"/>
        </w:rPr>
      </w:pPr>
      <w:bookmarkStart w:id="14" w:name="_Toc476828260"/>
      <w:bookmarkStart w:id="15" w:name="_Toc478376802"/>
      <w:r w:rsidRPr="0020444C">
        <w:rPr>
          <w:lang w:val="ru-RU"/>
        </w:rPr>
        <w:lastRenderedPageBreak/>
        <w:t xml:space="preserve">РЕЗОЛЮЦИЯ </w:t>
      </w:r>
      <w:r w:rsidRPr="0020444C">
        <w:rPr>
          <w:rStyle w:val="href"/>
          <w:lang w:val="ru-RU"/>
        </w:rPr>
        <w:t>73</w:t>
      </w:r>
      <w:r w:rsidRPr="0020444C">
        <w:rPr>
          <w:lang w:val="ru-RU"/>
        </w:rPr>
        <w:t xml:space="preserve"> (</w:t>
      </w:r>
      <w:bookmarkEnd w:id="14"/>
      <w:bookmarkEnd w:id="15"/>
      <w:proofErr w:type="spellStart"/>
      <w:r w:rsidR="0020444C" w:rsidRPr="0020444C">
        <w:rPr>
          <w:caps w:val="0"/>
          <w:lang w:val="ru-RU"/>
        </w:rPr>
        <w:t>Пересм</w:t>
      </w:r>
      <w:proofErr w:type="spellEnd"/>
      <w:r w:rsidRPr="0020444C">
        <w:rPr>
          <w:lang w:val="ru-RU"/>
        </w:rPr>
        <w:t xml:space="preserve">. </w:t>
      </w:r>
      <w:r w:rsidR="0020444C" w:rsidRPr="0020444C">
        <w:rPr>
          <w:caps w:val="0"/>
          <w:lang w:val="ru-RU"/>
        </w:rPr>
        <w:t>Женева</w:t>
      </w:r>
      <w:r w:rsidRPr="0020444C">
        <w:rPr>
          <w:lang w:val="ru-RU"/>
        </w:rPr>
        <w:t xml:space="preserve">, 2022 </w:t>
      </w:r>
      <w:r w:rsidR="0020444C" w:rsidRPr="0020444C">
        <w:rPr>
          <w:caps w:val="0"/>
          <w:lang w:val="ru-RU"/>
        </w:rPr>
        <w:t>г</w:t>
      </w:r>
      <w:r w:rsidRPr="0020444C">
        <w:rPr>
          <w:lang w:val="ru-RU"/>
        </w:rPr>
        <w:t>.)</w:t>
      </w:r>
    </w:p>
    <w:p w14:paraId="665AEE37" w14:textId="77777777" w:rsidR="009E7C30" w:rsidRPr="0020444C" w:rsidRDefault="009E7C30" w:rsidP="009E7C30">
      <w:pPr>
        <w:pStyle w:val="Restitle"/>
        <w:rPr>
          <w:lang w:val="ru-RU"/>
        </w:rPr>
      </w:pPr>
      <w:r w:rsidRPr="0020444C">
        <w:rPr>
          <w:lang w:val="ru-RU"/>
        </w:rPr>
        <w:t xml:space="preserve">Информационно-коммуникационные технологии, окружающая среда, </w:t>
      </w:r>
      <w:r w:rsidRPr="0020444C">
        <w:rPr>
          <w:lang w:val="ru-RU"/>
        </w:rPr>
        <w:br/>
        <w:t>изменение климата и циркуляционная экономика</w:t>
      </w:r>
    </w:p>
    <w:p w14:paraId="4971A725" w14:textId="77777777" w:rsidR="009E7C30" w:rsidRPr="0020444C" w:rsidRDefault="009E7C30" w:rsidP="009E7C30">
      <w:pPr>
        <w:pStyle w:val="Resref"/>
        <w:rPr>
          <w:lang w:val="ru-RU"/>
        </w:rPr>
      </w:pPr>
      <w:r w:rsidRPr="0020444C">
        <w:rPr>
          <w:lang w:val="ru-RU"/>
        </w:rPr>
        <w:t xml:space="preserve">(Йоханнесбург, 2008 г.; Дубай, 2012 г.; </w:t>
      </w:r>
      <w:proofErr w:type="spellStart"/>
      <w:r w:rsidRPr="0020444C">
        <w:rPr>
          <w:lang w:val="ru-RU"/>
        </w:rPr>
        <w:t>Хаммамет</w:t>
      </w:r>
      <w:proofErr w:type="spellEnd"/>
      <w:r w:rsidRPr="0020444C">
        <w:rPr>
          <w:lang w:val="ru-RU"/>
        </w:rPr>
        <w:t>, 2016 г.; Женева, 2022 г.)</w:t>
      </w:r>
    </w:p>
    <w:p w14:paraId="28261740" w14:textId="77777777" w:rsidR="009E7C30" w:rsidRPr="0020444C" w:rsidRDefault="009E7C30" w:rsidP="009E7C30">
      <w:pPr>
        <w:pStyle w:val="Normalaftertitle"/>
        <w:rPr>
          <w:lang w:val="ru-RU"/>
        </w:rPr>
      </w:pPr>
      <w:r w:rsidRPr="0020444C">
        <w:rPr>
          <w:lang w:val="ru-RU"/>
        </w:rPr>
        <w:t>Всемирная ассамблея по стандартизации электросвязи (Женева, 2022 г.),</w:t>
      </w:r>
    </w:p>
    <w:p w14:paraId="5856BFCD" w14:textId="77777777" w:rsidR="009E7C30" w:rsidRPr="0020444C" w:rsidRDefault="009E7C30" w:rsidP="009E7C30">
      <w:pPr>
        <w:pStyle w:val="Call"/>
        <w:rPr>
          <w:lang w:val="ru-RU"/>
        </w:rPr>
      </w:pPr>
      <w:r w:rsidRPr="0020444C">
        <w:rPr>
          <w:lang w:val="ru-RU"/>
        </w:rPr>
        <w:t>напоминая</w:t>
      </w:r>
    </w:p>
    <w:p w14:paraId="1308F53D" w14:textId="77777777" w:rsidR="009E7C30" w:rsidRPr="0020444C" w:rsidRDefault="009E7C30" w:rsidP="009E7C30">
      <w:pPr>
        <w:rPr>
          <w:lang w:val="ru-RU"/>
        </w:rPr>
      </w:pPr>
      <w:r w:rsidRPr="0020444C">
        <w:rPr>
          <w:i/>
          <w:iCs/>
          <w:lang w:val="ru-RU"/>
        </w:rPr>
        <w:t>a)</w:t>
      </w:r>
      <w:r w:rsidRPr="0020444C">
        <w:rPr>
          <w:i/>
          <w:iCs/>
          <w:lang w:val="ru-RU"/>
        </w:rPr>
        <w:tab/>
      </w:r>
      <w:r w:rsidRPr="0020444C">
        <w:rPr>
          <w:lang w:val="ru-RU"/>
        </w:rPr>
        <w:t>о Резолюции 66 (</w:t>
      </w:r>
      <w:proofErr w:type="spellStart"/>
      <w:r w:rsidRPr="0020444C">
        <w:rPr>
          <w:lang w:val="ru-RU"/>
        </w:rPr>
        <w:t>Пересм</w:t>
      </w:r>
      <w:proofErr w:type="spellEnd"/>
      <w:r w:rsidRPr="0020444C">
        <w:rPr>
          <w:lang w:val="ru-RU"/>
        </w:rPr>
        <w:t>. Буэнос-Айрес, 2017 г.) Всемирной конференции по развитию электросвязи об информационно-коммуникационных технологиях (ИКТ) и изменении климата;</w:t>
      </w:r>
    </w:p>
    <w:p w14:paraId="59B4EFDD" w14:textId="77777777" w:rsidR="009E7C30" w:rsidRPr="0020444C" w:rsidRDefault="009E7C30" w:rsidP="009E7C30">
      <w:pPr>
        <w:rPr>
          <w:lang w:val="ru-RU"/>
        </w:rPr>
      </w:pPr>
      <w:r w:rsidRPr="0020444C">
        <w:rPr>
          <w:i/>
          <w:iCs/>
          <w:lang w:val="ru-RU"/>
        </w:rPr>
        <w:t>b)</w:t>
      </w:r>
      <w:r w:rsidRPr="0020444C">
        <w:rPr>
          <w:i/>
          <w:iCs/>
          <w:lang w:val="ru-RU"/>
        </w:rPr>
        <w:tab/>
      </w:r>
      <w:r w:rsidRPr="0020444C">
        <w:rPr>
          <w:lang w:val="ru-RU"/>
        </w:rPr>
        <w:t>о резолюции 70/1 Генеральной Ассамблеи Организации Объединенных Наций (ГА ООН) о преобразовании нашего мира: Повестка дня в области устойчивого развития на период до 2030 года;</w:t>
      </w:r>
    </w:p>
    <w:p w14:paraId="0D62CECD" w14:textId="77777777" w:rsidR="009E7C30" w:rsidRPr="0020444C" w:rsidRDefault="009E7C30" w:rsidP="009E7C30">
      <w:pPr>
        <w:rPr>
          <w:lang w:val="ru-RU"/>
        </w:rPr>
      </w:pPr>
      <w:r w:rsidRPr="0020444C">
        <w:rPr>
          <w:i/>
          <w:lang w:val="ru-RU"/>
        </w:rPr>
        <w:t>с)</w:t>
      </w:r>
      <w:r w:rsidRPr="0020444C">
        <w:rPr>
          <w:lang w:val="ru-RU"/>
        </w:rPr>
        <w:tab/>
        <w:t>о резолюции 75/231 ГА ООН, в которой признаются выгоды, которые могли бы получить страны, преобразовав свою экономику для целей поощрения перехода к рациональным моделям потребления и производства путем взаимодействия с партнерами, направленного на обеспечение учета или реализации таких концепций, как экономика замкнутого цикла и четвертая промышленная революция, в интересах рационализации промышленной деятельности и производственных систем в соответствии с национальными планами и приоритетами;</w:t>
      </w:r>
    </w:p>
    <w:p w14:paraId="22A435F6" w14:textId="77777777" w:rsidR="009E7C30" w:rsidRPr="0020444C" w:rsidRDefault="009E7C30" w:rsidP="009E7C30">
      <w:pPr>
        <w:rPr>
          <w:lang w:val="ru-RU"/>
        </w:rPr>
      </w:pPr>
      <w:r w:rsidRPr="0020444C">
        <w:rPr>
          <w:i/>
          <w:iCs/>
          <w:lang w:val="ru-RU"/>
        </w:rPr>
        <w:t>d)</w:t>
      </w:r>
      <w:r w:rsidRPr="0020444C">
        <w:rPr>
          <w:lang w:val="ru-RU"/>
        </w:rPr>
        <w:tab/>
        <w:t>о Резолюции 182 (</w:t>
      </w:r>
      <w:proofErr w:type="spellStart"/>
      <w:r w:rsidRPr="0020444C">
        <w:rPr>
          <w:lang w:val="ru-RU"/>
        </w:rPr>
        <w:t>Пересм</w:t>
      </w:r>
      <w:proofErr w:type="spellEnd"/>
      <w:r w:rsidRPr="0020444C">
        <w:rPr>
          <w:lang w:val="ru-RU"/>
        </w:rPr>
        <w:t>. Пусан, 2014 г.) Полномочной конференции о роли электросвязи/информационно-коммуникационных технологий в изменении климата и защите окружающей среды;</w:t>
      </w:r>
    </w:p>
    <w:p w14:paraId="10B6EDA5" w14:textId="77777777" w:rsidR="009E7C30" w:rsidRPr="0020444C" w:rsidRDefault="009E7C30" w:rsidP="009E7C30">
      <w:pPr>
        <w:rPr>
          <w:lang w:val="ru-RU"/>
        </w:rPr>
      </w:pPr>
      <w:r w:rsidRPr="0020444C">
        <w:rPr>
          <w:i/>
          <w:iCs/>
          <w:lang w:val="ru-RU"/>
        </w:rPr>
        <w:t>e)</w:t>
      </w:r>
      <w:r w:rsidRPr="0020444C">
        <w:rPr>
          <w:lang w:val="ru-RU"/>
        </w:rPr>
        <w:tab/>
        <w:t>о Резолюции 1353, принятой Советом МСЭ на его сессии 2012 года, в которой признается, что электросвязь и ИКТ являются существенными компонентами для развитых и развивающихся стран</w:t>
      </w:r>
      <w:r w:rsidRPr="0020444C">
        <w:rPr>
          <w:rStyle w:val="FootnoteReference"/>
          <w:lang w:val="ru-RU"/>
        </w:rPr>
        <w:footnoteReference w:customMarkFollows="1" w:id="1"/>
        <w:t>1</w:t>
      </w:r>
      <w:r w:rsidRPr="0020444C">
        <w:rPr>
          <w:lang w:val="ru-RU"/>
        </w:rPr>
        <w:t xml:space="preserve"> с точки зрения обеспечения устойчивого развития, и в которой поручается Генеральному секретарю, во взаимодействии с Директорами Бюро, определить новые виды деятельности, которые должен осуществлять МСЭ для содействия развивающимся странам в достижении устойчивого развития благодаря электросвязи/ИКТ,</w:t>
      </w:r>
    </w:p>
    <w:p w14:paraId="54C78D29" w14:textId="77777777" w:rsidR="009E7C30" w:rsidRPr="0020444C" w:rsidRDefault="009E7C30" w:rsidP="009E7C30">
      <w:pPr>
        <w:pStyle w:val="Call"/>
        <w:rPr>
          <w:lang w:val="ru-RU"/>
        </w:rPr>
      </w:pPr>
      <w:r w:rsidRPr="0020444C">
        <w:rPr>
          <w:lang w:val="ru-RU"/>
        </w:rPr>
        <w:t>признавая</w:t>
      </w:r>
      <w:r w:rsidRPr="0020444C">
        <w:rPr>
          <w:i w:val="0"/>
          <w:iCs/>
          <w:lang w:val="ru-RU"/>
        </w:rPr>
        <w:t>,</w:t>
      </w:r>
    </w:p>
    <w:p w14:paraId="067F3CE8" w14:textId="77777777" w:rsidR="009E7C30" w:rsidRPr="0020444C" w:rsidRDefault="009E7C30" w:rsidP="009E7C30">
      <w:pPr>
        <w:rPr>
          <w:lang w:val="ru-RU"/>
        </w:rPr>
      </w:pPr>
      <w:r w:rsidRPr="0020444C">
        <w:rPr>
          <w:i/>
          <w:lang w:val="ru-RU"/>
        </w:rPr>
        <w:t>a)</w:t>
      </w:r>
      <w:r w:rsidRPr="0020444C">
        <w:rPr>
          <w:lang w:val="ru-RU"/>
        </w:rPr>
        <w:tab/>
        <w:t>что ИКТ имеют важнейшее значение для мониторинга климата и защиты природных экосистем, сбора данных и оперативной передачи информации о рисках, связанных с изменением климата, и что для обеспечения охвата связью населения и соответствующих организаций по оказанию помощи необходимы сети электросвязи надлежащего уровня;</w:t>
      </w:r>
    </w:p>
    <w:p w14:paraId="5A50500B" w14:textId="77777777" w:rsidR="009E7C30" w:rsidRPr="0020444C" w:rsidRDefault="009E7C30" w:rsidP="009E7C30">
      <w:pPr>
        <w:rPr>
          <w:lang w:val="ru-RU"/>
        </w:rPr>
      </w:pPr>
      <w:r w:rsidRPr="0020444C">
        <w:rPr>
          <w:i/>
          <w:lang w:val="ru-RU"/>
        </w:rPr>
        <w:t>b)</w:t>
      </w:r>
      <w:r w:rsidRPr="0020444C">
        <w:rPr>
          <w:lang w:val="ru-RU"/>
        </w:rPr>
        <w:tab/>
        <w:t>что срочно требуются недорогие устойчивые решения на основе ИКТ с уменьшенным углеродным следом;</w:t>
      </w:r>
    </w:p>
    <w:p w14:paraId="561BA5F0" w14:textId="77777777" w:rsidR="009E7C30" w:rsidRPr="0020444C" w:rsidRDefault="009E7C30" w:rsidP="009E7C30">
      <w:pPr>
        <w:rPr>
          <w:lang w:val="ru-RU"/>
        </w:rPr>
      </w:pPr>
      <w:r w:rsidRPr="0020444C">
        <w:rPr>
          <w:i/>
          <w:lang w:val="ru-RU"/>
        </w:rPr>
        <w:t>с)</w:t>
      </w:r>
      <w:r w:rsidRPr="0020444C">
        <w:rPr>
          <w:i/>
          <w:lang w:val="ru-RU"/>
        </w:rPr>
        <w:tab/>
      </w:r>
      <w:r w:rsidRPr="0020444C">
        <w:rPr>
          <w:lang w:val="ru-RU"/>
        </w:rPr>
        <w:t>что изменение климата оказывает значительное влияние на:</w:t>
      </w:r>
    </w:p>
    <w:p w14:paraId="7DB9D042" w14:textId="77777777" w:rsidR="009E7C30" w:rsidRPr="0020444C" w:rsidRDefault="009E7C30" w:rsidP="009E7C30">
      <w:pPr>
        <w:pStyle w:val="enumlev1"/>
        <w:rPr>
          <w:lang w:val="ru-RU"/>
        </w:rPr>
      </w:pPr>
      <w:r w:rsidRPr="0020444C">
        <w:rPr>
          <w:lang w:val="ru-RU"/>
        </w:rPr>
        <w:t>i)</w:t>
      </w:r>
      <w:r w:rsidRPr="0020444C">
        <w:rPr>
          <w:lang w:val="ru-RU"/>
        </w:rPr>
        <w:tab/>
        <w:t>страны, расположенные в прибрежных зонах и окруженные океанами и морями, а также во внутренних районах, подверженных лесным пожарам и засухе;</w:t>
      </w:r>
    </w:p>
    <w:p w14:paraId="5C777FA4" w14:textId="77777777" w:rsidR="009E7C30" w:rsidRPr="0020444C" w:rsidRDefault="009E7C30" w:rsidP="009E7C30">
      <w:pPr>
        <w:pStyle w:val="enumlev1"/>
        <w:rPr>
          <w:lang w:val="ru-RU"/>
        </w:rPr>
      </w:pPr>
      <w:proofErr w:type="spellStart"/>
      <w:r w:rsidRPr="0020444C">
        <w:rPr>
          <w:lang w:val="ru-RU"/>
        </w:rPr>
        <w:t>ii</w:t>
      </w:r>
      <w:proofErr w:type="spellEnd"/>
      <w:r w:rsidRPr="0020444C">
        <w:rPr>
          <w:lang w:val="ru-RU"/>
        </w:rPr>
        <w:t>)</w:t>
      </w:r>
      <w:r w:rsidRPr="0020444C">
        <w:rPr>
          <w:lang w:val="ru-RU"/>
        </w:rPr>
        <w:tab/>
        <w:t>страны, экономика которых зависит от инвестиций в сельское хозяйство;</w:t>
      </w:r>
    </w:p>
    <w:p w14:paraId="6F68A698" w14:textId="77777777" w:rsidR="009E7C30" w:rsidRPr="0020444C" w:rsidRDefault="009E7C30" w:rsidP="009E7C30">
      <w:pPr>
        <w:pStyle w:val="enumlev1"/>
        <w:rPr>
          <w:lang w:val="ru-RU"/>
        </w:rPr>
      </w:pPr>
      <w:proofErr w:type="spellStart"/>
      <w:r w:rsidRPr="0020444C">
        <w:rPr>
          <w:lang w:val="ru-RU"/>
        </w:rPr>
        <w:t>iii</w:t>
      </w:r>
      <w:proofErr w:type="spellEnd"/>
      <w:r w:rsidRPr="0020444C">
        <w:rPr>
          <w:lang w:val="ru-RU"/>
        </w:rPr>
        <w:t>)</w:t>
      </w:r>
      <w:r w:rsidRPr="0020444C">
        <w:rPr>
          <w:lang w:val="ru-RU"/>
        </w:rPr>
        <w:tab/>
        <w:t>страны, которые характеризуются слабым потенциалом или отсутствием инфраструктуры и технических систем метеорологического обеспечения для смягчения последствий изменения климата,</w:t>
      </w:r>
    </w:p>
    <w:p w14:paraId="0466EC38" w14:textId="77777777" w:rsidR="008B16F2" w:rsidRDefault="008B16F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lang w:val="ru-RU"/>
        </w:rPr>
      </w:pPr>
      <w:r>
        <w:rPr>
          <w:lang w:val="ru-RU"/>
        </w:rPr>
        <w:br w:type="page"/>
      </w:r>
    </w:p>
    <w:p w14:paraId="1CCC0444" w14:textId="217E4698" w:rsidR="009E7C30" w:rsidRPr="0020444C" w:rsidRDefault="009E7C30" w:rsidP="009E7C30">
      <w:pPr>
        <w:pStyle w:val="Call"/>
        <w:rPr>
          <w:lang w:val="ru-RU"/>
        </w:rPr>
      </w:pPr>
      <w:r w:rsidRPr="0020444C">
        <w:rPr>
          <w:lang w:val="ru-RU"/>
        </w:rPr>
        <w:lastRenderedPageBreak/>
        <w:t>решает</w:t>
      </w:r>
    </w:p>
    <w:p w14:paraId="59CC5FAC" w14:textId="77777777" w:rsidR="009E7C30" w:rsidRPr="0020444C" w:rsidRDefault="009E7C30" w:rsidP="009E7C30">
      <w:pPr>
        <w:rPr>
          <w:lang w:val="ru-RU"/>
        </w:rPr>
      </w:pPr>
      <w:r w:rsidRPr="0020444C">
        <w:rPr>
          <w:lang w:val="ru-RU"/>
        </w:rPr>
        <w:t>1</w:t>
      </w:r>
      <w:r w:rsidRPr="0020444C">
        <w:rPr>
          <w:lang w:val="ru-RU"/>
        </w:rPr>
        <w:tab/>
        <w:t>продолжать выполнение и обеспечивать дальнейшее развитие программы работы МСЭ-Т, начатой в декабре 2007 года и посвященной ИКТ, изменению климата и циркуляционной экономике, в качестве одного из основных приоритетов, с тем чтобы вносить вклад в осуществляемую на глобальном уровне более широкую деятельность по сдерживанию изменений климата как части процессов в рамках Организации Объединенных Наций;</w:t>
      </w:r>
    </w:p>
    <w:p w14:paraId="107F2174" w14:textId="77777777" w:rsidR="009E7C30" w:rsidRPr="0020444C" w:rsidRDefault="009E7C30" w:rsidP="009E7C30">
      <w:pPr>
        <w:rPr>
          <w:lang w:val="ru-RU"/>
        </w:rPr>
      </w:pPr>
      <w:r w:rsidRPr="0020444C">
        <w:rPr>
          <w:lang w:val="ru-RU"/>
        </w:rPr>
        <w:t>2</w:t>
      </w:r>
      <w:r w:rsidRPr="0020444C">
        <w:rPr>
          <w:lang w:val="ru-RU"/>
        </w:rPr>
        <w:tab/>
        <w:t>принимать во внимание прогресс, уже достигнутый в ходе международных симпозиумов по ИКТ, окружающей среде, изменению климата и циркуляционной экономике, которые состоялись в различных регионах мира</w:t>
      </w:r>
      <w:r w:rsidRPr="0020444C">
        <w:rPr>
          <w:rStyle w:val="FootnoteReference"/>
          <w:lang w:val="ru-RU"/>
        </w:rPr>
        <w:footnoteReference w:customMarkFollows="1" w:id="2"/>
        <w:t>2</w:t>
      </w:r>
      <w:r w:rsidRPr="0020444C">
        <w:rPr>
          <w:lang w:val="ru-RU"/>
        </w:rPr>
        <w:t>, как можно шире распространяя их результаты;</w:t>
      </w:r>
    </w:p>
    <w:p w14:paraId="78331C0E" w14:textId="77777777" w:rsidR="009E7C30" w:rsidRPr="0020444C" w:rsidRDefault="009E7C30" w:rsidP="009E7C30">
      <w:pPr>
        <w:rPr>
          <w:lang w:val="ru-RU"/>
        </w:rPr>
      </w:pPr>
      <w:r w:rsidRPr="0020444C">
        <w:rPr>
          <w:lang w:val="ru-RU"/>
        </w:rPr>
        <w:t>3</w:t>
      </w:r>
      <w:r w:rsidRPr="0020444C">
        <w:rPr>
          <w:lang w:val="ru-RU"/>
        </w:rPr>
        <w:tab/>
        <w:t>продолжать поддерживать и обновлять Глобальный портал МСЭ-Т по ИКТ, окружающей среде, изменению климата и циркуляционной экономике, расширяя его возможности путем создания электронного и интерактивного форума для обмена информацией и распространения идей, стандартов и передового опыта относительно взаимосвязи ИКТ и экологической устойчивости, практических знаний и мер в области обеспечения экологической прозрачности, схем маркировки и средств по переработке отходов;</w:t>
      </w:r>
    </w:p>
    <w:p w14:paraId="5BC838C6" w14:textId="77777777" w:rsidR="009E7C30" w:rsidRPr="0020444C" w:rsidRDefault="009E7C30" w:rsidP="009E7C30">
      <w:pPr>
        <w:rPr>
          <w:lang w:val="ru-RU"/>
        </w:rPr>
      </w:pPr>
      <w:r w:rsidRPr="0020444C">
        <w:rPr>
          <w:lang w:val="ru-RU"/>
        </w:rPr>
        <w:t>4</w:t>
      </w:r>
      <w:r w:rsidRPr="0020444C">
        <w:rPr>
          <w:lang w:val="ru-RU"/>
        </w:rPr>
        <w:tab/>
        <w:t>содействовать разработке и принятию Рекомендаций, направленных на улучшение использования ИКТ, с тем чтобы они служили мощным межотраслевым средством оценки и снижения выбросов парниковых газов, оптимизации потребления энергии и воды, сведения к минимуму объема электронных отходов и совершенствования управления электронными отходами в различных сферах социально-экономической деятельности;</w:t>
      </w:r>
    </w:p>
    <w:p w14:paraId="2B36EF27" w14:textId="77777777" w:rsidR="009E7C30" w:rsidRPr="0020444C" w:rsidRDefault="009E7C30" w:rsidP="009E7C30">
      <w:pPr>
        <w:rPr>
          <w:lang w:val="ru-RU"/>
        </w:rPr>
      </w:pPr>
      <w:r w:rsidRPr="0020444C">
        <w:rPr>
          <w:lang w:val="ru-RU"/>
        </w:rPr>
        <w:t>5</w:t>
      </w:r>
      <w:r w:rsidRPr="0020444C">
        <w:rPr>
          <w:lang w:val="ru-RU"/>
        </w:rPr>
        <w:tab/>
        <w:t>повышать осведомленность и способствовать обмену информацией о роли ИКТ в укреплении экологической устойчивости, в частности, путем содействия применению более энергоэффективных</w:t>
      </w:r>
      <w:r w:rsidRPr="0020444C">
        <w:rPr>
          <w:rStyle w:val="FootnoteReference"/>
          <w:lang w:val="ru-RU"/>
        </w:rPr>
        <w:footnoteReference w:customMarkFollows="1" w:id="3"/>
        <w:t>3</w:t>
      </w:r>
      <w:r w:rsidRPr="0020444C">
        <w:rPr>
          <w:lang w:val="ru-RU"/>
        </w:rPr>
        <w:t xml:space="preserve"> устройств, сетей и более эффективных методов работы, а также ИКТ, которые могут быть использованы для замены или исключения технологий/использований с большим энергопотреблением;</w:t>
      </w:r>
    </w:p>
    <w:p w14:paraId="7581823B" w14:textId="77777777" w:rsidR="009E7C30" w:rsidRPr="0020444C" w:rsidRDefault="009E7C30" w:rsidP="009E7C30">
      <w:pPr>
        <w:rPr>
          <w:lang w:val="ru-RU"/>
        </w:rPr>
      </w:pPr>
      <w:r w:rsidRPr="0020444C">
        <w:rPr>
          <w:lang w:val="ru-RU"/>
        </w:rPr>
        <w:t>6</w:t>
      </w:r>
      <w:r w:rsidRPr="0020444C">
        <w:rPr>
          <w:lang w:val="ru-RU"/>
        </w:rPr>
        <w:tab/>
        <w:t>работать в направлении сокращения выбросов парниковых газов в связи с использованием ИКТ, что необходимо для достижения целей Рамочной конвенции Организации Объединенных Наций об изменении климата (РКИКООН);</w:t>
      </w:r>
    </w:p>
    <w:p w14:paraId="046E1430" w14:textId="77777777" w:rsidR="009E7C30" w:rsidRPr="0020444C" w:rsidRDefault="009E7C30" w:rsidP="009E7C30">
      <w:pPr>
        <w:rPr>
          <w:lang w:val="ru-RU"/>
        </w:rPr>
      </w:pPr>
      <w:r w:rsidRPr="0020444C">
        <w:rPr>
          <w:lang w:val="ru-RU"/>
        </w:rPr>
        <w:t>7</w:t>
      </w:r>
      <w:r w:rsidRPr="0020444C">
        <w:rPr>
          <w:lang w:val="ru-RU"/>
        </w:rPr>
        <w:tab/>
        <w:t>добиваться сокращения неблагоприятного воздействия на окружающую среду экологически небезопасных материалов, используемых в продуктах ИКТ;</w:t>
      </w:r>
    </w:p>
    <w:p w14:paraId="0E092791" w14:textId="77777777" w:rsidR="009E7C30" w:rsidRPr="0020444C" w:rsidRDefault="009E7C30" w:rsidP="009E7C30">
      <w:pPr>
        <w:rPr>
          <w:lang w:val="ru-RU"/>
        </w:rPr>
      </w:pPr>
      <w:r w:rsidRPr="0020444C">
        <w:rPr>
          <w:lang w:val="ru-RU"/>
        </w:rPr>
        <w:t>8</w:t>
      </w:r>
      <w:r w:rsidRPr="0020444C">
        <w:rPr>
          <w:lang w:val="ru-RU"/>
        </w:rPr>
        <w:tab/>
        <w:t>преодолевать разрыв в стандартизации путем оказания технического содействия странам в разработке своих национальных планов действий в отношении экологически чистых ИКТ и разработать механизм отчетности для оказания поддержки странам в реализации своих планов;</w:t>
      </w:r>
    </w:p>
    <w:p w14:paraId="103FAD03" w14:textId="77777777" w:rsidR="009E7C30" w:rsidRPr="0020444C" w:rsidRDefault="009E7C30" w:rsidP="009E7C30">
      <w:pPr>
        <w:rPr>
          <w:lang w:val="ru-RU"/>
        </w:rPr>
      </w:pPr>
      <w:r w:rsidRPr="0020444C">
        <w:rPr>
          <w:lang w:val="ru-RU"/>
        </w:rPr>
        <w:t>9</w:t>
      </w:r>
      <w:r w:rsidRPr="0020444C">
        <w:rPr>
          <w:lang w:val="ru-RU"/>
        </w:rPr>
        <w:tab/>
        <w:t>разработать программы электронного обучения, касающегося Рекомендаций, связанных с ИКТ, окружающей средой, изменением климата и циркуляционной экономикой;</w:t>
      </w:r>
    </w:p>
    <w:p w14:paraId="75DCFC91" w14:textId="77777777" w:rsidR="009E7C30" w:rsidRPr="0020444C" w:rsidRDefault="009E7C30" w:rsidP="009E7C30">
      <w:pPr>
        <w:rPr>
          <w:lang w:val="ru-RU"/>
        </w:rPr>
      </w:pPr>
      <w:r w:rsidRPr="0020444C">
        <w:rPr>
          <w:lang w:val="ru-RU"/>
        </w:rPr>
        <w:t>10</w:t>
      </w:r>
      <w:r w:rsidRPr="0020444C">
        <w:rPr>
          <w:lang w:val="ru-RU"/>
        </w:rPr>
        <w:tab/>
        <w:t xml:space="preserve">вести работу по поддержке городов и сектора ИКТ в использовании ИКТ для борьбы с изменением климата и достижения чистого нулевого уровня выбросов; </w:t>
      </w:r>
    </w:p>
    <w:p w14:paraId="39D23485" w14:textId="77777777" w:rsidR="009E7C30" w:rsidRPr="0020444C" w:rsidRDefault="009E7C30" w:rsidP="009E7C30">
      <w:pPr>
        <w:rPr>
          <w:lang w:val="ru-RU"/>
        </w:rPr>
      </w:pPr>
      <w:r w:rsidRPr="0020444C">
        <w:rPr>
          <w:lang w:val="ru-RU"/>
        </w:rPr>
        <w:t>11</w:t>
      </w:r>
      <w:r w:rsidRPr="0020444C">
        <w:rPr>
          <w:lang w:val="ru-RU"/>
        </w:rPr>
        <w:tab/>
        <w:t xml:space="preserve">вести работу по определению экологических требований к ИКТ и разработке стратегических структур для оценки воздействия ИКТ на окружающую среду; </w:t>
      </w:r>
    </w:p>
    <w:p w14:paraId="5035B73F" w14:textId="77777777" w:rsidR="009E7C30" w:rsidRPr="0020444C" w:rsidRDefault="009E7C30" w:rsidP="009E7C30">
      <w:pPr>
        <w:rPr>
          <w:lang w:val="ru-RU"/>
        </w:rPr>
      </w:pPr>
      <w:r w:rsidRPr="0020444C">
        <w:rPr>
          <w:lang w:val="ru-RU"/>
        </w:rPr>
        <w:t>12</w:t>
      </w:r>
      <w:r w:rsidRPr="0020444C">
        <w:rPr>
          <w:lang w:val="ru-RU"/>
        </w:rPr>
        <w:tab/>
        <w:t xml:space="preserve">поддерживать использование ИКТ для содействия усилиям по смягчению последствий изменения климата и адаптации к нему, а также по созданию устойчивой к изменению климата инфраструктуры; </w:t>
      </w:r>
    </w:p>
    <w:p w14:paraId="37C3B910" w14:textId="77777777" w:rsidR="009E7C30" w:rsidRPr="0020444C" w:rsidRDefault="009E7C30" w:rsidP="009E7C30">
      <w:pPr>
        <w:rPr>
          <w:lang w:val="ru-RU"/>
        </w:rPr>
      </w:pPr>
      <w:r w:rsidRPr="0020444C">
        <w:rPr>
          <w:lang w:val="ru-RU"/>
        </w:rPr>
        <w:lastRenderedPageBreak/>
        <w:t>13</w:t>
      </w:r>
      <w:r w:rsidRPr="0020444C">
        <w:rPr>
          <w:lang w:val="ru-RU"/>
        </w:rPr>
        <w:tab/>
        <w:t>вести работу по внедрению циркуляционной экономики в городах и населенных пунктах для повышения их устойчивости,</w:t>
      </w:r>
    </w:p>
    <w:p w14:paraId="6A9F7819" w14:textId="77777777" w:rsidR="009E7C30" w:rsidRPr="0020444C" w:rsidRDefault="009E7C30" w:rsidP="009E7C30">
      <w:pPr>
        <w:pStyle w:val="Call"/>
        <w:rPr>
          <w:lang w:val="ru-RU"/>
        </w:rPr>
      </w:pPr>
      <w:r w:rsidRPr="0020444C">
        <w:rPr>
          <w:lang w:val="ru-RU"/>
        </w:rPr>
        <w:t>поручает Консультативной группе по стандартизации электросвязи</w:t>
      </w:r>
    </w:p>
    <w:p w14:paraId="02CF3665" w14:textId="77777777" w:rsidR="009E7C30" w:rsidRPr="0020444C" w:rsidRDefault="009E7C30" w:rsidP="009E7C30">
      <w:pPr>
        <w:rPr>
          <w:lang w:val="ru-RU"/>
        </w:rPr>
      </w:pPr>
      <w:r w:rsidRPr="0020444C">
        <w:rPr>
          <w:lang w:val="ru-RU"/>
        </w:rPr>
        <w:t>1</w:t>
      </w:r>
      <w:r w:rsidRPr="0020444C">
        <w:rPr>
          <w:lang w:val="ru-RU"/>
        </w:rPr>
        <w:tab/>
        <w:t>осуществлять координацию деятельности исследовательских комиссий МСЭ-Т, относящуюся к рассмотрению ими соответствующей деятельности по стандартизации других организаций по разработке стандартов (ОРС), и содействовать взаимодействию МСЭ и этих ОРС в целях недопущения дублирования или пересечения международных стандартов;</w:t>
      </w:r>
    </w:p>
    <w:p w14:paraId="626675F7" w14:textId="77777777" w:rsidR="009E7C30" w:rsidRPr="0020444C" w:rsidRDefault="009E7C30" w:rsidP="009E7C30">
      <w:pPr>
        <w:rPr>
          <w:lang w:val="ru-RU"/>
        </w:rPr>
      </w:pPr>
      <w:r w:rsidRPr="0020444C">
        <w:rPr>
          <w:lang w:val="ru-RU"/>
        </w:rPr>
        <w:t>2</w:t>
      </w:r>
      <w:r w:rsidRPr="0020444C">
        <w:rPr>
          <w:lang w:val="ru-RU"/>
        </w:rPr>
        <w:tab/>
        <w:t>обеспечить рассмотрение исследовательскими комиссиями всех будущих Рекомендаций для оценки их значения и применения примеров передового опыта с точки зрения защиты окружающей среды, изменения климата и циркуляционной экономики;</w:t>
      </w:r>
    </w:p>
    <w:p w14:paraId="0FC86432" w14:textId="77777777" w:rsidR="009E7C30" w:rsidRPr="0020444C" w:rsidRDefault="009E7C30" w:rsidP="009E7C30">
      <w:pPr>
        <w:rPr>
          <w:lang w:val="ru-RU"/>
        </w:rPr>
      </w:pPr>
      <w:r w:rsidRPr="0020444C">
        <w:rPr>
          <w:lang w:val="ru-RU"/>
        </w:rPr>
        <w:t>3</w:t>
      </w:r>
      <w:r w:rsidRPr="0020444C">
        <w:rPr>
          <w:lang w:val="ru-RU"/>
        </w:rPr>
        <w:tab/>
        <w:t>рассмотреть дальнейшие возможные изменения процедур работы, с тем чтобы выполнить задачи настоящей Резолюции, включая расширение использования электронных методов работы для снижения воздействия, приводящего к изменению климата, таких как проведение собраний с использованием безбумажной технологии, виртуальных конференций, телеработы и т. д.,</w:t>
      </w:r>
    </w:p>
    <w:p w14:paraId="15B88604" w14:textId="77777777" w:rsidR="009E7C30" w:rsidRPr="0020444C" w:rsidRDefault="009E7C30" w:rsidP="009E7C30">
      <w:pPr>
        <w:pStyle w:val="Call"/>
        <w:keepNext w:val="0"/>
        <w:keepLines w:val="0"/>
        <w:rPr>
          <w:lang w:val="ru-RU"/>
        </w:rPr>
      </w:pPr>
      <w:r w:rsidRPr="0020444C">
        <w:rPr>
          <w:lang w:val="ru-RU"/>
        </w:rPr>
        <w:t>поручает всем исследовательским комиссиям Сектора стандартизации электросвязи МСЭ</w:t>
      </w:r>
    </w:p>
    <w:p w14:paraId="62FA159A" w14:textId="77777777" w:rsidR="009E7C30" w:rsidRPr="0020444C" w:rsidRDefault="009E7C30" w:rsidP="009E7C30">
      <w:pPr>
        <w:rPr>
          <w:lang w:val="ru-RU"/>
        </w:rPr>
      </w:pPr>
      <w:r w:rsidRPr="0020444C">
        <w:rPr>
          <w:lang w:val="ru-RU"/>
        </w:rPr>
        <w:t>1</w:t>
      </w:r>
      <w:r w:rsidRPr="0020444C">
        <w:rPr>
          <w:lang w:val="ru-RU"/>
        </w:rPr>
        <w:tab/>
        <w:t>сотрудничать с 5-й Исследовательской комиссией МСЭ-Т в целях разработки соответствующих Рекомендаций по вопросам ИКТ, окружающей среды и изменения климата в рамках мандата и сферы компетенции МСЭ-Т, включая, например сети электросвязи, используемые для мониторинга изменения климата и адаптации к нему, обеспечение готовности к бедствиям, сигнализацию и качество обслуживания, с учетом любых экономических последствий для всех стран и, в частности для развивающихся стран;</w:t>
      </w:r>
    </w:p>
    <w:p w14:paraId="2F1BA018" w14:textId="77777777" w:rsidR="009E7C30" w:rsidRPr="0020444C" w:rsidRDefault="009E7C30" w:rsidP="009E7C30">
      <w:pPr>
        <w:rPr>
          <w:lang w:val="ru-RU"/>
        </w:rPr>
      </w:pPr>
      <w:r w:rsidRPr="0020444C">
        <w:rPr>
          <w:lang w:val="ru-RU"/>
        </w:rPr>
        <w:t>2</w:t>
      </w:r>
      <w:r w:rsidRPr="0020444C">
        <w:rPr>
          <w:lang w:val="ru-RU"/>
        </w:rPr>
        <w:tab/>
        <w:t>определить передовые методы работы и возможности для применения новых приложений с использованием ИКТ в целях содействия экологической устойчивости и определить надлежащие меры;</w:t>
      </w:r>
    </w:p>
    <w:p w14:paraId="51D988D1" w14:textId="77777777" w:rsidR="009E7C30" w:rsidRPr="0020444C" w:rsidRDefault="009E7C30" w:rsidP="009E7C30">
      <w:pPr>
        <w:rPr>
          <w:lang w:val="ru-RU"/>
        </w:rPr>
      </w:pPr>
      <w:r w:rsidRPr="0020444C">
        <w:rPr>
          <w:lang w:val="ru-RU"/>
        </w:rPr>
        <w:t>3</w:t>
      </w:r>
      <w:r w:rsidRPr="0020444C">
        <w:rPr>
          <w:lang w:val="ru-RU"/>
        </w:rPr>
        <w:tab/>
        <w:t>определить передовые методы работы и содействовать их применению для реализации экологически безопасных политики и практики и обмениваться информацией о примерах использования и основных факторах успеха;</w:t>
      </w:r>
    </w:p>
    <w:p w14:paraId="21629A70" w14:textId="77777777" w:rsidR="009E7C30" w:rsidRPr="0020444C" w:rsidRDefault="009E7C30" w:rsidP="009E7C30">
      <w:pPr>
        <w:rPr>
          <w:lang w:val="ru-RU"/>
        </w:rPr>
      </w:pPr>
      <w:r w:rsidRPr="0020444C">
        <w:rPr>
          <w:lang w:val="ru-RU"/>
        </w:rPr>
        <w:t>4</w:t>
      </w:r>
      <w:r w:rsidRPr="0020444C">
        <w:rPr>
          <w:lang w:val="ru-RU"/>
        </w:rPr>
        <w:tab/>
        <w:t>определить инициативы, которые содействуют неизменно успешным и устойчивым подходам, обеспечивающим экономически эффективное применение;</w:t>
      </w:r>
    </w:p>
    <w:p w14:paraId="5ECB6C5D" w14:textId="77777777" w:rsidR="009E7C30" w:rsidRPr="0020444C" w:rsidRDefault="009E7C30" w:rsidP="009E7C30">
      <w:pPr>
        <w:rPr>
          <w:lang w:val="ru-RU"/>
        </w:rPr>
      </w:pPr>
      <w:r w:rsidRPr="0020444C">
        <w:rPr>
          <w:lang w:val="ru-RU"/>
        </w:rPr>
        <w:t>5</w:t>
      </w:r>
      <w:r w:rsidRPr="0020444C">
        <w:rPr>
          <w:lang w:val="ru-RU"/>
        </w:rPr>
        <w:tab/>
        <w:t xml:space="preserve">определить новые успешные энергоэффективные технологии, использующие возобновляемые или альтернативные источники энергии, которые показали свою эффективность на городских и сельских </w:t>
      </w:r>
      <w:r w:rsidRPr="0020444C">
        <w:rPr>
          <w:color w:val="000000"/>
          <w:lang w:val="ru-RU"/>
        </w:rPr>
        <w:t>объектах электросвязи,</w:t>
      </w:r>
      <w:r w:rsidRPr="0020444C">
        <w:rPr>
          <w:lang w:val="ru-RU"/>
        </w:rPr>
        <w:t xml:space="preserve"> и содействовать их развитию;</w:t>
      </w:r>
    </w:p>
    <w:p w14:paraId="3D091609" w14:textId="77777777" w:rsidR="009E7C30" w:rsidRPr="0020444C" w:rsidRDefault="009E7C30" w:rsidP="009E7C30">
      <w:pPr>
        <w:rPr>
          <w:lang w:val="ru-RU"/>
        </w:rPr>
      </w:pPr>
      <w:r w:rsidRPr="0020444C">
        <w:rPr>
          <w:lang w:val="ru-RU"/>
        </w:rPr>
        <w:t>6</w:t>
      </w:r>
      <w:r w:rsidRPr="0020444C">
        <w:rPr>
          <w:lang w:val="ru-RU"/>
        </w:rPr>
        <w:tab/>
        <w:t>взаимодействовать с соответствующими исследовательскими комиссиями Сектора радиосвязи МСЭ и Сектора развития электросвязи МСЭ и осуществлять взаимодействие с другими ОРС и форумами, с тем чтобы не допускать дублирования работы, оптимизировать использование ресурсов, а также ускорять появление глобальных стандартов,</w:t>
      </w:r>
    </w:p>
    <w:p w14:paraId="209F207A" w14:textId="77777777" w:rsidR="009E7C30" w:rsidRPr="0020444C" w:rsidRDefault="009E7C30" w:rsidP="009E7C30">
      <w:pPr>
        <w:pStyle w:val="Call"/>
        <w:keepLines w:val="0"/>
        <w:rPr>
          <w:lang w:val="ru-RU"/>
        </w:rPr>
      </w:pPr>
      <w:r w:rsidRPr="0020444C">
        <w:rPr>
          <w:lang w:val="ru-RU"/>
        </w:rPr>
        <w:t>поручает Директору Бюро стандартизации электросвязи в сотрудничестве с Директорами других Бюро</w:t>
      </w:r>
    </w:p>
    <w:p w14:paraId="13ADAD8F" w14:textId="77777777" w:rsidR="009E7C30" w:rsidRPr="0020444C" w:rsidRDefault="009E7C30" w:rsidP="009E7C30">
      <w:pPr>
        <w:keepNext/>
        <w:rPr>
          <w:lang w:val="ru-RU"/>
        </w:rPr>
      </w:pPr>
      <w:r w:rsidRPr="0020444C">
        <w:rPr>
          <w:lang w:val="ru-RU"/>
        </w:rPr>
        <w:t>1</w:t>
      </w:r>
      <w:r w:rsidRPr="0020444C">
        <w:rPr>
          <w:lang w:val="ru-RU"/>
        </w:rPr>
        <w:tab/>
        <w:t>представлять ежегодный отчет Совету МСЭ о ходе работы по применению настоящей Резолюции, а также представить отчет следующей Всемирной ассамблее по стандартизации электросвязи;</w:t>
      </w:r>
    </w:p>
    <w:p w14:paraId="08E7F422" w14:textId="77777777" w:rsidR="009E7C30" w:rsidRPr="0020444C" w:rsidRDefault="009E7C30" w:rsidP="009E7C30">
      <w:pPr>
        <w:rPr>
          <w:lang w:val="ru-RU"/>
        </w:rPr>
      </w:pPr>
      <w:r w:rsidRPr="0020444C">
        <w:rPr>
          <w:lang w:val="ru-RU"/>
        </w:rPr>
        <w:t>2</w:t>
      </w:r>
      <w:r w:rsidRPr="0020444C">
        <w:rPr>
          <w:lang w:val="ru-RU"/>
        </w:rPr>
        <w:tab/>
        <w:t>поддерживать в актуальном состоянии график мероприятий по вопросам ИКТ, окружающей среды, изменения климата и циркуляционной экономики на основе предложений КГСЭ и в тесном сотрудничестве с другими двумя Секторами;</w:t>
      </w:r>
    </w:p>
    <w:p w14:paraId="4C9DF682" w14:textId="77777777" w:rsidR="008B16F2" w:rsidRDefault="008B16F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458D8422" w14:textId="42518667" w:rsidR="009E7C30" w:rsidRPr="0020444C" w:rsidRDefault="009E7C30" w:rsidP="009E7C30">
      <w:pPr>
        <w:rPr>
          <w:lang w:val="ru-RU"/>
        </w:rPr>
      </w:pPr>
      <w:r w:rsidRPr="0020444C">
        <w:rPr>
          <w:lang w:val="ru-RU"/>
        </w:rPr>
        <w:lastRenderedPageBreak/>
        <w:t>3</w:t>
      </w:r>
      <w:r w:rsidRPr="0020444C">
        <w:rPr>
          <w:lang w:val="ru-RU"/>
        </w:rPr>
        <w:tab/>
        <w:t>начать реализацию пилотных проектов, направленных на преодоление разрыва в стандартизации, по вопросам, касающимся экологической устойчивости, в частности в развивающихся странах;</w:t>
      </w:r>
    </w:p>
    <w:p w14:paraId="6112E6A3" w14:textId="77777777" w:rsidR="009E7C30" w:rsidRPr="0020444C" w:rsidRDefault="009E7C30" w:rsidP="009E7C30">
      <w:pPr>
        <w:rPr>
          <w:lang w:val="ru-RU"/>
        </w:rPr>
      </w:pPr>
      <w:r w:rsidRPr="0020444C">
        <w:rPr>
          <w:lang w:val="ru-RU"/>
        </w:rPr>
        <w:t>4</w:t>
      </w:r>
      <w:r w:rsidRPr="0020444C">
        <w:rPr>
          <w:lang w:val="ru-RU"/>
        </w:rPr>
        <w:tab/>
        <w:t>поддерживать разработку отчетов по вопросам ИКТ, окружающей среды, изменения климата и циркуляционной экономики, учитывая соответствующие исследования, в частности работу, проводимую 5</w:t>
      </w:r>
      <w:r w:rsidRPr="0020444C">
        <w:rPr>
          <w:lang w:val="ru-RU"/>
        </w:rPr>
        <w:noBreakHyphen/>
        <w:t>й Исследовательской комиссией, в том числе по вопросам, связанным, среди прочего, с циркуляционной экономикой, "зелеными" центрами обработки данных, "умными" зданиями, экологически чистыми закупками ИКТ, облачными вычислениями, энергоэффективностью, "умным" транспортом, "умными" системами материально-технического снабжения, "умными" электросетями, управлением водными ресурсами, адаптацией к изменению климата и обеспечением готовности к бедствиям, а также с тем, какой вклад сектор ИКТ вносит в ежегодное сокращение выбросов парниковых газов, и незамедлительно представлять отчеты на рассмотрение 5-й Исследовательской комиссии;</w:t>
      </w:r>
    </w:p>
    <w:p w14:paraId="2D26F6B3" w14:textId="77777777" w:rsidR="009E7C30" w:rsidRPr="0020444C" w:rsidRDefault="009E7C30" w:rsidP="009E7C30">
      <w:pPr>
        <w:rPr>
          <w:lang w:val="ru-RU"/>
        </w:rPr>
      </w:pPr>
      <w:r w:rsidRPr="0020444C">
        <w:rPr>
          <w:lang w:val="ru-RU"/>
        </w:rPr>
        <w:t>5</w:t>
      </w:r>
      <w:r w:rsidRPr="0020444C">
        <w:rPr>
          <w:lang w:val="ru-RU"/>
        </w:rPr>
        <w:tab/>
        <w:t>проводить форумы, семинары-практикумы и семинары для развивающихся стран, с тем чтобы повысить уровень осведомленности и определить их конкретные потребности и проблемы, связанные с окружающей средой, изменением климата и циркуляционной экономикой;</w:t>
      </w:r>
    </w:p>
    <w:p w14:paraId="4AD2F1B1" w14:textId="77777777" w:rsidR="009E7C30" w:rsidRPr="0020444C" w:rsidRDefault="009E7C30" w:rsidP="009E7C30">
      <w:pPr>
        <w:rPr>
          <w:lang w:val="ru-RU"/>
        </w:rPr>
      </w:pPr>
      <w:r w:rsidRPr="0020444C">
        <w:rPr>
          <w:lang w:val="ru-RU"/>
        </w:rPr>
        <w:t>6</w:t>
      </w:r>
      <w:r w:rsidRPr="0020444C">
        <w:rPr>
          <w:lang w:val="ru-RU"/>
        </w:rPr>
        <w:tab/>
        <w:t>создавать, выдвигать на первый план и распространять информацию и учебные программы по ИКТ, изменению климата, окружающей среде и циркуляционной экономике;</w:t>
      </w:r>
    </w:p>
    <w:p w14:paraId="198EE3C7" w14:textId="77777777" w:rsidR="009E7C30" w:rsidRPr="0020444C" w:rsidRDefault="009E7C30" w:rsidP="009E7C30">
      <w:pPr>
        <w:rPr>
          <w:lang w:val="ru-RU"/>
        </w:rPr>
      </w:pPr>
      <w:r w:rsidRPr="0020444C">
        <w:rPr>
          <w:lang w:val="ru-RU"/>
        </w:rPr>
        <w:t>7</w:t>
      </w:r>
      <w:r w:rsidRPr="0020444C">
        <w:rPr>
          <w:lang w:val="ru-RU"/>
        </w:rPr>
        <w:tab/>
        <w:t>представлять отчет о ходе работы Объединенной целевой группы МСЭ/Всемирной метеорологической организации (ВМО)/Межправительственной океанографической комиссии Организации Объединенных Наций по вопросам образования, науки и культуры (МОК ЮНЕСКО) по изучению потенциала использования подводных кабелей электросвязи для мониторинга океана и климата и предупреждения о бедствиях;</w:t>
      </w:r>
    </w:p>
    <w:p w14:paraId="19C4FFEB" w14:textId="77777777" w:rsidR="009E7C30" w:rsidRPr="0020444C" w:rsidRDefault="009E7C30" w:rsidP="009E7C30">
      <w:pPr>
        <w:rPr>
          <w:lang w:val="ru-RU"/>
        </w:rPr>
      </w:pPr>
      <w:r w:rsidRPr="0020444C">
        <w:rPr>
          <w:lang w:val="ru-RU"/>
        </w:rPr>
        <w:t>8</w:t>
      </w:r>
      <w:r w:rsidRPr="0020444C">
        <w:rPr>
          <w:lang w:val="ru-RU"/>
        </w:rPr>
        <w:tab/>
        <w:t>популяризировать Глобальный портал МСЭ-Т по ИКТ, окружающей среде, изменению климата и циркуляционной экономике и его использование в качестве электронного форума для обмена идеями, знаниями и передовым опытом по вопросам ИКТ, окружающей среды, изменения климата и циркуляционной экономики и их распространения;</w:t>
      </w:r>
    </w:p>
    <w:p w14:paraId="359A9DCF" w14:textId="77777777" w:rsidR="009E7C30" w:rsidRPr="0020444C" w:rsidRDefault="009E7C30" w:rsidP="009E7C30">
      <w:pPr>
        <w:rPr>
          <w:lang w:val="ru-RU"/>
        </w:rPr>
      </w:pPr>
      <w:r w:rsidRPr="0020444C">
        <w:rPr>
          <w:lang w:val="ru-RU"/>
        </w:rPr>
        <w:t>9</w:t>
      </w:r>
      <w:r w:rsidRPr="0020444C">
        <w:rPr>
          <w:lang w:val="ru-RU"/>
        </w:rPr>
        <w:tab/>
        <w:t xml:space="preserve">оказывать помощь странам, уязвимым к воздействию изменения климата, при уделении особого внимания развивающимся странам; </w:t>
      </w:r>
    </w:p>
    <w:p w14:paraId="07A4D3F6" w14:textId="77777777" w:rsidR="009E7C30" w:rsidRPr="0020444C" w:rsidRDefault="009E7C30" w:rsidP="009E7C30">
      <w:pPr>
        <w:pStyle w:val="enumlev1"/>
        <w:rPr>
          <w:lang w:val="ru-RU"/>
        </w:rPr>
      </w:pPr>
      <w:r w:rsidRPr="0020444C">
        <w:rPr>
          <w:lang w:val="ru-RU"/>
        </w:rPr>
        <w:t>i)</w:t>
      </w:r>
      <w:r w:rsidRPr="0020444C">
        <w:rPr>
          <w:lang w:val="ru-RU"/>
        </w:rPr>
        <w:tab/>
        <w:t>которые расположены в прибрежных зонах и окружены океанами и морями, а также во внутренних районах, подверженных лесным пожарам и засухе;</w:t>
      </w:r>
    </w:p>
    <w:p w14:paraId="59643BF6" w14:textId="77777777" w:rsidR="009E7C30" w:rsidRPr="0020444C" w:rsidRDefault="009E7C30" w:rsidP="009E7C30">
      <w:pPr>
        <w:pStyle w:val="enumlev1"/>
        <w:rPr>
          <w:lang w:val="ru-RU"/>
        </w:rPr>
      </w:pPr>
      <w:proofErr w:type="spellStart"/>
      <w:r w:rsidRPr="0020444C">
        <w:rPr>
          <w:lang w:val="ru-RU"/>
        </w:rPr>
        <w:t>ii</w:t>
      </w:r>
      <w:proofErr w:type="spellEnd"/>
      <w:r w:rsidRPr="0020444C">
        <w:rPr>
          <w:lang w:val="ru-RU"/>
        </w:rPr>
        <w:t>)</w:t>
      </w:r>
      <w:r w:rsidRPr="0020444C">
        <w:rPr>
          <w:lang w:val="ru-RU"/>
        </w:rPr>
        <w:tab/>
        <w:t>экономика которых зависит от инвестиций в сельское хозяйство;</w:t>
      </w:r>
    </w:p>
    <w:p w14:paraId="755D4406" w14:textId="77777777" w:rsidR="009E7C30" w:rsidRPr="0020444C" w:rsidRDefault="009E7C30" w:rsidP="009E7C30">
      <w:pPr>
        <w:pStyle w:val="enumlev1"/>
        <w:rPr>
          <w:lang w:val="ru-RU"/>
        </w:rPr>
      </w:pPr>
      <w:proofErr w:type="spellStart"/>
      <w:r w:rsidRPr="0020444C">
        <w:rPr>
          <w:lang w:val="ru-RU"/>
        </w:rPr>
        <w:t>iii</w:t>
      </w:r>
      <w:proofErr w:type="spellEnd"/>
      <w:r w:rsidRPr="0020444C">
        <w:rPr>
          <w:lang w:val="ru-RU"/>
        </w:rPr>
        <w:t>)</w:t>
      </w:r>
      <w:r w:rsidRPr="0020444C">
        <w:rPr>
          <w:lang w:val="ru-RU"/>
        </w:rPr>
        <w:tab/>
        <w:t>которые характеризуются слабым потенциалом или отсутствием инфраструктуры и технических систем метеорологического обеспечения для смягчения последствий изменения климата,</w:t>
      </w:r>
    </w:p>
    <w:p w14:paraId="16079D75" w14:textId="77777777" w:rsidR="009E7C30" w:rsidRPr="0020444C" w:rsidRDefault="009E7C30" w:rsidP="009E7C30">
      <w:pPr>
        <w:pStyle w:val="Call"/>
        <w:keepLines w:val="0"/>
        <w:rPr>
          <w:lang w:val="ru-RU"/>
        </w:rPr>
      </w:pPr>
      <w:r w:rsidRPr="0020444C">
        <w:rPr>
          <w:lang w:val="ru-RU"/>
        </w:rPr>
        <w:t>предлагает Генеральному секретарю</w:t>
      </w:r>
    </w:p>
    <w:p w14:paraId="3D304DF9" w14:textId="77777777" w:rsidR="009E7C30" w:rsidRPr="0020444C" w:rsidRDefault="009E7C30" w:rsidP="009E7C30">
      <w:pPr>
        <w:rPr>
          <w:lang w:val="ru-RU"/>
        </w:rPr>
      </w:pPr>
      <w:r w:rsidRPr="0020444C">
        <w:rPr>
          <w:lang w:val="ru-RU"/>
        </w:rPr>
        <w:t>продолжать сотрудничать и взаимодействовать с другими объединениями в рамках Организации Объединенных Наций при определении будущих международных усилий по защите окружающей среды и борьбе с изменением климата и поддерживать уязвимые страны в проектах, предусматривающих деятельность по смягчению последствий изменения климата, адаптации и повышению устойчивости к изменению климата, а также планы по обеспечению готовности к изменению климата, внося вклад в достижение целей Повестки дня в области устойчивого развития на период до 2030 года,</w:t>
      </w:r>
    </w:p>
    <w:p w14:paraId="012C1357" w14:textId="77777777" w:rsidR="009E7C30" w:rsidRPr="0020444C" w:rsidRDefault="009E7C30" w:rsidP="009E7C30">
      <w:pPr>
        <w:pStyle w:val="Call"/>
        <w:rPr>
          <w:lang w:val="ru-RU"/>
        </w:rPr>
      </w:pPr>
      <w:r w:rsidRPr="0020444C">
        <w:rPr>
          <w:lang w:val="ru-RU"/>
        </w:rPr>
        <w:t>предлагает Государствам-Членам, Членам Сектора и Ассоциированным членам</w:t>
      </w:r>
    </w:p>
    <w:p w14:paraId="12EEA7D5" w14:textId="77777777" w:rsidR="009E7C30" w:rsidRPr="0020444C" w:rsidRDefault="009E7C30" w:rsidP="009E7C30">
      <w:pPr>
        <w:rPr>
          <w:lang w:val="ru-RU"/>
        </w:rPr>
      </w:pPr>
      <w:r w:rsidRPr="0020444C">
        <w:rPr>
          <w:lang w:val="ru-RU"/>
        </w:rPr>
        <w:t>1</w:t>
      </w:r>
      <w:r w:rsidRPr="0020444C">
        <w:rPr>
          <w:lang w:val="ru-RU"/>
        </w:rPr>
        <w:tab/>
        <w:t>продолжать активно содействовать работе 5</w:t>
      </w:r>
      <w:r w:rsidRPr="0020444C">
        <w:rPr>
          <w:lang w:val="ru-RU"/>
        </w:rPr>
        <w:noBreakHyphen/>
        <w:t>й Исследовательской комиссии и других исследовательских комиссий МСЭ-Т по вопросам ИКТ, окружающей среды, изменения климата и циркуляционной экономики;</w:t>
      </w:r>
    </w:p>
    <w:p w14:paraId="68A944D5" w14:textId="77777777" w:rsidR="009E7C30" w:rsidRPr="0020444C" w:rsidRDefault="009E7C30" w:rsidP="009E7C30">
      <w:pPr>
        <w:rPr>
          <w:lang w:val="ru-RU"/>
        </w:rPr>
      </w:pPr>
      <w:r w:rsidRPr="0020444C">
        <w:rPr>
          <w:lang w:val="ru-RU"/>
        </w:rPr>
        <w:t>2</w:t>
      </w:r>
      <w:r w:rsidRPr="0020444C">
        <w:rPr>
          <w:lang w:val="ru-RU"/>
        </w:rPr>
        <w:tab/>
        <w:t>продолжать или начать осуществление программ государственного и частного секторов, которые включают вопросы, относящиеся к ИКТ, окружающей среде и изменению климата и циркуляционной экономике, принимая во внимание соответствующие Рекомендации МСЭ-Т и соответствующую работу;</w:t>
      </w:r>
    </w:p>
    <w:p w14:paraId="40C29C66" w14:textId="77777777" w:rsidR="009E7C30" w:rsidRPr="0020444C" w:rsidRDefault="009E7C30" w:rsidP="009E7C30">
      <w:pPr>
        <w:rPr>
          <w:lang w:val="ru-RU"/>
        </w:rPr>
      </w:pPr>
      <w:r w:rsidRPr="0020444C">
        <w:rPr>
          <w:lang w:val="ru-RU"/>
        </w:rPr>
        <w:lastRenderedPageBreak/>
        <w:t>3</w:t>
      </w:r>
      <w:r w:rsidRPr="0020444C">
        <w:rPr>
          <w:lang w:val="ru-RU"/>
        </w:rPr>
        <w:tab/>
        <w:t>обмениваться передовым опытом и повышать осведомленность о преимуществах, связанных с использованием "зеленых" ИКТ, согласно соответствующим Рекомендациям МСЭ;</w:t>
      </w:r>
    </w:p>
    <w:p w14:paraId="04F6BE57" w14:textId="77777777" w:rsidR="009E7C30" w:rsidRPr="0020444C" w:rsidRDefault="009E7C30" w:rsidP="009E7C30">
      <w:pPr>
        <w:rPr>
          <w:lang w:val="ru-RU"/>
        </w:rPr>
      </w:pPr>
      <w:r w:rsidRPr="0020444C">
        <w:rPr>
          <w:lang w:val="ru-RU"/>
        </w:rPr>
        <w:t>4</w:t>
      </w:r>
      <w:r w:rsidRPr="0020444C">
        <w:rPr>
          <w:lang w:val="ru-RU"/>
        </w:rPr>
        <w:tab/>
        <w:t>содействовать интеграции политических принципов, относящихся к ИКТ, климату, окружающей среде и энергетике, для улучшения экологических показателей, повышения энергоэффективности и совершенствования управления ресурсами;</w:t>
      </w:r>
    </w:p>
    <w:p w14:paraId="08F0B573" w14:textId="77777777" w:rsidR="009E7C30" w:rsidRPr="0020444C" w:rsidRDefault="009E7C30" w:rsidP="009E7C30">
      <w:pPr>
        <w:rPr>
          <w:lang w:val="ru-RU"/>
        </w:rPr>
      </w:pPr>
      <w:r w:rsidRPr="0020444C">
        <w:rPr>
          <w:lang w:val="ru-RU"/>
        </w:rPr>
        <w:t>5</w:t>
      </w:r>
      <w:r w:rsidRPr="0020444C">
        <w:rPr>
          <w:lang w:val="ru-RU"/>
        </w:rPr>
        <w:tab/>
        <w:t>включить использование ИКТ в национальные планы адаптации для использования ИКТ как инструмента, благоприятствующего борьбе с последствиями изменения климата;</w:t>
      </w:r>
    </w:p>
    <w:p w14:paraId="156DA5D7" w14:textId="77777777" w:rsidR="009E7C30" w:rsidRPr="0020444C" w:rsidRDefault="009E7C30" w:rsidP="009E7C30">
      <w:pPr>
        <w:rPr>
          <w:lang w:val="ru-RU"/>
        </w:rPr>
      </w:pPr>
      <w:r w:rsidRPr="0020444C">
        <w:rPr>
          <w:lang w:val="ru-RU"/>
        </w:rPr>
        <w:t>6</w:t>
      </w:r>
      <w:r w:rsidRPr="0020444C">
        <w:rPr>
          <w:lang w:val="ru-RU"/>
        </w:rPr>
        <w:tab/>
        <w:t>осуществлять взаимодействие со своими национальными партнерами, ответственными за вопросы окружающей среды, с тем чтобы поддерживать более широкий процесс на уровне Организации Объединенных Наций борьбы с изменением климата и участвовать в этом процессе, предоставляя информацию и разрабатывая общие предложения, касающиеся роли электросвязи/ИКТ в смягчении последствий изменения климата и адаптации к этим последствиям, с тем чтобы эти предложения могли учитываться в рамках РКИКООН.</w:t>
      </w:r>
    </w:p>
    <w:p w14:paraId="2A7FF143" w14:textId="0D8F3C57" w:rsidR="009E7C30" w:rsidRDefault="009E7C30" w:rsidP="008B16F2">
      <w:pPr>
        <w:rPr>
          <w:lang w:val="ru-RU"/>
        </w:rPr>
      </w:pPr>
    </w:p>
    <w:p w14:paraId="4B0A814A" w14:textId="29C8BC00" w:rsidR="008B16F2" w:rsidRDefault="008B16F2" w:rsidP="008B16F2">
      <w:pPr>
        <w:rPr>
          <w:lang w:val="ru-RU"/>
        </w:rPr>
      </w:pPr>
    </w:p>
    <w:p w14:paraId="14E10D6A" w14:textId="3529CEB3" w:rsidR="008B16F2" w:rsidRDefault="008B16F2" w:rsidP="008B16F2">
      <w:pPr>
        <w:rPr>
          <w:lang w:val="ru-RU"/>
        </w:rPr>
      </w:pPr>
    </w:p>
    <w:p w14:paraId="1FEB7216" w14:textId="56380C84" w:rsidR="008B16F2" w:rsidRDefault="008B16F2" w:rsidP="008B16F2">
      <w:pPr>
        <w:rPr>
          <w:lang w:val="ru-RU"/>
        </w:rPr>
      </w:pPr>
    </w:p>
    <w:p w14:paraId="3F450549" w14:textId="74ED1CD7" w:rsidR="008B16F2" w:rsidRDefault="008B16F2" w:rsidP="008B16F2">
      <w:pPr>
        <w:rPr>
          <w:lang w:val="ru-RU"/>
        </w:rPr>
      </w:pPr>
    </w:p>
    <w:p w14:paraId="47784F54" w14:textId="7DD09A68" w:rsidR="008B16F2" w:rsidRDefault="008B16F2" w:rsidP="008B16F2">
      <w:pPr>
        <w:rPr>
          <w:lang w:val="ru-RU"/>
        </w:rPr>
      </w:pPr>
    </w:p>
    <w:p w14:paraId="46C07CD2" w14:textId="7802E917" w:rsidR="008B16F2" w:rsidRDefault="008B16F2" w:rsidP="008B16F2">
      <w:pPr>
        <w:rPr>
          <w:lang w:val="ru-RU"/>
        </w:rPr>
      </w:pPr>
    </w:p>
    <w:p w14:paraId="22B4FDDC" w14:textId="31BBF3D8" w:rsidR="008B16F2" w:rsidRDefault="008B16F2" w:rsidP="008B16F2">
      <w:pPr>
        <w:rPr>
          <w:lang w:val="ru-RU"/>
        </w:rPr>
      </w:pPr>
    </w:p>
    <w:p w14:paraId="128683E2" w14:textId="318F8C83" w:rsidR="008B16F2" w:rsidRDefault="008B16F2" w:rsidP="008B16F2">
      <w:pPr>
        <w:rPr>
          <w:lang w:val="ru-RU"/>
        </w:rPr>
      </w:pPr>
    </w:p>
    <w:p w14:paraId="6B0E58C6" w14:textId="14CA8467" w:rsidR="008B16F2" w:rsidRDefault="008B16F2" w:rsidP="008B16F2">
      <w:pPr>
        <w:rPr>
          <w:lang w:val="ru-RU"/>
        </w:rPr>
      </w:pPr>
    </w:p>
    <w:p w14:paraId="38461625" w14:textId="2B32741F" w:rsidR="008B16F2" w:rsidRDefault="008B16F2" w:rsidP="008B16F2">
      <w:pPr>
        <w:rPr>
          <w:lang w:val="ru-RU"/>
        </w:rPr>
      </w:pPr>
    </w:p>
    <w:p w14:paraId="499D98D6" w14:textId="0EB5CBC4" w:rsidR="008B16F2" w:rsidRDefault="008B16F2" w:rsidP="008B16F2">
      <w:pPr>
        <w:rPr>
          <w:lang w:val="ru-RU"/>
        </w:rPr>
      </w:pPr>
    </w:p>
    <w:p w14:paraId="6F56D99E" w14:textId="2EB27991" w:rsidR="008B16F2" w:rsidRDefault="008B16F2" w:rsidP="008B16F2">
      <w:pPr>
        <w:rPr>
          <w:lang w:val="ru-RU"/>
        </w:rPr>
      </w:pPr>
    </w:p>
    <w:p w14:paraId="0FEE8CBD" w14:textId="16E283E6" w:rsidR="008B16F2" w:rsidRDefault="008B16F2" w:rsidP="008B16F2">
      <w:pPr>
        <w:rPr>
          <w:lang w:val="ru-RU"/>
        </w:rPr>
      </w:pPr>
    </w:p>
    <w:p w14:paraId="0AEADC55" w14:textId="46933CED" w:rsidR="008B16F2" w:rsidRDefault="008B16F2" w:rsidP="008B16F2">
      <w:pPr>
        <w:rPr>
          <w:lang w:val="ru-RU"/>
        </w:rPr>
      </w:pPr>
    </w:p>
    <w:p w14:paraId="199539C0" w14:textId="6790A812" w:rsidR="008B16F2" w:rsidRDefault="008B16F2" w:rsidP="008B16F2">
      <w:pPr>
        <w:rPr>
          <w:lang w:val="ru-RU"/>
        </w:rPr>
      </w:pPr>
    </w:p>
    <w:p w14:paraId="338C9E7F" w14:textId="410934DE" w:rsidR="008B16F2" w:rsidRDefault="008B16F2" w:rsidP="008B16F2">
      <w:pPr>
        <w:rPr>
          <w:lang w:val="ru-RU"/>
        </w:rPr>
      </w:pPr>
    </w:p>
    <w:p w14:paraId="193E0BB5" w14:textId="450678FB" w:rsidR="008B16F2" w:rsidRDefault="008B16F2" w:rsidP="008B16F2">
      <w:pPr>
        <w:rPr>
          <w:lang w:val="ru-RU"/>
        </w:rPr>
      </w:pPr>
    </w:p>
    <w:p w14:paraId="245C1C23" w14:textId="77777777" w:rsidR="008B16F2" w:rsidRPr="0020444C" w:rsidRDefault="008B16F2" w:rsidP="008B16F2">
      <w:pPr>
        <w:rPr>
          <w:lang w:val="ru-RU"/>
        </w:rPr>
      </w:pPr>
    </w:p>
    <w:p w14:paraId="74B5C492" w14:textId="34ED70C0" w:rsidR="009C0295" w:rsidRPr="0020444C" w:rsidRDefault="009C0295" w:rsidP="008B16F2">
      <w:pPr>
        <w:rPr>
          <w:lang w:val="ru-RU"/>
        </w:rPr>
      </w:pPr>
    </w:p>
    <w:sectPr w:rsidR="009C0295" w:rsidRPr="0020444C" w:rsidSect="001C0E33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134" w:right="1134" w:bottom="1134" w:left="1134" w:header="567" w:footer="567" w:gutter="0"/>
      <w:pgNumType w:start="1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49EA" w14:textId="77777777" w:rsidR="00562709" w:rsidRDefault="00562709">
      <w:r>
        <w:separator/>
      </w:r>
    </w:p>
  </w:endnote>
  <w:endnote w:type="continuationSeparator" w:id="0">
    <w:p w14:paraId="086BBF3C" w14:textId="77777777" w:rsidR="00562709" w:rsidRDefault="0056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E50C6" w14:textId="77777777" w:rsidR="00562709" w:rsidRDefault="00562709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</w:t>
    </w:r>
    <w:proofErr w:type="spellStart"/>
    <w:r>
      <w:t>Красная</w:t>
    </w:r>
    <w:proofErr w:type="spellEnd"/>
    <w:r>
      <w:t xml:space="preserve"> </w:t>
    </w:r>
    <w:proofErr w:type="spellStart"/>
    <w:r>
      <w:t>книга</w:t>
    </w:r>
    <w:proofErr w:type="spellEnd"/>
    <w:r>
      <w:t xml:space="preserve">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7DEF" w14:textId="47C4503B" w:rsidR="00CA2461" w:rsidRDefault="00CA2461" w:rsidP="00AA0E2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3558A7">
      <w:rPr>
        <w:b/>
        <w:bCs/>
        <w:sz w:val="22"/>
        <w:szCs w:val="22"/>
      </w:rPr>
      <w:t>1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D620" w14:textId="77777777" w:rsidR="00562709" w:rsidRPr="009663D2" w:rsidRDefault="00562709" w:rsidP="009663D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99C5" w14:textId="4DB58B7E" w:rsidR="00562709" w:rsidRPr="00F90058" w:rsidRDefault="003558A7" w:rsidP="003558A7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7A68C1">
      <w:rPr>
        <w:b/>
        <w:bCs/>
        <w:sz w:val="22"/>
        <w:szCs w:val="22"/>
      </w:rPr>
      <w:t>1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1</w:t>
    </w:r>
    <w:r w:rsidRPr="007053F5">
      <w:rPr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DD23" w14:textId="49A9191E" w:rsidR="00562709" w:rsidRPr="00726506" w:rsidRDefault="00562709" w:rsidP="0013294E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906D66">
      <w:rPr>
        <w:bCs/>
        <w:sz w:val="22"/>
        <w:szCs w:val="22"/>
      </w:rPr>
      <w:t>16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 w:rsidR="007A68C1">
      <w:rPr>
        <w:b/>
        <w:sz w:val="22"/>
        <w:szCs w:val="22"/>
        <w:lang w:val="ru-RU"/>
      </w:rPr>
      <w:t>20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5D24AE">
      <w:rPr>
        <w:b/>
        <w:sz w:val="22"/>
        <w:szCs w:val="22"/>
      </w:rPr>
      <w:t>73</w:t>
    </w:r>
    <w:r w:rsidRPr="00E95096">
      <w:rPr>
        <w:b/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731D" w14:textId="58BF91D2" w:rsidR="00562709" w:rsidRPr="007053F5" w:rsidRDefault="00562709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5D24AE">
      <w:rPr>
        <w:b/>
        <w:bCs/>
        <w:sz w:val="22"/>
        <w:szCs w:val="22"/>
      </w:rPr>
      <w:t>73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 w:rsidR="00906D66">
      <w:rPr>
        <w:sz w:val="22"/>
        <w:szCs w:val="22"/>
      </w:rPr>
      <w:t>17</w:t>
    </w:r>
    <w:r w:rsidRPr="007053F5">
      <w:rPr>
        <w:sz w:val="22"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A0A0" w14:textId="7A9E7948" w:rsidR="00CA2461" w:rsidRPr="007053F5" w:rsidRDefault="00CA2461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8B16F2">
      <w:rPr>
        <w:b/>
        <w:bCs/>
        <w:sz w:val="22"/>
        <w:szCs w:val="22"/>
      </w:rPr>
      <w:fldChar w:fldCharType="begin"/>
    </w:r>
    <w:r w:rsidRPr="008B16F2">
      <w:rPr>
        <w:b/>
        <w:bCs/>
        <w:sz w:val="22"/>
        <w:szCs w:val="22"/>
      </w:rPr>
      <w:instrText xml:space="preserve"> STYLEREF  href  \* MERGEFORMAT </w:instrText>
    </w:r>
    <w:r w:rsidRPr="008B16F2">
      <w:rPr>
        <w:b/>
        <w:bCs/>
        <w:sz w:val="22"/>
        <w:szCs w:val="22"/>
      </w:rPr>
      <w:fldChar w:fldCharType="separate"/>
    </w:r>
    <w:r w:rsidR="005D24AE" w:rsidRPr="005D24AE">
      <w:rPr>
        <w:b/>
        <w:bCs/>
        <w:sz w:val="22"/>
        <w:szCs w:val="22"/>
        <w:lang w:val="en-US"/>
      </w:rPr>
      <w:t>73</w:t>
    </w:r>
    <w:r w:rsidRPr="008B16F2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18BA" w14:textId="77777777" w:rsidR="00562709" w:rsidRDefault="00562709">
      <w:r>
        <w:t>____________________</w:t>
      </w:r>
    </w:p>
  </w:footnote>
  <w:footnote w:type="continuationSeparator" w:id="0">
    <w:p w14:paraId="3A9662B9" w14:textId="77777777" w:rsidR="00562709" w:rsidRDefault="00562709">
      <w:r>
        <w:continuationSeparator/>
      </w:r>
    </w:p>
  </w:footnote>
  <w:footnote w:id="1">
    <w:p w14:paraId="09576E1C" w14:textId="77777777" w:rsidR="009E7C30" w:rsidRPr="00BB16BD" w:rsidRDefault="009E7C30" w:rsidP="009E7C30">
      <w:pPr>
        <w:pStyle w:val="FootnoteText"/>
        <w:rPr>
          <w:lang w:val="ru-RU"/>
        </w:rPr>
      </w:pPr>
      <w:r w:rsidRPr="00BB16BD">
        <w:rPr>
          <w:rStyle w:val="FootnoteReference"/>
          <w:lang w:val="ru-RU"/>
        </w:rPr>
        <w:t>1</w:t>
      </w:r>
      <w:r w:rsidRPr="00BB16BD">
        <w:rPr>
          <w:lang w:val="ru-RU"/>
        </w:rPr>
        <w:t xml:space="preserve"> </w:t>
      </w:r>
      <w:r w:rsidRPr="00BB16BD"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 также страны с переходной экономикой.</w:t>
      </w:r>
    </w:p>
  </w:footnote>
  <w:footnote w:id="2">
    <w:p w14:paraId="7A27E8AF" w14:textId="77777777" w:rsidR="009E7C30" w:rsidRPr="00935B96" w:rsidRDefault="009E7C30" w:rsidP="009E7C30">
      <w:pPr>
        <w:pStyle w:val="FootnoteText"/>
        <w:rPr>
          <w:rStyle w:val="FootnoteTextChar"/>
          <w:lang w:val="ru-RU"/>
        </w:rPr>
      </w:pPr>
      <w:r w:rsidRPr="00BB16BD">
        <w:rPr>
          <w:rStyle w:val="FootnoteReference"/>
          <w:lang w:val="ru-RU"/>
        </w:rPr>
        <w:t>2</w:t>
      </w:r>
      <w:r w:rsidRPr="00BB16BD">
        <w:rPr>
          <w:lang w:val="ru-RU"/>
        </w:rPr>
        <w:tab/>
      </w:r>
      <w:r w:rsidRPr="00BB16BD">
        <w:rPr>
          <w:rStyle w:val="FootnoteTextChar"/>
          <w:lang w:val="ru-RU"/>
        </w:rPr>
        <w:t>Киото, Япония, 15−16</w:t>
      </w:r>
      <w:r>
        <w:rPr>
          <w:rStyle w:val="FootnoteTextChar"/>
          <w:lang w:val="ru-RU"/>
        </w:rPr>
        <w:t> </w:t>
      </w:r>
      <w:r w:rsidRPr="00BB16BD">
        <w:rPr>
          <w:rStyle w:val="FootnoteTextChar"/>
          <w:lang w:val="ru-RU"/>
        </w:rPr>
        <w:t>апреля 2008</w:t>
      </w:r>
      <w:r>
        <w:rPr>
          <w:rStyle w:val="FootnoteTextChar"/>
          <w:lang w:val="ru-RU"/>
        </w:rPr>
        <w:t> </w:t>
      </w:r>
      <w:r w:rsidRPr="00BB16BD">
        <w:rPr>
          <w:rStyle w:val="FootnoteTextChar"/>
          <w:lang w:val="ru-RU"/>
        </w:rPr>
        <w:t>года</w:t>
      </w:r>
      <w:r>
        <w:rPr>
          <w:rStyle w:val="FootnoteTextChar"/>
          <w:lang w:val="ru-RU"/>
        </w:rPr>
        <w:t>;</w:t>
      </w:r>
      <w:r w:rsidRPr="00BB16BD">
        <w:rPr>
          <w:rStyle w:val="FootnoteTextChar"/>
          <w:lang w:val="ru-RU"/>
        </w:rPr>
        <w:t xml:space="preserve"> Лондон, Соединенное Королевство, 17−18 июня</w:t>
      </w:r>
      <w:r>
        <w:rPr>
          <w:rStyle w:val="FootnoteTextChar"/>
          <w:lang w:val="ru-RU"/>
        </w:rPr>
        <w:t xml:space="preserve"> </w:t>
      </w:r>
      <w:r w:rsidRPr="00BB16BD">
        <w:rPr>
          <w:rStyle w:val="FootnoteTextChar"/>
          <w:lang w:val="ru-RU"/>
        </w:rPr>
        <w:t>2008 года</w:t>
      </w:r>
      <w:r>
        <w:rPr>
          <w:rStyle w:val="FootnoteTextChar"/>
          <w:lang w:val="ru-RU"/>
        </w:rPr>
        <w:t>;</w:t>
      </w:r>
      <w:r w:rsidRPr="00BB16BD">
        <w:rPr>
          <w:rStyle w:val="FootnoteTextChar"/>
          <w:lang w:val="ru-RU"/>
        </w:rPr>
        <w:t xml:space="preserve"> Кито, Эквадор, 8−10 июля 2009</w:t>
      </w:r>
      <w:r>
        <w:rPr>
          <w:rStyle w:val="FootnoteTextChar"/>
          <w:lang w:val="ru-RU"/>
        </w:rPr>
        <w:t> </w:t>
      </w:r>
      <w:r w:rsidRPr="00BB16BD">
        <w:rPr>
          <w:rStyle w:val="FootnoteTextChar"/>
          <w:lang w:val="ru-RU"/>
        </w:rPr>
        <w:t>года</w:t>
      </w:r>
      <w:r>
        <w:rPr>
          <w:rStyle w:val="FootnoteTextChar"/>
          <w:lang w:val="ru-RU"/>
        </w:rPr>
        <w:t>;</w:t>
      </w:r>
      <w:r w:rsidRPr="00BB16BD">
        <w:rPr>
          <w:rStyle w:val="FootnoteTextChar"/>
          <w:lang w:val="ru-RU"/>
        </w:rPr>
        <w:t xml:space="preserve"> Виртуальный симпозиум в Сеуле, 23 сентября 2009 года</w:t>
      </w:r>
      <w:r>
        <w:rPr>
          <w:rStyle w:val="FootnoteTextChar"/>
          <w:lang w:val="ru-RU"/>
        </w:rPr>
        <w:t>;</w:t>
      </w:r>
      <w:r w:rsidRPr="00BB16BD">
        <w:rPr>
          <w:rStyle w:val="FootnoteTextChar"/>
          <w:lang w:val="ru-RU"/>
        </w:rPr>
        <w:t xml:space="preserve"> Каир, Египет, 2−3 ноября 2010 года</w:t>
      </w:r>
      <w:r>
        <w:rPr>
          <w:rStyle w:val="FootnoteTextChar"/>
          <w:lang w:val="ru-RU"/>
        </w:rPr>
        <w:t>;</w:t>
      </w:r>
      <w:r w:rsidRPr="00BB16BD">
        <w:rPr>
          <w:rStyle w:val="FootnoteTextChar"/>
          <w:lang w:val="ru-RU"/>
        </w:rPr>
        <w:t xml:space="preserve"> Аккра, Гана, 7−8 июля 2011 года</w:t>
      </w:r>
      <w:r>
        <w:rPr>
          <w:rStyle w:val="FootnoteTextChar"/>
          <w:lang w:val="ru-RU"/>
        </w:rPr>
        <w:t>;</w:t>
      </w:r>
      <w:r w:rsidRPr="00BB16BD">
        <w:rPr>
          <w:rStyle w:val="FootnoteTextChar"/>
          <w:lang w:val="ru-RU"/>
        </w:rPr>
        <w:t xml:space="preserve"> Сеул, </w:t>
      </w:r>
      <w:r w:rsidRPr="00935B96">
        <w:rPr>
          <w:rStyle w:val="FootnoteTextChar"/>
          <w:lang w:val="ru-RU"/>
        </w:rPr>
        <w:t>Республика Корея, 19 сентября 2011 года</w:t>
      </w:r>
      <w:r>
        <w:rPr>
          <w:rStyle w:val="FootnoteTextChar"/>
          <w:lang w:val="ru-RU"/>
        </w:rPr>
        <w:t>;</w:t>
      </w:r>
      <w:r w:rsidRPr="00935B96">
        <w:rPr>
          <w:rStyle w:val="FootnoteTextChar"/>
          <w:lang w:val="ru-RU"/>
        </w:rPr>
        <w:t xml:space="preserve"> Монреаль, Канада, 29−31 мая 2012 года; Турин, Италия, 6−7 мая 2013 года; Кочи, Индия, 15 декабря 2014 года; Нассау, Багамские Острова, 14 декабря 2015 года; Куала-Лумпур, Малайзия, 21 апреля 2016 года.</w:t>
      </w:r>
    </w:p>
  </w:footnote>
  <w:footnote w:id="3">
    <w:p w14:paraId="68166A79" w14:textId="77777777" w:rsidR="009E7C30" w:rsidRPr="00BB16BD" w:rsidRDefault="009E7C30" w:rsidP="009E7C30">
      <w:pPr>
        <w:pStyle w:val="FootnoteText"/>
        <w:rPr>
          <w:lang w:val="ru-RU"/>
        </w:rPr>
      </w:pPr>
      <w:r w:rsidRPr="00BB16BD">
        <w:rPr>
          <w:rStyle w:val="FootnoteReference"/>
          <w:lang w:val="ru-RU"/>
        </w:rPr>
        <w:t>3</w:t>
      </w:r>
      <w:r w:rsidRPr="00BB16BD">
        <w:rPr>
          <w:rStyle w:val="FootnoteReference"/>
          <w:lang w:val="ru-RU"/>
        </w:rPr>
        <w:tab/>
      </w:r>
      <w:r w:rsidRPr="00BB16BD">
        <w:rPr>
          <w:lang w:val="ru-RU"/>
        </w:rPr>
        <w:t>В отношении эффективности содействие эффективному использованию материалов, используемых в устройствах и сетевых элементах ИКТ, также должно стать предметом рассмотрения.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F49F" w14:textId="77777777" w:rsidR="00562709" w:rsidRDefault="005627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A47E" w14:textId="77777777" w:rsidR="00562709" w:rsidRDefault="005627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98A5" w14:textId="77777777" w:rsidR="00562709" w:rsidRPr="00C66B1C" w:rsidRDefault="00562709" w:rsidP="00C66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67F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5A95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CE34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0AE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E4F7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C8D8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06C3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C4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8C0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mirrorMargin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270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064A"/>
    <w:rsid w:val="000A5452"/>
    <w:rsid w:val="000B5AF9"/>
    <w:rsid w:val="000C213A"/>
    <w:rsid w:val="000C28AE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294E"/>
    <w:rsid w:val="00134F73"/>
    <w:rsid w:val="00140FDF"/>
    <w:rsid w:val="0015314C"/>
    <w:rsid w:val="0015378E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0E33"/>
    <w:rsid w:val="001C3C00"/>
    <w:rsid w:val="001C64E1"/>
    <w:rsid w:val="001E5203"/>
    <w:rsid w:val="001F1762"/>
    <w:rsid w:val="00200641"/>
    <w:rsid w:val="0020444C"/>
    <w:rsid w:val="0023239A"/>
    <w:rsid w:val="002324E8"/>
    <w:rsid w:val="00240CC8"/>
    <w:rsid w:val="00242BC5"/>
    <w:rsid w:val="00247A0A"/>
    <w:rsid w:val="00255A7C"/>
    <w:rsid w:val="00256A2C"/>
    <w:rsid w:val="002613A8"/>
    <w:rsid w:val="00262906"/>
    <w:rsid w:val="002654E2"/>
    <w:rsid w:val="00276813"/>
    <w:rsid w:val="00280F9F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58A7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3A33"/>
    <w:rsid w:val="004153B8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02AF"/>
    <w:rsid w:val="00483754"/>
    <w:rsid w:val="00484272"/>
    <w:rsid w:val="00484487"/>
    <w:rsid w:val="00490DE3"/>
    <w:rsid w:val="00492ED4"/>
    <w:rsid w:val="004A2516"/>
    <w:rsid w:val="004B7986"/>
    <w:rsid w:val="004E03A1"/>
    <w:rsid w:val="004E0AE2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2709"/>
    <w:rsid w:val="005651C9"/>
    <w:rsid w:val="0056575C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D24AE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B36B4"/>
    <w:rsid w:val="006D5374"/>
    <w:rsid w:val="006D6AB4"/>
    <w:rsid w:val="006E39EA"/>
    <w:rsid w:val="006E5B95"/>
    <w:rsid w:val="006F1500"/>
    <w:rsid w:val="006F3073"/>
    <w:rsid w:val="006F716B"/>
    <w:rsid w:val="00703B7F"/>
    <w:rsid w:val="00703E49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93513"/>
    <w:rsid w:val="007A09C0"/>
    <w:rsid w:val="007A452E"/>
    <w:rsid w:val="007A68C1"/>
    <w:rsid w:val="007B037F"/>
    <w:rsid w:val="007B5D50"/>
    <w:rsid w:val="007C0DC2"/>
    <w:rsid w:val="007C22E2"/>
    <w:rsid w:val="007D2D13"/>
    <w:rsid w:val="007D34DA"/>
    <w:rsid w:val="007D75E7"/>
    <w:rsid w:val="007E0808"/>
    <w:rsid w:val="007F65E6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16F2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4E10"/>
    <w:rsid w:val="008F6557"/>
    <w:rsid w:val="00900C9B"/>
    <w:rsid w:val="00906D66"/>
    <w:rsid w:val="00913BD5"/>
    <w:rsid w:val="00922905"/>
    <w:rsid w:val="0093002E"/>
    <w:rsid w:val="00935AC0"/>
    <w:rsid w:val="00940E58"/>
    <w:rsid w:val="00941340"/>
    <w:rsid w:val="009436FB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9D0"/>
    <w:rsid w:val="009A1B23"/>
    <w:rsid w:val="009B688F"/>
    <w:rsid w:val="009B6BA7"/>
    <w:rsid w:val="009C0295"/>
    <w:rsid w:val="009D4FF1"/>
    <w:rsid w:val="009D7987"/>
    <w:rsid w:val="009E207E"/>
    <w:rsid w:val="009E2DD1"/>
    <w:rsid w:val="009E504F"/>
    <w:rsid w:val="009E7C30"/>
    <w:rsid w:val="009F57AD"/>
    <w:rsid w:val="00A13D1D"/>
    <w:rsid w:val="00A21069"/>
    <w:rsid w:val="00A2170F"/>
    <w:rsid w:val="00A21DED"/>
    <w:rsid w:val="00A32B93"/>
    <w:rsid w:val="00A3765C"/>
    <w:rsid w:val="00A443EB"/>
    <w:rsid w:val="00A451E2"/>
    <w:rsid w:val="00A46474"/>
    <w:rsid w:val="00A514BE"/>
    <w:rsid w:val="00A633C9"/>
    <w:rsid w:val="00A659EA"/>
    <w:rsid w:val="00A81FB2"/>
    <w:rsid w:val="00A95505"/>
    <w:rsid w:val="00AA0E21"/>
    <w:rsid w:val="00AA64F6"/>
    <w:rsid w:val="00AB5F31"/>
    <w:rsid w:val="00AC05C0"/>
    <w:rsid w:val="00AC60AB"/>
    <w:rsid w:val="00AD00FA"/>
    <w:rsid w:val="00AD2A32"/>
    <w:rsid w:val="00AE28E7"/>
    <w:rsid w:val="00AE46AE"/>
    <w:rsid w:val="00AE70C7"/>
    <w:rsid w:val="00AE787E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032E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66B1C"/>
    <w:rsid w:val="00C728DC"/>
    <w:rsid w:val="00C73CA2"/>
    <w:rsid w:val="00C83E77"/>
    <w:rsid w:val="00C8748E"/>
    <w:rsid w:val="00C91CCC"/>
    <w:rsid w:val="00C91DF3"/>
    <w:rsid w:val="00C93475"/>
    <w:rsid w:val="00C9789E"/>
    <w:rsid w:val="00CA2461"/>
    <w:rsid w:val="00CB1CB2"/>
    <w:rsid w:val="00CB2280"/>
    <w:rsid w:val="00CB54EB"/>
    <w:rsid w:val="00CC4052"/>
    <w:rsid w:val="00CC547F"/>
    <w:rsid w:val="00CC7675"/>
    <w:rsid w:val="00CD0549"/>
    <w:rsid w:val="00CD6B2D"/>
    <w:rsid w:val="00CE61EA"/>
    <w:rsid w:val="00CF1625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75E"/>
    <w:rsid w:val="00E6102F"/>
    <w:rsid w:val="00E61B7B"/>
    <w:rsid w:val="00E63185"/>
    <w:rsid w:val="00E67314"/>
    <w:rsid w:val="00E75E61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2195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3F8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."/>
  <w:listSeparator w:val=","/>
  <w14:docId w14:val="221C109C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06D66"/>
    <w:pPr>
      <w:keepNext/>
      <w:keepLines/>
      <w:spacing w:before="36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13BD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13BD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13BD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6D66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913BD5"/>
    <w:rPr>
      <w:rFonts w:ascii="Times New Roman" w:hAnsi="Times New Roman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link w:val="EquationChar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link w:val="Title1Char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qFormat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link w:val="ChaptitleChar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qFormat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qFormat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link w:val="Section1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9C029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szCs w:val="22"/>
      <w:lang w:val="en-US"/>
    </w:rPr>
  </w:style>
  <w:style w:type="character" w:customStyle="1" w:styleId="AnnextitleChar1">
    <w:name w:val="Annex_title Char1"/>
    <w:basedOn w:val="DefaultParagraphFont"/>
    <w:locked/>
    <w:rsid w:val="009C0295"/>
    <w:rPr>
      <w:rFonts w:asciiTheme="majorBidi" w:hAnsiTheme="majorBidi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9C0295"/>
    <w:rPr>
      <w:rFonts w:ascii="Times New Roman" w:hAnsi="Times New Roman"/>
      <w:lang w:val="en-GB" w:eastAsia="en-US"/>
    </w:rPr>
  </w:style>
  <w:style w:type="paragraph" w:customStyle="1" w:styleId="Border">
    <w:name w:val="Border"/>
    <w:basedOn w:val="Tabletext"/>
    <w:rsid w:val="009C0295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lang w:val="ru-RU"/>
    </w:rPr>
  </w:style>
  <w:style w:type="character" w:customStyle="1" w:styleId="ChaptitleChar">
    <w:name w:val="Chap_title Char"/>
    <w:basedOn w:val="DefaultParagraphFont"/>
    <w:link w:val="Chaptitle"/>
    <w:locked/>
    <w:rsid w:val="009C0295"/>
    <w:rPr>
      <w:rFonts w:ascii="Times New Roman" w:hAnsi="Times New Roman"/>
      <w:b/>
      <w:sz w:val="26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9C0295"/>
    <w:rPr>
      <w:rFonts w:ascii="Times New Roman" w:hAnsi="Times New Roman"/>
      <w:b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9C029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9C0295"/>
    <w:rPr>
      <w:rFonts w:ascii="Times New Roman" w:hAnsi="Times New Roman"/>
      <w:b/>
      <w:sz w:val="22"/>
      <w:lang w:eastAsia="en-US"/>
    </w:rPr>
  </w:style>
  <w:style w:type="character" w:customStyle="1" w:styleId="ReasonsChar">
    <w:name w:val="Reasons Char"/>
    <w:basedOn w:val="DefaultParagraphFont"/>
    <w:link w:val="Reasons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9C0295"/>
    <w:rPr>
      <w:rFonts w:ascii="Times New Roman" w:hAnsi="Times New Roman"/>
      <w:b w:val="0"/>
      <w:i/>
      <w:sz w:val="22"/>
      <w:lang w:val="en-GB" w:eastAsia="en-US"/>
    </w:rPr>
  </w:style>
  <w:style w:type="paragraph" w:customStyle="1" w:styleId="Section3">
    <w:name w:val="Section_3"/>
    <w:basedOn w:val="Section1"/>
    <w:link w:val="Section3Char"/>
    <w:rsid w:val="009C0295"/>
    <w:pPr>
      <w:tabs>
        <w:tab w:val="left" w:pos="1134"/>
        <w:tab w:val="left" w:pos="1871"/>
        <w:tab w:val="left" w:pos="2268"/>
        <w:tab w:val="center" w:pos="4820"/>
      </w:tabs>
      <w:spacing w:before="360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C0295"/>
    <w:rPr>
      <w:rFonts w:ascii="Times New Roman" w:eastAsia="SimSun" w:hAnsi="Times New Roman"/>
      <w:b w:val="0"/>
      <w:sz w:val="22"/>
      <w:lang w:val="en-GB" w:eastAsia="en-US"/>
    </w:rPr>
  </w:style>
  <w:style w:type="paragraph" w:customStyle="1" w:styleId="Tablefin">
    <w:name w:val="Table_fin"/>
    <w:basedOn w:val="Normal"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left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C0295"/>
    <w:rPr>
      <w:rFonts w:ascii="Times New Roman" w:hAnsi="Times New Roman"/>
      <w:b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C0295"/>
    <w:rPr>
      <w:rFonts w:ascii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paragraph" w:customStyle="1" w:styleId="Part1">
    <w:name w:val="Part_1"/>
    <w:basedOn w:val="Normal"/>
    <w:next w:val="Section1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ru-RU"/>
    </w:rPr>
  </w:style>
  <w:style w:type="paragraph" w:customStyle="1" w:styleId="Opinionref">
    <w:name w:val="Opinion_ref"/>
    <w:basedOn w:val="Normal"/>
    <w:next w:val="Normal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HeadingSummary">
    <w:name w:val="HeadingSummary"/>
    <w:basedOn w:val="Headingb0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</w:pPr>
    <w:rPr>
      <w:rFonts w:ascii="Times New Roman Bold" w:hAnsi="Times New Roman Bold" w:cs="Times New Roman Bold"/>
    </w:rPr>
  </w:style>
  <w:style w:type="character" w:styleId="PlaceholderText">
    <w:name w:val="Placeholder Text"/>
    <w:basedOn w:val="DefaultParagraphFont"/>
    <w:uiPriority w:val="99"/>
    <w:semiHidden/>
    <w:rsid w:val="009C02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7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15267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73 – Информационно-коммуникационные технологии, окружающая среда, изменение климата и циркуляционная экономика</dc:title>
  <dc:subject>World Telecommunication Standardization Assembly - 2000</dc:subject>
  <dc:creator>Sikacheva, Violetta</dc:creator>
  <cp:keywords/>
  <dc:description/>
  <cp:lastModifiedBy>Berdyeva, Elena</cp:lastModifiedBy>
  <cp:revision>42</cp:revision>
  <cp:lastPrinted>2009-01-30T13:07:00Z</cp:lastPrinted>
  <dcterms:created xsi:type="dcterms:W3CDTF">2016-12-01T10:00:00Z</dcterms:created>
  <dcterms:modified xsi:type="dcterms:W3CDTF">2022-04-19T13:25:00Z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