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1D2EA6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18DD2252" w:rsidR="00EA2A26" w:rsidRPr="001D2EA6" w:rsidRDefault="00EA2A26" w:rsidP="00A3085D">
            <w:pPr>
              <w:spacing w:before="60"/>
              <w:rPr>
                <w:rFonts w:ascii="Arial" w:eastAsia="Avenir Next W1G Medium" w:hAnsi="Arial" w:cs="Arial"/>
                <w:szCs w:val="24"/>
                <w:lang w:val="ru-RU"/>
              </w:rPr>
            </w:pPr>
            <w:bookmarkStart w:id="0" w:name="c2tope"/>
            <w:bookmarkEnd w:id="0"/>
            <w:proofErr w:type="spellStart"/>
            <w:r w:rsidRPr="001D2EA6">
              <w:rPr>
                <w:rFonts w:ascii="Arial" w:hAnsi="Arial" w:cs="Arial"/>
                <w:b/>
                <w:color w:val="009CD6"/>
                <w:spacing w:val="-4"/>
                <w:sz w:val="32"/>
                <w:szCs w:val="32"/>
                <w:lang w:val="ru-RU"/>
              </w:rPr>
              <w:t>ITU</w:t>
            </w:r>
            <w:r w:rsidR="001B5C6B" w:rsidRPr="001D2EA6">
              <w:rPr>
                <w:rFonts w:ascii="Arial" w:hAnsi="Arial" w:cs="Arial"/>
                <w:b/>
                <w:color w:val="292829"/>
                <w:spacing w:val="-4"/>
                <w:sz w:val="32"/>
                <w:szCs w:val="32"/>
                <w:lang w:val="ru-RU"/>
              </w:rPr>
              <w:t>Публикации</w:t>
            </w:r>
            <w:proofErr w:type="spellEnd"/>
          </w:p>
        </w:tc>
        <w:tc>
          <w:tcPr>
            <w:tcW w:w="5670" w:type="dxa"/>
          </w:tcPr>
          <w:p w14:paraId="0E9475D3" w14:textId="543BEFC0" w:rsidR="00EA2A26" w:rsidRPr="001D2EA6" w:rsidRDefault="001B5C6B" w:rsidP="00A3085D">
            <w:pPr>
              <w:spacing w:before="60"/>
              <w:jc w:val="right"/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</w:pPr>
            <w:r w:rsidRPr="001D2EA6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EA2A26" w:rsidRPr="001D2EA6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1153EEEB" w:rsidR="00EA2A26" w:rsidRPr="001D2EA6" w:rsidRDefault="001B5C6B" w:rsidP="00367A2B">
            <w:pPr>
              <w:spacing w:before="0"/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</w:pPr>
            <w:r w:rsidRPr="001D2EA6"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  <w:t>Резолюции</w:t>
            </w:r>
          </w:p>
        </w:tc>
        <w:tc>
          <w:tcPr>
            <w:tcW w:w="5670" w:type="dxa"/>
          </w:tcPr>
          <w:p w14:paraId="20539D5B" w14:textId="015B5046" w:rsidR="00EA2A26" w:rsidRPr="001D2EA6" w:rsidRDefault="001B5C6B" w:rsidP="00367A2B">
            <w:pPr>
              <w:spacing w:before="0"/>
              <w:jc w:val="right"/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</w:pPr>
            <w:r w:rsidRPr="001D2EA6">
              <w:rPr>
                <w:rFonts w:ascii="Arial" w:eastAsia="Avenir Next W1G Medium" w:hAnsi="Arial" w:cs="Arial"/>
                <w:sz w:val="24"/>
                <w:szCs w:val="24"/>
                <w:lang w:val="ru-RU"/>
              </w:rPr>
              <w:t>Сектор стандартизации</w:t>
            </w:r>
          </w:p>
        </w:tc>
      </w:tr>
      <w:tr w:rsidR="00EA2A26" w:rsidRPr="001D2EA6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1D2EA6" w:rsidRDefault="00EA2A26" w:rsidP="00367A2B">
            <w:pPr>
              <w:pStyle w:val="BodyText"/>
              <w:spacing w:before="440"/>
              <w:rPr>
                <w:b w:val="0"/>
                <w:bCs w:val="0"/>
                <w:spacing w:val="-6"/>
                <w:sz w:val="44"/>
                <w:szCs w:val="44"/>
                <w:lang w:val="ru-RU"/>
              </w:rPr>
            </w:pPr>
          </w:p>
        </w:tc>
      </w:tr>
      <w:tr w:rsidR="00EA2A26" w:rsidRPr="001D2EA6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1D2EA6" w:rsidRDefault="00EA2A26" w:rsidP="00367A2B">
            <w:pPr>
              <w:pStyle w:val="BodyText"/>
              <w:spacing w:after="240"/>
              <w:rPr>
                <w:spacing w:val="-6"/>
                <w:sz w:val="44"/>
                <w:szCs w:val="44"/>
                <w:lang w:val="ru-RU"/>
              </w:rPr>
            </w:pPr>
          </w:p>
        </w:tc>
      </w:tr>
      <w:tr w:rsidR="00EA2A26" w:rsidRPr="001D2EA6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77777777" w:rsidR="00EA2A26" w:rsidRPr="001D2EA6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  <w:lang w:val="ru-RU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5A28032B" w:rsidR="00EA2A26" w:rsidRPr="001D2EA6" w:rsidRDefault="001B5C6B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/>
              <w:jc w:val="left"/>
              <w:textAlignment w:val="auto"/>
              <w:rPr>
                <w:rFonts w:ascii="Arial" w:hAnsi="Arial" w:cs="Arial"/>
                <w:sz w:val="36"/>
                <w:szCs w:val="36"/>
                <w:lang w:val="ru-RU"/>
              </w:rPr>
            </w:pPr>
            <w:r w:rsidRPr="001D2EA6">
              <w:rPr>
                <w:rFonts w:ascii="Arial" w:hAnsi="Arial"/>
                <w:sz w:val="36"/>
                <w:szCs w:val="36"/>
                <w:lang w:val="ru-RU"/>
              </w:rPr>
              <w:t>ВСЕМИРНАЯ АССАМБЛЕЯ ПО СТАНДАРТИЗАЦИИ ЭЛЕКТРОСВЯЗИ</w:t>
            </w:r>
            <w:r w:rsidRPr="001D2EA6">
              <w:rPr>
                <w:rFonts w:ascii="Arial" w:hAnsi="Arial"/>
                <w:sz w:val="32"/>
                <w:lang w:val="ru-RU"/>
              </w:rPr>
              <w:t xml:space="preserve"> </w:t>
            </w:r>
            <w:r w:rsidR="00EA2A26" w:rsidRPr="001D2EA6">
              <w:rPr>
                <w:rFonts w:ascii="Arial" w:hAnsi="Arial" w:cs="Arial"/>
                <w:sz w:val="36"/>
                <w:szCs w:val="36"/>
                <w:lang w:val="ru-RU"/>
              </w:rPr>
              <w:br/>
            </w:r>
            <w:r w:rsidR="002D336F" w:rsidRPr="001D2EA6">
              <w:rPr>
                <w:rFonts w:ascii="Arial" w:hAnsi="Arial" w:cs="Arial"/>
                <w:sz w:val="36"/>
                <w:szCs w:val="36"/>
                <w:lang w:val="ru-RU"/>
              </w:rPr>
              <w:t>Нью-Дели</w:t>
            </w:r>
            <w:r w:rsidR="00EA2A26" w:rsidRPr="001D2EA6">
              <w:rPr>
                <w:rFonts w:ascii="Arial" w:hAnsi="Arial" w:cs="Arial"/>
                <w:sz w:val="36"/>
                <w:szCs w:val="36"/>
                <w:lang w:val="ru-RU"/>
              </w:rPr>
              <w:t>, 15</w:t>
            </w:r>
            <w:r w:rsidRPr="001D2EA6">
              <w:rPr>
                <w:rFonts w:ascii="Arial" w:hAnsi="Arial" w:cs="Arial"/>
                <w:sz w:val="36"/>
                <w:szCs w:val="36"/>
                <w:lang w:val="ru-RU"/>
              </w:rPr>
              <w:t>–</w:t>
            </w:r>
            <w:r w:rsidR="00EA2A26" w:rsidRPr="001D2EA6">
              <w:rPr>
                <w:rFonts w:ascii="Arial" w:hAnsi="Arial" w:cs="Arial"/>
                <w:sz w:val="36"/>
                <w:szCs w:val="36"/>
                <w:lang w:val="ru-RU"/>
              </w:rPr>
              <w:t xml:space="preserve">24 </w:t>
            </w:r>
            <w:r w:rsidRPr="001D2EA6">
              <w:rPr>
                <w:rFonts w:ascii="Arial" w:hAnsi="Arial" w:cs="Arial"/>
                <w:sz w:val="36"/>
                <w:szCs w:val="36"/>
                <w:lang w:val="ru-RU"/>
              </w:rPr>
              <w:t>октября</w:t>
            </w:r>
            <w:r w:rsidR="00EA2A26" w:rsidRPr="001D2EA6">
              <w:rPr>
                <w:rFonts w:ascii="Arial" w:hAnsi="Arial" w:cs="Arial"/>
                <w:sz w:val="36"/>
                <w:szCs w:val="36"/>
                <w:lang w:val="ru-RU"/>
              </w:rPr>
              <w:t xml:space="preserve"> 2024</w:t>
            </w:r>
            <w:r w:rsidRPr="001D2EA6">
              <w:rPr>
                <w:rFonts w:ascii="Arial" w:hAnsi="Arial" w:cs="Arial"/>
                <w:sz w:val="36"/>
                <w:szCs w:val="36"/>
                <w:lang w:val="ru-RU"/>
              </w:rPr>
              <w:t xml:space="preserve"> года</w:t>
            </w:r>
          </w:p>
          <w:p w14:paraId="318F1603" w14:textId="77777777" w:rsidR="00EA2A26" w:rsidRPr="001D2EA6" w:rsidRDefault="00EA2A26" w:rsidP="00367A2B">
            <w:pPr>
              <w:rPr>
                <w:lang w:val="ru-RU"/>
              </w:rPr>
            </w:pPr>
          </w:p>
        </w:tc>
      </w:tr>
      <w:tr w:rsidR="00EA2A26" w:rsidRPr="001D2EA6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1D2EA6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ru-RU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5D880894" w:rsidR="00EA2A26" w:rsidRPr="001D2EA6" w:rsidRDefault="001B5C6B" w:rsidP="00F9579B">
            <w:pPr>
              <w:pStyle w:val="BodyText"/>
              <w:spacing w:before="440"/>
              <w:jc w:val="left"/>
              <w:rPr>
                <w:spacing w:val="-6"/>
                <w:sz w:val="44"/>
                <w:szCs w:val="44"/>
                <w:lang w:val="ru-RU"/>
              </w:rPr>
            </w:pPr>
            <w:r w:rsidRPr="001D2EA6">
              <w:rPr>
                <w:spacing w:val="-6"/>
                <w:sz w:val="44"/>
                <w:szCs w:val="44"/>
                <w:lang w:val="ru-RU"/>
              </w:rPr>
              <w:t xml:space="preserve">Резолюция </w:t>
            </w:r>
            <w:r w:rsidR="00F435CC" w:rsidRPr="001D2EA6">
              <w:rPr>
                <w:spacing w:val="-6"/>
                <w:sz w:val="44"/>
                <w:szCs w:val="44"/>
                <w:lang w:val="ru-RU"/>
              </w:rPr>
              <w:t>68</w:t>
            </w:r>
            <w:r w:rsidR="00845E8E" w:rsidRPr="001D2EA6">
              <w:rPr>
                <w:spacing w:val="-6"/>
                <w:sz w:val="44"/>
                <w:szCs w:val="44"/>
                <w:lang w:val="ru-RU"/>
              </w:rPr>
              <w:t xml:space="preserve"> – </w:t>
            </w:r>
            <w:r w:rsidR="00F435CC" w:rsidRPr="001D2EA6">
              <w:rPr>
                <w:spacing w:val="-6"/>
                <w:sz w:val="44"/>
                <w:szCs w:val="44"/>
                <w:lang w:val="ru-RU"/>
              </w:rPr>
              <w:t>Возрастающая роль отраслевых организаций в Секторе стандартизации электросвязи МСЭ</w:t>
            </w:r>
          </w:p>
          <w:p w14:paraId="51262F1D" w14:textId="77777777" w:rsidR="00EA2A26" w:rsidRPr="001D2EA6" w:rsidRDefault="00EA2A26" w:rsidP="00367A2B">
            <w:pPr>
              <w:rPr>
                <w:lang w:val="ru-RU"/>
              </w:rPr>
            </w:pPr>
          </w:p>
        </w:tc>
      </w:tr>
    </w:tbl>
    <w:p w14:paraId="7800F3B2" w14:textId="77777777" w:rsidR="00EA2A26" w:rsidRPr="001D2EA6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val="ru-RU"/>
        </w:rPr>
      </w:pPr>
      <w:r w:rsidRPr="001D2EA6">
        <w:rPr>
          <w:rFonts w:ascii="Arial" w:eastAsia="Avenir Next W1G Medium" w:hAnsi="Arial" w:cs="Arial"/>
          <w:szCs w:val="24"/>
          <w:lang w:val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1D2EA6">
        <w:rPr>
          <w:lang w:val="ru-RU"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1D2EA6" w:rsidRDefault="00EA2A26" w:rsidP="00EA2A26">
      <w:pPr>
        <w:jc w:val="left"/>
        <w:rPr>
          <w:lang w:val="ru-RU"/>
        </w:rPr>
        <w:sectPr w:rsidR="00EA2A26" w:rsidRPr="001D2EA6" w:rsidSect="00EA2A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493176D7" w14:textId="77777777" w:rsidR="00E60A09" w:rsidRPr="001D2EA6" w:rsidRDefault="00E60A09" w:rsidP="00E60A09">
      <w:pPr>
        <w:jc w:val="center"/>
        <w:rPr>
          <w:lang w:val="ru-RU"/>
        </w:rPr>
      </w:pPr>
      <w:bookmarkStart w:id="1" w:name="irecnoe"/>
      <w:bookmarkEnd w:id="1"/>
      <w:r w:rsidRPr="001D2EA6">
        <w:rPr>
          <w:lang w:val="ru-RU"/>
        </w:rPr>
        <w:lastRenderedPageBreak/>
        <w:t>ПРЕДИСЛОВИЕ</w:t>
      </w:r>
    </w:p>
    <w:p w14:paraId="09A8E349" w14:textId="77777777" w:rsidR="00E60A09" w:rsidRPr="001D2EA6" w:rsidRDefault="00E60A09" w:rsidP="00E60A09">
      <w:pPr>
        <w:rPr>
          <w:sz w:val="20"/>
          <w:lang w:val="ru-RU"/>
        </w:rPr>
      </w:pPr>
      <w:bookmarkStart w:id="2" w:name="iitextf"/>
      <w:r w:rsidRPr="001D2EA6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1D2EA6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14:paraId="2F241E71" w14:textId="77777777" w:rsidR="00E60A09" w:rsidRPr="001D2EA6" w:rsidRDefault="00E60A09" w:rsidP="00E60A09">
      <w:pPr>
        <w:rPr>
          <w:sz w:val="20"/>
          <w:lang w:val="ru-RU"/>
        </w:rPr>
      </w:pPr>
      <w:r w:rsidRPr="001D2EA6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14:paraId="17B0B45D" w14:textId="77777777" w:rsidR="00E60A09" w:rsidRPr="001D2EA6" w:rsidRDefault="00E60A09" w:rsidP="00E60A09">
      <w:pPr>
        <w:rPr>
          <w:sz w:val="20"/>
          <w:lang w:val="ru-RU"/>
        </w:rPr>
      </w:pPr>
      <w:r w:rsidRPr="001D2EA6">
        <w:rPr>
          <w:sz w:val="20"/>
          <w:lang w:val="ru-RU"/>
        </w:rPr>
        <w:t xml:space="preserve">Утверждение </w:t>
      </w:r>
      <w:r w:rsidRPr="001D2EA6">
        <w:rPr>
          <w:caps/>
          <w:sz w:val="20"/>
          <w:lang w:val="ru-RU"/>
        </w:rPr>
        <w:t>р</w:t>
      </w:r>
      <w:r w:rsidRPr="001D2EA6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2"/>
      <w:r w:rsidRPr="001D2EA6">
        <w:rPr>
          <w:sz w:val="20"/>
          <w:lang w:val="ru-RU"/>
        </w:rPr>
        <w:t>.</w:t>
      </w:r>
    </w:p>
    <w:p w14:paraId="7104090E" w14:textId="77777777" w:rsidR="00E60A09" w:rsidRPr="001D2EA6" w:rsidRDefault="00E60A09" w:rsidP="00E60A09">
      <w:pPr>
        <w:rPr>
          <w:lang w:val="ru-RU"/>
        </w:rPr>
      </w:pPr>
      <w:r w:rsidRPr="001D2EA6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14:paraId="42DC63E8" w14:textId="77777777" w:rsidR="00E60A09" w:rsidRPr="001D2EA6" w:rsidRDefault="00E60A09" w:rsidP="00E60A09">
      <w:pPr>
        <w:rPr>
          <w:lang w:val="ru-RU"/>
        </w:rPr>
      </w:pPr>
    </w:p>
    <w:p w14:paraId="1BF1A502" w14:textId="77777777" w:rsidR="00E60A09" w:rsidRPr="001D2EA6" w:rsidRDefault="00E60A09" w:rsidP="00E60A09">
      <w:pPr>
        <w:rPr>
          <w:lang w:val="ru-RU"/>
        </w:rPr>
      </w:pPr>
    </w:p>
    <w:p w14:paraId="2053FC85" w14:textId="77777777" w:rsidR="00E60A09" w:rsidRPr="001D2EA6" w:rsidRDefault="00E60A09" w:rsidP="00E60A09">
      <w:pPr>
        <w:rPr>
          <w:lang w:val="ru-RU"/>
        </w:rPr>
      </w:pPr>
    </w:p>
    <w:p w14:paraId="510B3609" w14:textId="77777777" w:rsidR="00E60A09" w:rsidRPr="001D2EA6" w:rsidRDefault="00E60A09" w:rsidP="00E60A09">
      <w:pPr>
        <w:rPr>
          <w:lang w:val="ru-RU"/>
        </w:rPr>
      </w:pPr>
    </w:p>
    <w:p w14:paraId="3624C831" w14:textId="77777777" w:rsidR="00E60A09" w:rsidRPr="001D2EA6" w:rsidRDefault="00E60A09" w:rsidP="00E60A09">
      <w:pPr>
        <w:rPr>
          <w:lang w:val="ru-RU"/>
        </w:rPr>
      </w:pPr>
    </w:p>
    <w:p w14:paraId="3C20E03C" w14:textId="77777777" w:rsidR="00E60A09" w:rsidRPr="001D2EA6" w:rsidRDefault="00E60A09" w:rsidP="00E60A09">
      <w:pPr>
        <w:rPr>
          <w:lang w:val="ru-RU"/>
        </w:rPr>
      </w:pPr>
    </w:p>
    <w:p w14:paraId="54472EDE" w14:textId="77777777" w:rsidR="00E60A09" w:rsidRPr="001D2EA6" w:rsidRDefault="00E60A09" w:rsidP="00E60A09">
      <w:pPr>
        <w:rPr>
          <w:lang w:val="ru-RU"/>
        </w:rPr>
      </w:pPr>
    </w:p>
    <w:p w14:paraId="49DDE904" w14:textId="77777777" w:rsidR="00E60A09" w:rsidRPr="001D2EA6" w:rsidRDefault="00E60A09" w:rsidP="00E60A09">
      <w:pPr>
        <w:rPr>
          <w:lang w:val="ru-RU"/>
        </w:rPr>
      </w:pPr>
    </w:p>
    <w:p w14:paraId="61412DA5" w14:textId="77777777" w:rsidR="00E60A09" w:rsidRPr="001D2EA6" w:rsidRDefault="00E60A09" w:rsidP="00E60A09">
      <w:pPr>
        <w:rPr>
          <w:lang w:val="ru-RU"/>
        </w:rPr>
      </w:pPr>
    </w:p>
    <w:p w14:paraId="1C810210" w14:textId="77777777" w:rsidR="00E60A09" w:rsidRPr="001D2EA6" w:rsidRDefault="00E60A09" w:rsidP="00E60A09">
      <w:pPr>
        <w:rPr>
          <w:lang w:val="ru-RU"/>
        </w:rPr>
      </w:pPr>
    </w:p>
    <w:p w14:paraId="1C38E19A" w14:textId="77777777" w:rsidR="00E60A09" w:rsidRPr="001D2EA6" w:rsidRDefault="00E60A09" w:rsidP="00E60A09">
      <w:pPr>
        <w:rPr>
          <w:lang w:val="ru-RU"/>
        </w:rPr>
      </w:pPr>
    </w:p>
    <w:p w14:paraId="4D3396DA" w14:textId="77777777" w:rsidR="00E60A09" w:rsidRPr="001D2EA6" w:rsidRDefault="00E60A09" w:rsidP="00E60A09">
      <w:pPr>
        <w:rPr>
          <w:lang w:val="ru-RU"/>
        </w:rPr>
      </w:pPr>
    </w:p>
    <w:p w14:paraId="4F2F1517" w14:textId="77777777" w:rsidR="00E60A09" w:rsidRPr="001D2EA6" w:rsidRDefault="00E60A09" w:rsidP="00E60A09">
      <w:pPr>
        <w:rPr>
          <w:lang w:val="ru-RU"/>
        </w:rPr>
      </w:pPr>
    </w:p>
    <w:p w14:paraId="5C4902C6" w14:textId="77777777" w:rsidR="00E60A09" w:rsidRPr="001D2EA6" w:rsidRDefault="00E60A09" w:rsidP="00E60A09">
      <w:pPr>
        <w:rPr>
          <w:lang w:val="ru-RU"/>
        </w:rPr>
      </w:pPr>
    </w:p>
    <w:p w14:paraId="77FC4396" w14:textId="77777777" w:rsidR="00E60A09" w:rsidRPr="001D2EA6" w:rsidRDefault="00E60A09" w:rsidP="00E60A09">
      <w:pPr>
        <w:rPr>
          <w:lang w:val="ru-RU"/>
        </w:rPr>
      </w:pPr>
    </w:p>
    <w:p w14:paraId="66D8DB35" w14:textId="77777777" w:rsidR="008B6349" w:rsidRPr="001D2EA6" w:rsidRDefault="008B6349" w:rsidP="00E60A09">
      <w:pPr>
        <w:rPr>
          <w:lang w:val="ru-RU"/>
        </w:rPr>
      </w:pPr>
    </w:p>
    <w:p w14:paraId="48008D63" w14:textId="77777777" w:rsidR="008B6349" w:rsidRPr="001D2EA6" w:rsidRDefault="008B6349" w:rsidP="00E60A09">
      <w:pPr>
        <w:rPr>
          <w:lang w:val="ru-RU"/>
        </w:rPr>
      </w:pPr>
    </w:p>
    <w:p w14:paraId="36C41597" w14:textId="77777777" w:rsidR="008B6349" w:rsidRPr="001D2EA6" w:rsidRDefault="008B6349" w:rsidP="00E60A09">
      <w:pPr>
        <w:rPr>
          <w:lang w:val="ru-RU"/>
        </w:rPr>
      </w:pPr>
    </w:p>
    <w:p w14:paraId="29854E5F" w14:textId="77777777" w:rsidR="008B6349" w:rsidRPr="001D2EA6" w:rsidRDefault="008B6349" w:rsidP="00E60A09">
      <w:pPr>
        <w:rPr>
          <w:lang w:val="ru-RU"/>
        </w:rPr>
      </w:pPr>
    </w:p>
    <w:p w14:paraId="3941F9B3" w14:textId="77777777" w:rsidR="008B6349" w:rsidRPr="001D2EA6" w:rsidRDefault="008B6349" w:rsidP="00E60A09">
      <w:pPr>
        <w:rPr>
          <w:lang w:val="ru-RU"/>
        </w:rPr>
      </w:pPr>
    </w:p>
    <w:p w14:paraId="33823CA9" w14:textId="77777777" w:rsidR="00E60A09" w:rsidRPr="001D2EA6" w:rsidRDefault="00E60A09" w:rsidP="00E60A09">
      <w:pPr>
        <w:rPr>
          <w:lang w:val="ru-RU"/>
        </w:rPr>
      </w:pPr>
    </w:p>
    <w:p w14:paraId="265DF33E" w14:textId="77777777" w:rsidR="00E60A09" w:rsidRPr="001D2EA6" w:rsidRDefault="00E60A09" w:rsidP="00E60A09">
      <w:pPr>
        <w:rPr>
          <w:lang w:val="ru-RU"/>
        </w:rPr>
      </w:pPr>
    </w:p>
    <w:p w14:paraId="7D494ED0" w14:textId="77777777" w:rsidR="00E60A09" w:rsidRPr="001D2EA6" w:rsidRDefault="00E60A09" w:rsidP="00E60A09">
      <w:pPr>
        <w:rPr>
          <w:lang w:val="ru-RU"/>
        </w:rPr>
      </w:pPr>
    </w:p>
    <w:p w14:paraId="3554E9A0" w14:textId="77777777" w:rsidR="00E60A09" w:rsidRPr="001D2EA6" w:rsidRDefault="00E60A09" w:rsidP="00E60A09">
      <w:pPr>
        <w:rPr>
          <w:lang w:val="ru-RU"/>
        </w:rPr>
      </w:pPr>
    </w:p>
    <w:p w14:paraId="0D1B6C2B" w14:textId="77777777" w:rsidR="00D324F1" w:rsidRPr="001D2EA6" w:rsidRDefault="00D324F1" w:rsidP="00E60A09">
      <w:pPr>
        <w:rPr>
          <w:lang w:val="ru-RU"/>
        </w:rPr>
      </w:pPr>
    </w:p>
    <w:p w14:paraId="648D7BD9" w14:textId="77777777" w:rsidR="00D324F1" w:rsidRPr="001D2EA6" w:rsidRDefault="00D324F1" w:rsidP="00E60A09">
      <w:pPr>
        <w:rPr>
          <w:lang w:val="ru-RU"/>
        </w:rPr>
      </w:pPr>
    </w:p>
    <w:p w14:paraId="15937F0A" w14:textId="3B24DFE4" w:rsidR="00E60A09" w:rsidRPr="001D2EA6" w:rsidRDefault="00E60A09" w:rsidP="00E60A09">
      <w:pPr>
        <w:jc w:val="center"/>
        <w:rPr>
          <w:sz w:val="20"/>
          <w:lang w:val="ru-RU"/>
        </w:rPr>
      </w:pPr>
      <w:r w:rsidRPr="001D2EA6">
        <w:rPr>
          <w:sz w:val="20"/>
          <w:lang w:val="ru-RU"/>
        </w:rPr>
        <w:sym w:font="Symbol" w:char="F0E3"/>
      </w:r>
      <w:r w:rsidRPr="001D2EA6">
        <w:rPr>
          <w:sz w:val="20"/>
          <w:lang w:val="ru-RU"/>
        </w:rPr>
        <w:t>  ITU  </w:t>
      </w:r>
      <w:bookmarkStart w:id="3" w:name="iiannee"/>
      <w:bookmarkEnd w:id="3"/>
      <w:r w:rsidRPr="001D2EA6">
        <w:rPr>
          <w:sz w:val="20"/>
          <w:lang w:val="ru-RU"/>
        </w:rPr>
        <w:t>2024</w:t>
      </w:r>
    </w:p>
    <w:p w14:paraId="5A25B5AD" w14:textId="3FBBDADE" w:rsidR="008968B6" w:rsidRPr="001D2EA6" w:rsidRDefault="00E60A09" w:rsidP="00EA2A26">
      <w:pPr>
        <w:rPr>
          <w:lang w:val="ru-RU"/>
        </w:rPr>
      </w:pPr>
      <w:r w:rsidRPr="001D2EA6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73B79B51" w14:textId="77777777" w:rsidR="00B73379" w:rsidRPr="001D2EA6" w:rsidRDefault="00B73379" w:rsidP="003374BB">
      <w:pPr>
        <w:pStyle w:val="ResNo"/>
        <w:rPr>
          <w:lang w:val="ru-RU"/>
        </w:rPr>
        <w:sectPr w:rsidR="00B73379" w:rsidRPr="001D2EA6" w:rsidSect="00DE48B4">
          <w:headerReference w:type="even" r:id="rId14"/>
          <w:footerReference w:type="even" r:id="rId15"/>
          <w:footerReference w:type="default" r:id="rId16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416A785A" w14:textId="6636A3CC" w:rsidR="00F435CC" w:rsidRPr="001D2EA6" w:rsidRDefault="00F435CC" w:rsidP="00F435CC">
      <w:pPr>
        <w:pStyle w:val="ResNo"/>
        <w:rPr>
          <w:lang w:val="ru-RU"/>
        </w:rPr>
      </w:pPr>
      <w:r w:rsidRPr="001D2EA6">
        <w:rPr>
          <w:lang w:val="ru-RU"/>
        </w:rPr>
        <w:lastRenderedPageBreak/>
        <w:t xml:space="preserve">РЕЗОЛЮЦИЯ </w:t>
      </w:r>
      <w:r w:rsidRPr="001D2EA6">
        <w:rPr>
          <w:rStyle w:val="href"/>
          <w:lang w:val="ru-RU"/>
        </w:rPr>
        <w:t>68</w:t>
      </w:r>
      <w:r w:rsidRPr="001D2EA6">
        <w:rPr>
          <w:lang w:val="ru-RU"/>
        </w:rPr>
        <w:t xml:space="preserve"> </w:t>
      </w:r>
      <w:r w:rsidR="001D2EA6" w:rsidRPr="001D2EA6">
        <w:rPr>
          <w:caps w:val="0"/>
          <w:lang w:val="ru-RU"/>
        </w:rPr>
        <w:t>(</w:t>
      </w:r>
      <w:proofErr w:type="spellStart"/>
      <w:r w:rsidR="001D2EA6" w:rsidRPr="001D2EA6">
        <w:rPr>
          <w:caps w:val="0"/>
          <w:lang w:val="ru-RU"/>
        </w:rPr>
        <w:t>Пересм</w:t>
      </w:r>
      <w:proofErr w:type="spellEnd"/>
      <w:r w:rsidR="001D2EA6" w:rsidRPr="001D2EA6">
        <w:rPr>
          <w:caps w:val="0"/>
          <w:lang w:val="ru-RU"/>
        </w:rPr>
        <w:t>. Нью-Дели, 2024 г.)</w:t>
      </w:r>
    </w:p>
    <w:p w14:paraId="2C97E984" w14:textId="77777777" w:rsidR="00F435CC" w:rsidRPr="001D2EA6" w:rsidRDefault="00F435CC" w:rsidP="00F435CC">
      <w:pPr>
        <w:pStyle w:val="Restitle"/>
        <w:rPr>
          <w:lang w:val="ru-RU"/>
        </w:rPr>
      </w:pPr>
      <w:bookmarkStart w:id="4" w:name="_Toc112777461"/>
      <w:r w:rsidRPr="001D2EA6">
        <w:rPr>
          <w:lang w:val="ru-RU"/>
        </w:rPr>
        <w:t>Возрастающая роль отраслевых организаций в Секторе стандартизации электросвязи МСЭ</w:t>
      </w:r>
      <w:bookmarkEnd w:id="4"/>
    </w:p>
    <w:p w14:paraId="5AE6381B" w14:textId="77777777" w:rsidR="00F435CC" w:rsidRPr="001D2EA6" w:rsidRDefault="00F435CC" w:rsidP="00F435CC">
      <w:pPr>
        <w:pStyle w:val="Resref"/>
        <w:rPr>
          <w:lang w:val="ru-RU"/>
        </w:rPr>
      </w:pPr>
      <w:r w:rsidRPr="001D2EA6">
        <w:rPr>
          <w:lang w:val="ru-RU"/>
        </w:rPr>
        <w:t xml:space="preserve">(Йоханнесбург, 2008 г.; Дубай, 2012 г.; </w:t>
      </w:r>
      <w:proofErr w:type="spellStart"/>
      <w:r w:rsidRPr="001D2EA6">
        <w:rPr>
          <w:lang w:val="ru-RU"/>
        </w:rPr>
        <w:t>Хаммамет</w:t>
      </w:r>
      <w:proofErr w:type="spellEnd"/>
      <w:r w:rsidRPr="001D2EA6">
        <w:rPr>
          <w:lang w:val="ru-RU"/>
        </w:rPr>
        <w:t>, 2016 г.; Нью-Дели, 2024 г.)</w:t>
      </w:r>
    </w:p>
    <w:p w14:paraId="4D0344C4" w14:textId="77777777" w:rsidR="00F435CC" w:rsidRPr="001D2EA6" w:rsidRDefault="00F435CC" w:rsidP="00F435CC">
      <w:pPr>
        <w:pStyle w:val="Normalaftertitle0"/>
        <w:rPr>
          <w:lang w:val="ru-RU"/>
        </w:rPr>
      </w:pPr>
      <w:r w:rsidRPr="001D2EA6">
        <w:rPr>
          <w:lang w:val="ru-RU"/>
        </w:rPr>
        <w:t>Всемирная ассамблея по стандартизации электросвязи (Нью-Дели, 2024 г.),</w:t>
      </w:r>
    </w:p>
    <w:p w14:paraId="1171EEB2" w14:textId="77777777" w:rsidR="00F435CC" w:rsidRPr="001D2EA6" w:rsidRDefault="00F435CC" w:rsidP="00F435CC">
      <w:pPr>
        <w:pStyle w:val="Call"/>
        <w:rPr>
          <w:lang w:val="ru-RU"/>
        </w:rPr>
      </w:pPr>
      <w:r w:rsidRPr="001D2EA6">
        <w:rPr>
          <w:lang w:val="ru-RU"/>
        </w:rPr>
        <w:t>учитывая</w:t>
      </w:r>
    </w:p>
    <w:p w14:paraId="5ADECDD2" w14:textId="77777777" w:rsidR="00F435CC" w:rsidRPr="001D2EA6" w:rsidRDefault="00F435CC" w:rsidP="00F435CC">
      <w:pPr>
        <w:rPr>
          <w:lang w:val="ru-RU" w:eastAsia="en-AU"/>
        </w:rPr>
      </w:pPr>
      <w:r w:rsidRPr="001D2EA6">
        <w:rPr>
          <w:i/>
          <w:iCs/>
          <w:lang w:val="ru-RU"/>
        </w:rPr>
        <w:t>a)</w:t>
      </w:r>
      <w:r w:rsidRPr="001D2EA6">
        <w:rPr>
          <w:lang w:val="ru-RU"/>
        </w:rPr>
        <w:tab/>
      </w:r>
      <w:r w:rsidRPr="001D2EA6">
        <w:rPr>
          <w:lang w:val="ru-RU" w:eastAsia="en-AU"/>
        </w:rPr>
        <w:t>Резолюцию 122 (</w:t>
      </w:r>
      <w:proofErr w:type="spellStart"/>
      <w:r w:rsidRPr="001D2EA6">
        <w:rPr>
          <w:lang w:val="ru-RU" w:eastAsia="en-AU"/>
        </w:rPr>
        <w:t>Пересм</w:t>
      </w:r>
      <w:proofErr w:type="spellEnd"/>
      <w:r w:rsidRPr="001D2EA6">
        <w:rPr>
          <w:lang w:val="ru-RU" w:eastAsia="en-AU"/>
        </w:rPr>
        <w:t xml:space="preserve">. Гвадалахара, 2010 г.) Полномочной конференции о возрастающей роли Всемирной ассамблеи по стандартизации электросвязи (ВАСЭ), призывающую также организовать </w:t>
      </w:r>
      <w:r w:rsidRPr="001D2EA6">
        <w:rPr>
          <w:lang w:val="ru-RU"/>
        </w:rPr>
        <w:t>Глобальный симпозиум по стандартам</w:t>
      </w:r>
      <w:r w:rsidRPr="001D2EA6">
        <w:rPr>
          <w:lang w:val="ru-RU" w:eastAsia="en-AU"/>
        </w:rPr>
        <w:t xml:space="preserve"> (ГСС);</w:t>
      </w:r>
    </w:p>
    <w:p w14:paraId="308AE31B" w14:textId="77777777" w:rsidR="00F435CC" w:rsidRPr="001D2EA6" w:rsidRDefault="00F435CC" w:rsidP="00F435CC">
      <w:pPr>
        <w:rPr>
          <w:lang w:val="ru-RU" w:eastAsia="en-AU"/>
        </w:rPr>
      </w:pPr>
      <w:r w:rsidRPr="001D2EA6">
        <w:rPr>
          <w:i/>
          <w:iCs/>
          <w:lang w:val="ru-RU" w:eastAsia="en-AU"/>
        </w:rPr>
        <w:t>b)</w:t>
      </w:r>
      <w:r w:rsidRPr="001D2EA6">
        <w:rPr>
          <w:lang w:val="ru-RU" w:eastAsia="en-AU"/>
        </w:rPr>
        <w:tab/>
        <w:t>цель Резолюции 123 (</w:t>
      </w:r>
      <w:proofErr w:type="spellStart"/>
      <w:r w:rsidRPr="001D2EA6">
        <w:rPr>
          <w:lang w:val="ru-RU" w:eastAsia="en-AU"/>
        </w:rPr>
        <w:t>Пересм</w:t>
      </w:r>
      <w:proofErr w:type="spellEnd"/>
      <w:r w:rsidRPr="001D2EA6">
        <w:rPr>
          <w:lang w:val="ru-RU" w:eastAsia="en-AU"/>
        </w:rPr>
        <w:t>. Бухарест, 2022 г.) Полномочной конференции о преодолении разрыва в стандартизации между развивающимися</w:t>
      </w:r>
      <w:r w:rsidRPr="001D2EA6">
        <w:rPr>
          <w:rStyle w:val="FootnoteReference"/>
          <w:lang w:val="ru-RU" w:eastAsia="en-AU"/>
        </w:rPr>
        <w:footnoteReference w:customMarkFollows="1" w:id="1"/>
        <w:t>1</w:t>
      </w:r>
      <w:r w:rsidRPr="001D2EA6">
        <w:rPr>
          <w:lang w:val="ru-RU" w:eastAsia="en-AU"/>
        </w:rPr>
        <w:t xml:space="preserve"> и развитыми странами;</w:t>
      </w:r>
    </w:p>
    <w:p w14:paraId="5B375946" w14:textId="77777777" w:rsidR="00F435CC" w:rsidRPr="001D2EA6" w:rsidRDefault="00F435CC" w:rsidP="00F435CC">
      <w:pPr>
        <w:rPr>
          <w:lang w:val="ru-RU"/>
        </w:rPr>
      </w:pPr>
      <w:r w:rsidRPr="001D2EA6">
        <w:rPr>
          <w:i/>
          <w:iCs/>
          <w:lang w:val="ru-RU"/>
        </w:rPr>
        <w:t>c)</w:t>
      </w:r>
      <w:r w:rsidRPr="001D2EA6">
        <w:rPr>
          <w:lang w:val="ru-RU"/>
        </w:rPr>
        <w:tab/>
        <w:t>Резолюцию 44 (</w:t>
      </w:r>
      <w:proofErr w:type="spellStart"/>
      <w:r w:rsidRPr="001D2EA6">
        <w:rPr>
          <w:lang w:val="ru-RU"/>
        </w:rPr>
        <w:t>Пересм</w:t>
      </w:r>
      <w:proofErr w:type="spellEnd"/>
      <w:r w:rsidRPr="001D2EA6">
        <w:rPr>
          <w:lang w:val="ru-RU"/>
        </w:rPr>
        <w:t>. Нью-Дели, 2024 г.) настоящей Ассамблеи о преодолении разрыва в стандартизации между развивающимися и развитыми странами;</w:t>
      </w:r>
    </w:p>
    <w:p w14:paraId="7568C3CB" w14:textId="77777777" w:rsidR="00F435CC" w:rsidRPr="001D2EA6" w:rsidRDefault="00F435CC" w:rsidP="00F435CC">
      <w:pPr>
        <w:rPr>
          <w:lang w:val="ru-RU"/>
        </w:rPr>
      </w:pPr>
      <w:r w:rsidRPr="001D2EA6">
        <w:rPr>
          <w:i/>
          <w:iCs/>
          <w:lang w:val="ru-RU"/>
        </w:rPr>
        <w:t>d)</w:t>
      </w:r>
      <w:r w:rsidRPr="001D2EA6">
        <w:rPr>
          <w:i/>
          <w:iCs/>
          <w:lang w:val="ru-RU"/>
        </w:rPr>
        <w:tab/>
      </w:r>
      <w:r w:rsidRPr="001D2EA6">
        <w:rPr>
          <w:lang w:val="ru-RU"/>
        </w:rPr>
        <w:t>что в Резолюции 209 (</w:t>
      </w:r>
      <w:proofErr w:type="spellStart"/>
      <w:r w:rsidRPr="001D2EA6">
        <w:rPr>
          <w:lang w:val="ru-RU"/>
        </w:rPr>
        <w:t>Пересм</w:t>
      </w:r>
      <w:proofErr w:type="spellEnd"/>
      <w:r w:rsidRPr="001D2EA6">
        <w:rPr>
          <w:lang w:val="ru-RU"/>
        </w:rPr>
        <w:t>. Бухарест, 2022 г.) Полномочной конференции определены условия и финансовые обязательства малых и средних предприятий в работе МСЭ, которые рассматриваются на постоянной основе Советом МСЭ;</w:t>
      </w:r>
    </w:p>
    <w:p w14:paraId="4F2C3C21" w14:textId="77777777" w:rsidR="00F435CC" w:rsidRPr="001D2EA6" w:rsidRDefault="00F435CC" w:rsidP="00F435CC">
      <w:pPr>
        <w:rPr>
          <w:lang w:val="ru-RU"/>
        </w:rPr>
      </w:pPr>
      <w:r w:rsidRPr="001D2EA6">
        <w:rPr>
          <w:i/>
          <w:iCs/>
          <w:lang w:val="ru-RU"/>
        </w:rPr>
        <w:t>e)</w:t>
      </w:r>
      <w:r w:rsidRPr="001D2EA6">
        <w:rPr>
          <w:i/>
          <w:iCs/>
          <w:lang w:val="ru-RU"/>
        </w:rPr>
        <w:tab/>
      </w:r>
      <w:r w:rsidRPr="001D2EA6">
        <w:rPr>
          <w:lang w:val="ru-RU"/>
        </w:rPr>
        <w:t>Резолюцию 22 (</w:t>
      </w:r>
      <w:proofErr w:type="spellStart"/>
      <w:r w:rsidRPr="001D2EA6">
        <w:rPr>
          <w:lang w:val="ru-RU"/>
        </w:rPr>
        <w:t>Пересм</w:t>
      </w:r>
      <w:proofErr w:type="spellEnd"/>
      <w:r w:rsidRPr="001D2EA6">
        <w:rPr>
          <w:lang w:val="ru-RU"/>
        </w:rPr>
        <w:t>. Нью-Дели, 2024 г.) настоящей Ассамблеи о санкционировании деятельности Консультативной группы по стандартизации электросвязи (КГСЭ) в периоды между всемирными ассамблеями по стандартизации электросвязи;</w:t>
      </w:r>
    </w:p>
    <w:p w14:paraId="6F0BA1B7" w14:textId="77777777" w:rsidR="00F435CC" w:rsidRPr="001D2EA6" w:rsidRDefault="00F435CC" w:rsidP="00F435CC">
      <w:pPr>
        <w:rPr>
          <w:lang w:val="ru-RU" w:eastAsia="en-AU"/>
        </w:rPr>
      </w:pPr>
      <w:r w:rsidRPr="001D2EA6">
        <w:rPr>
          <w:i/>
          <w:iCs/>
          <w:lang w:val="ru-RU" w:eastAsia="en-AU"/>
        </w:rPr>
        <w:t>f)</w:t>
      </w:r>
      <w:r w:rsidRPr="001D2EA6">
        <w:rPr>
          <w:lang w:val="ru-RU" w:eastAsia="en-AU"/>
        </w:rPr>
        <w:tab/>
        <w:t>тот факт, что Сектор стандартизации электросвязи МСЭ (МСЭ-T) является уникальной международной организацией по стандартизации, включающей 194 Государства-Члена и более 700 Членов Сектора, Ассоциированных членов и Академические организации со всего мира;</w:t>
      </w:r>
    </w:p>
    <w:p w14:paraId="2C47E09E" w14:textId="77777777" w:rsidR="00F435CC" w:rsidRPr="001D2EA6" w:rsidRDefault="00F435CC" w:rsidP="00F435CC">
      <w:pPr>
        <w:rPr>
          <w:lang w:val="ru-RU" w:eastAsia="en-AU"/>
        </w:rPr>
      </w:pPr>
      <w:r w:rsidRPr="001D2EA6">
        <w:rPr>
          <w:i/>
          <w:iCs/>
          <w:lang w:val="ru-RU"/>
        </w:rPr>
        <w:t>g)</w:t>
      </w:r>
      <w:r w:rsidRPr="001D2EA6">
        <w:rPr>
          <w:i/>
          <w:iCs/>
          <w:lang w:val="ru-RU"/>
        </w:rPr>
        <w:tab/>
      </w:r>
      <w:r w:rsidRPr="001D2EA6">
        <w:rPr>
          <w:lang w:val="ru-RU"/>
        </w:rPr>
        <w:t>что вовлечение и участие отраслевых организаций стало важной стратегической задачей;</w:t>
      </w:r>
    </w:p>
    <w:p w14:paraId="5C80E00B" w14:textId="77777777" w:rsidR="00F435CC" w:rsidRPr="001D2EA6" w:rsidRDefault="00F435CC" w:rsidP="00F435CC">
      <w:pPr>
        <w:pStyle w:val="enumlev1"/>
        <w:rPr>
          <w:lang w:val="ru-RU"/>
        </w:rPr>
      </w:pPr>
      <w:r w:rsidRPr="001D2EA6">
        <w:rPr>
          <w:i/>
          <w:iCs/>
          <w:lang w:val="ru-RU" w:eastAsia="en-AU"/>
        </w:rPr>
        <w:t>h)</w:t>
      </w:r>
      <w:r w:rsidRPr="001D2EA6">
        <w:rPr>
          <w:lang w:val="ru-RU" w:eastAsia="en-AU"/>
        </w:rPr>
        <w:tab/>
        <w:t>важные цели и итоги ГСС (Нью-Дели, 2024 г.);</w:t>
      </w:r>
    </w:p>
    <w:p w14:paraId="571FED3F" w14:textId="77777777" w:rsidR="00F435CC" w:rsidRPr="001D2EA6" w:rsidRDefault="00F435CC" w:rsidP="00F435CC">
      <w:pPr>
        <w:rPr>
          <w:lang w:val="ru-RU"/>
        </w:rPr>
      </w:pPr>
      <w:r w:rsidRPr="001D2EA6">
        <w:rPr>
          <w:i/>
          <w:iCs/>
          <w:lang w:val="ru-RU"/>
        </w:rPr>
        <w:t>i)</w:t>
      </w:r>
      <w:r w:rsidRPr="001D2EA6">
        <w:rPr>
          <w:lang w:val="ru-RU"/>
        </w:rPr>
        <w:tab/>
        <w:t>что с 2009 года Директор Бюро стандартизации электросвязи организовывал собрания руководителей высокого уровня из частного сектора, таких как главные директора по технологиям (CTO) или главные исполнительные, финансовые и другие директора (</w:t>
      </w:r>
      <w:proofErr w:type="spellStart"/>
      <w:r w:rsidRPr="001D2EA6">
        <w:rPr>
          <w:lang w:val="ru-RU"/>
        </w:rPr>
        <w:t>СхО</w:t>
      </w:r>
      <w:proofErr w:type="spellEnd"/>
      <w:r w:rsidRPr="001D2EA6">
        <w:rPr>
          <w:lang w:val="ru-RU"/>
        </w:rPr>
        <w:t>), для обсуждения ситуации в области стандартизации, координации приоритетов стандартизации и поиска лучших способов удовлетворения потребностей частного сектора, а также для изучения новых тенденций в отрасли;</w:t>
      </w:r>
    </w:p>
    <w:p w14:paraId="7EDD6F43" w14:textId="77777777" w:rsidR="00F435CC" w:rsidRPr="001D2EA6" w:rsidRDefault="00F435CC" w:rsidP="00F435CC">
      <w:pPr>
        <w:rPr>
          <w:lang w:val="ru-RU"/>
        </w:rPr>
      </w:pPr>
      <w:r w:rsidRPr="001D2EA6">
        <w:rPr>
          <w:i/>
          <w:iCs/>
          <w:lang w:val="ru-RU"/>
        </w:rPr>
        <w:t>j)</w:t>
      </w:r>
      <w:r w:rsidRPr="001D2EA6">
        <w:rPr>
          <w:lang w:val="ru-RU"/>
        </w:rPr>
        <w:tab/>
        <w:t>что выводы собраний СТО/</w:t>
      </w:r>
      <w:proofErr w:type="spellStart"/>
      <w:r w:rsidRPr="001D2EA6">
        <w:rPr>
          <w:lang w:val="ru-RU"/>
        </w:rPr>
        <w:t>СхО</w:t>
      </w:r>
      <w:proofErr w:type="spellEnd"/>
      <w:r w:rsidRPr="001D2EA6">
        <w:rPr>
          <w:lang w:val="ru-RU"/>
        </w:rPr>
        <w:t xml:space="preserve"> отражались в официальных коммюнике МСЭ-Т и в надлежащих случаях были приняты во внимание КГСЭ,</w:t>
      </w:r>
    </w:p>
    <w:p w14:paraId="10025454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br w:type="page"/>
      </w:r>
    </w:p>
    <w:p w14:paraId="4469DF13" w14:textId="77777777" w:rsidR="00F435CC" w:rsidRPr="001D2EA6" w:rsidRDefault="00F435CC" w:rsidP="00F435CC">
      <w:pPr>
        <w:pStyle w:val="Call"/>
        <w:rPr>
          <w:lang w:val="ru-RU"/>
        </w:rPr>
      </w:pPr>
      <w:r w:rsidRPr="001D2EA6">
        <w:rPr>
          <w:lang w:val="ru-RU"/>
        </w:rPr>
        <w:lastRenderedPageBreak/>
        <w:t>признавая</w:t>
      </w:r>
      <w:r w:rsidRPr="001D2EA6">
        <w:rPr>
          <w:i w:val="0"/>
          <w:iCs/>
          <w:lang w:val="ru-RU"/>
        </w:rPr>
        <w:t>,</w:t>
      </w:r>
    </w:p>
    <w:p w14:paraId="2C9FBD76" w14:textId="77777777" w:rsidR="00F435CC" w:rsidRPr="001D2EA6" w:rsidRDefault="00F435CC" w:rsidP="00F435CC">
      <w:pPr>
        <w:rPr>
          <w:lang w:val="ru-RU" w:eastAsia="en-AU"/>
        </w:rPr>
      </w:pPr>
      <w:r w:rsidRPr="001D2EA6">
        <w:rPr>
          <w:i/>
          <w:iCs/>
          <w:lang w:val="ru-RU" w:eastAsia="en-AU"/>
        </w:rPr>
        <w:t>a)</w:t>
      </w:r>
      <w:r w:rsidRPr="001D2EA6">
        <w:rPr>
          <w:lang w:val="ru-RU" w:eastAsia="en-AU"/>
        </w:rPr>
        <w:tab/>
        <w:t>что развивающиеся страны главным образом участвуют в деятельности по стандартизации, проводимой в рамках МСЭ-T, однако зачастую сталкиваются с проблемами, связанными с участием в деятельности растущего числа международных и/или региональных организаций по разработке стандартов (ОРС), отраслевых форумов и консорциумов, включая возможность присутствия на их собраниях;</w:t>
      </w:r>
    </w:p>
    <w:p w14:paraId="07341E61" w14:textId="77777777" w:rsidR="00F435CC" w:rsidRPr="001D2EA6" w:rsidRDefault="00F435CC" w:rsidP="00F435CC">
      <w:pPr>
        <w:rPr>
          <w:lang w:val="ru-RU" w:eastAsia="en-AU"/>
        </w:rPr>
      </w:pPr>
      <w:r w:rsidRPr="001D2EA6">
        <w:rPr>
          <w:i/>
          <w:iCs/>
          <w:lang w:val="ru-RU" w:eastAsia="en-AU"/>
        </w:rPr>
        <w:t>b)</w:t>
      </w:r>
      <w:r w:rsidRPr="001D2EA6">
        <w:rPr>
          <w:lang w:val="ru-RU" w:eastAsia="en-AU"/>
        </w:rPr>
        <w:tab/>
        <w:t xml:space="preserve">что МСЭ-T должен и </w:t>
      </w:r>
      <w:proofErr w:type="gramStart"/>
      <w:r w:rsidRPr="001D2EA6">
        <w:rPr>
          <w:lang w:val="ru-RU" w:eastAsia="en-AU"/>
        </w:rPr>
        <w:t>далее усиливать</w:t>
      </w:r>
      <w:proofErr w:type="gramEnd"/>
      <w:r w:rsidRPr="001D2EA6">
        <w:rPr>
          <w:lang w:val="ru-RU" w:eastAsia="en-AU"/>
        </w:rPr>
        <w:t xml:space="preserve"> и развивать роль ВАСЭ, как того требует Резолюция 122 (</w:t>
      </w:r>
      <w:proofErr w:type="spellStart"/>
      <w:r w:rsidRPr="001D2EA6">
        <w:rPr>
          <w:lang w:val="ru-RU" w:eastAsia="en-AU"/>
        </w:rPr>
        <w:t>Пересм</w:t>
      </w:r>
      <w:proofErr w:type="spellEnd"/>
      <w:r w:rsidRPr="001D2EA6">
        <w:rPr>
          <w:lang w:val="ru-RU" w:eastAsia="en-AU"/>
        </w:rPr>
        <w:t>. Гвадалахара, 2010 г.), и призвать руководителей предприятий частного сектора возобновить проведение собраний, учитывая их важность, в формате, аналогичном ГСС, но исключительно для представителей частного сектора, с целью усиления роли МСЭ-Т путем обсуждения потребностей и приоритетов, определенных такими руководителями, в деятельности по разработке стандартов, учитывая также потребности и проблемы развивающихся стран;</w:t>
      </w:r>
    </w:p>
    <w:p w14:paraId="757E1FCA" w14:textId="77777777" w:rsidR="00F435CC" w:rsidRPr="001D2EA6" w:rsidRDefault="00F435CC" w:rsidP="00F435CC">
      <w:pPr>
        <w:rPr>
          <w:lang w:val="ru-RU"/>
        </w:rPr>
      </w:pPr>
      <w:r w:rsidRPr="001D2EA6">
        <w:rPr>
          <w:i/>
          <w:iCs/>
          <w:lang w:val="ru-RU"/>
        </w:rPr>
        <w:t>c)</w:t>
      </w:r>
      <w:r w:rsidRPr="001D2EA6">
        <w:rPr>
          <w:szCs w:val="22"/>
          <w:lang w:val="ru-RU"/>
        </w:rPr>
        <w:tab/>
      </w:r>
      <w:r w:rsidRPr="001D2EA6">
        <w:rPr>
          <w:lang w:val="ru-RU"/>
        </w:rPr>
        <w:t>что МСЭ-T должен также поощрять сотрудничество с другими соответствующими ОРС,</w:t>
      </w:r>
    </w:p>
    <w:p w14:paraId="02967D33" w14:textId="77777777" w:rsidR="00F435CC" w:rsidRPr="001D2EA6" w:rsidRDefault="00F435CC" w:rsidP="00F435CC">
      <w:pPr>
        <w:pStyle w:val="Call"/>
        <w:rPr>
          <w:lang w:val="ru-RU"/>
        </w:rPr>
      </w:pPr>
      <w:r w:rsidRPr="001D2EA6">
        <w:rPr>
          <w:lang w:val="ru-RU"/>
        </w:rPr>
        <w:t>признавая далее</w:t>
      </w:r>
      <w:r w:rsidRPr="001D2EA6">
        <w:rPr>
          <w:i w:val="0"/>
          <w:iCs/>
          <w:lang w:val="ru-RU"/>
        </w:rPr>
        <w:t>,</w:t>
      </w:r>
    </w:p>
    <w:p w14:paraId="624DC7E5" w14:textId="77777777" w:rsidR="00F435CC" w:rsidRPr="001D2EA6" w:rsidRDefault="00F435CC" w:rsidP="00F435CC">
      <w:pPr>
        <w:rPr>
          <w:lang w:val="ru-RU"/>
        </w:rPr>
      </w:pPr>
      <w:r w:rsidRPr="001D2EA6">
        <w:rPr>
          <w:i/>
          <w:iCs/>
          <w:lang w:val="ru-RU"/>
        </w:rPr>
        <w:t>a)</w:t>
      </w:r>
      <w:r w:rsidRPr="001D2EA6">
        <w:rPr>
          <w:lang w:val="ru-RU"/>
        </w:rPr>
        <w:tab/>
        <w:t xml:space="preserve">что в 2023 году КГСЭ также утвердила План действий по участию отрасли, </w:t>
      </w:r>
      <w:r w:rsidRPr="001D2EA6">
        <w:rPr>
          <w:szCs w:val="24"/>
          <w:lang w:val="ru-RU" w:eastAsia="ja-JP"/>
        </w:rPr>
        <w:t>призванный стимулировать активное участие</w:t>
      </w:r>
      <w:r w:rsidRPr="001D2EA6">
        <w:rPr>
          <w:lang w:val="ru-RU"/>
        </w:rPr>
        <w:t xml:space="preserve"> компаний отрасли как из развитых, так и из развивающихся стран, с тем чтобы учесть последние тенденции в сфере технологий и потребности рынка;</w:t>
      </w:r>
    </w:p>
    <w:p w14:paraId="5CFA8923" w14:textId="77777777" w:rsidR="00F435CC" w:rsidRPr="001D2EA6" w:rsidRDefault="00F435CC" w:rsidP="00F435CC">
      <w:pPr>
        <w:rPr>
          <w:lang w:val="ru-RU"/>
        </w:rPr>
      </w:pPr>
      <w:r w:rsidRPr="001D2EA6">
        <w:rPr>
          <w:i/>
          <w:iCs/>
          <w:lang w:val="ru-RU"/>
        </w:rPr>
        <w:t>b)</w:t>
      </w:r>
      <w:r w:rsidRPr="001D2EA6">
        <w:rPr>
          <w:lang w:val="ru-RU"/>
        </w:rPr>
        <w:tab/>
        <w:t>что КГСЭ также приняла решение об организации семинара-практикума с четырьмя основными целями, согласованными с Планом действий:</w:t>
      </w:r>
    </w:p>
    <w:p w14:paraId="126BF89B" w14:textId="77777777" w:rsidR="00F435CC" w:rsidRPr="001D2EA6" w:rsidRDefault="00F435CC" w:rsidP="00F435CC">
      <w:pPr>
        <w:pStyle w:val="enumlev1"/>
        <w:rPr>
          <w:lang w:val="ru-RU"/>
        </w:rPr>
      </w:pPr>
      <w:r w:rsidRPr="001D2EA6">
        <w:rPr>
          <w:lang w:val="ru-RU"/>
        </w:rPr>
        <w:t>i)</w:t>
      </w:r>
      <w:r w:rsidRPr="001D2EA6">
        <w:rPr>
          <w:lang w:val="ru-RU"/>
        </w:rPr>
        <w:tab/>
        <w:t>привлечение руководителей компаний отрасли для обсуждения, среди прочего, того, какую именно пользу МСЭ-Т может принести в сфере стандартизации в целом;</w:t>
      </w:r>
    </w:p>
    <w:p w14:paraId="532D1392" w14:textId="77777777" w:rsidR="00F435CC" w:rsidRPr="001D2EA6" w:rsidRDefault="00F435CC" w:rsidP="00F435CC">
      <w:pPr>
        <w:pStyle w:val="enumlev1"/>
        <w:rPr>
          <w:lang w:val="ru-RU"/>
        </w:rPr>
      </w:pPr>
      <w:proofErr w:type="spellStart"/>
      <w:r w:rsidRPr="001D2EA6">
        <w:rPr>
          <w:lang w:val="ru-RU"/>
        </w:rPr>
        <w:t>ii</w:t>
      </w:r>
      <w:proofErr w:type="spellEnd"/>
      <w:r w:rsidRPr="001D2EA6">
        <w:rPr>
          <w:lang w:val="ru-RU"/>
        </w:rPr>
        <w:t>)</w:t>
      </w:r>
      <w:r w:rsidRPr="001D2EA6">
        <w:rPr>
          <w:lang w:val="ru-RU"/>
        </w:rPr>
        <w:tab/>
        <w:t>содействие диалогу между всеми сторонами;</w:t>
      </w:r>
    </w:p>
    <w:p w14:paraId="0354A9E6" w14:textId="77777777" w:rsidR="00F435CC" w:rsidRPr="001D2EA6" w:rsidRDefault="00F435CC" w:rsidP="00F435CC">
      <w:pPr>
        <w:pStyle w:val="enumlev1"/>
        <w:rPr>
          <w:lang w:val="ru-RU"/>
        </w:rPr>
      </w:pPr>
      <w:proofErr w:type="spellStart"/>
      <w:r w:rsidRPr="001D2EA6">
        <w:rPr>
          <w:lang w:val="ru-RU"/>
        </w:rPr>
        <w:t>iii</w:t>
      </w:r>
      <w:proofErr w:type="spellEnd"/>
      <w:r w:rsidRPr="001D2EA6">
        <w:rPr>
          <w:lang w:val="ru-RU"/>
        </w:rPr>
        <w:t>)</w:t>
      </w:r>
      <w:r w:rsidRPr="001D2EA6">
        <w:rPr>
          <w:lang w:val="ru-RU"/>
        </w:rPr>
        <w:tab/>
        <w:t>предоставление полезных отзывов о Плане действий;</w:t>
      </w:r>
    </w:p>
    <w:p w14:paraId="62069892" w14:textId="77777777" w:rsidR="00F435CC" w:rsidRPr="001D2EA6" w:rsidRDefault="00F435CC" w:rsidP="00F435CC">
      <w:pPr>
        <w:pStyle w:val="enumlev1"/>
        <w:rPr>
          <w:lang w:val="ru-RU"/>
        </w:rPr>
      </w:pPr>
      <w:proofErr w:type="spellStart"/>
      <w:r w:rsidRPr="001D2EA6">
        <w:rPr>
          <w:lang w:val="ru-RU"/>
        </w:rPr>
        <w:t>iv</w:t>
      </w:r>
      <w:proofErr w:type="spellEnd"/>
      <w:r w:rsidRPr="001D2EA6">
        <w:rPr>
          <w:lang w:val="ru-RU"/>
        </w:rPr>
        <w:t>)</w:t>
      </w:r>
      <w:r w:rsidRPr="001D2EA6">
        <w:rPr>
          <w:lang w:val="ru-RU"/>
        </w:rPr>
        <w:tab/>
        <w:t>определение ценностных предложений для расширения участия и удержания отраслевых компаний в качестве Членов и Ассоциированных членов Сектора (включая малые и средние предприятия (МСП)) в МСЭ</w:t>
      </w:r>
      <w:r w:rsidRPr="001D2EA6">
        <w:rPr>
          <w:lang w:val="ru-RU"/>
        </w:rPr>
        <w:noBreakHyphen/>
        <w:t>T,</w:t>
      </w:r>
    </w:p>
    <w:p w14:paraId="321805D7" w14:textId="77777777" w:rsidR="00F435CC" w:rsidRPr="001D2EA6" w:rsidRDefault="00F435CC" w:rsidP="00F435CC">
      <w:pPr>
        <w:pStyle w:val="Call"/>
        <w:keepNext w:val="0"/>
        <w:keepLines w:val="0"/>
        <w:rPr>
          <w:lang w:val="ru-RU"/>
        </w:rPr>
      </w:pPr>
      <w:r w:rsidRPr="001D2EA6">
        <w:rPr>
          <w:lang w:val="ru-RU"/>
        </w:rPr>
        <w:t>отмечая</w:t>
      </w:r>
      <w:r w:rsidRPr="001D2EA6">
        <w:rPr>
          <w:i w:val="0"/>
          <w:iCs/>
          <w:lang w:val="ru-RU"/>
        </w:rPr>
        <w:t>,</w:t>
      </w:r>
    </w:p>
    <w:p w14:paraId="5EA4C9B1" w14:textId="77777777" w:rsidR="00F435CC" w:rsidRPr="001D2EA6" w:rsidRDefault="00F435CC" w:rsidP="00F435CC">
      <w:pPr>
        <w:rPr>
          <w:lang w:val="ru-RU"/>
        </w:rPr>
      </w:pPr>
      <w:r w:rsidRPr="001D2EA6">
        <w:rPr>
          <w:i/>
          <w:iCs/>
          <w:lang w:val="ru-RU"/>
        </w:rPr>
        <w:t>a)</w:t>
      </w:r>
      <w:r w:rsidRPr="001D2EA6">
        <w:rPr>
          <w:lang w:val="ru-RU"/>
        </w:rPr>
        <w:tab/>
        <w:t>что установление тесного сотрудничества между правительствами и отраслью является необходимым и имеет важное значение для достижения прогресса в работе МСЭ-Т;</w:t>
      </w:r>
    </w:p>
    <w:p w14:paraId="72DA7B2A" w14:textId="77777777" w:rsidR="00F435CC" w:rsidRPr="001D2EA6" w:rsidRDefault="00F435CC" w:rsidP="00F435CC">
      <w:pPr>
        <w:rPr>
          <w:lang w:val="ru-RU" w:eastAsia="en-AU"/>
        </w:rPr>
      </w:pPr>
      <w:r w:rsidRPr="001D2EA6">
        <w:rPr>
          <w:i/>
          <w:iCs/>
          <w:lang w:val="ru-RU" w:eastAsia="en-AU"/>
        </w:rPr>
        <w:t>b)</w:t>
      </w:r>
      <w:r w:rsidRPr="001D2EA6">
        <w:rPr>
          <w:lang w:val="ru-RU" w:eastAsia="en-AU"/>
        </w:rPr>
        <w:tab/>
        <w:t>что процесс разработки стандартов должен соответствующим образом реагировать на потребности отрасли на основе координации, с тем чтобы поощрять участие представителей отрасли в МСЭ-Т</w:t>
      </w:r>
      <w:r w:rsidRPr="001D2EA6">
        <w:rPr>
          <w:lang w:val="ru-RU"/>
        </w:rPr>
        <w:t xml:space="preserve"> и рассматривать результаты собраний СТО/</w:t>
      </w:r>
      <w:proofErr w:type="spellStart"/>
      <w:r w:rsidRPr="001D2EA6">
        <w:rPr>
          <w:lang w:val="ru-RU"/>
        </w:rPr>
        <w:t>СхО</w:t>
      </w:r>
      <w:proofErr w:type="spellEnd"/>
      <w:r w:rsidRPr="001D2EA6">
        <w:rPr>
          <w:lang w:val="ru-RU"/>
        </w:rPr>
        <w:t xml:space="preserve"> как вклад в деятельность МСЭ-Т</w:t>
      </w:r>
      <w:r w:rsidRPr="001D2EA6">
        <w:rPr>
          <w:lang w:val="ru-RU" w:eastAsia="en-AU"/>
        </w:rPr>
        <w:t>;</w:t>
      </w:r>
    </w:p>
    <w:p w14:paraId="42B401BA" w14:textId="77777777" w:rsidR="00F435CC" w:rsidRPr="001D2EA6" w:rsidRDefault="00F435CC" w:rsidP="00F435CC">
      <w:pPr>
        <w:rPr>
          <w:lang w:val="ru-RU" w:eastAsia="en-AU"/>
        </w:rPr>
      </w:pPr>
      <w:r w:rsidRPr="001D2EA6">
        <w:rPr>
          <w:i/>
          <w:iCs/>
          <w:lang w:val="ru-RU" w:eastAsia="en-AU"/>
        </w:rPr>
        <w:t>c)</w:t>
      </w:r>
      <w:r w:rsidRPr="001D2EA6">
        <w:rPr>
          <w:lang w:val="ru-RU" w:eastAsia="en-AU"/>
        </w:rPr>
        <w:tab/>
        <w:t>что Рекомендации МСЭ-Т, предложенные в ответ на эти согласованные потребности, повысят авторитет МСЭ-Т, поскольку будут эффективно отвечать требованиям стран путем внедрения оптимальных технических решений, а также путем ограничения распространения нескоординированных Рекомендаций, что принесет экономические выгоды, в особенности развивающимся странам;</w:t>
      </w:r>
    </w:p>
    <w:p w14:paraId="0EB325FF" w14:textId="77777777" w:rsidR="00F435CC" w:rsidRPr="001D2EA6" w:rsidRDefault="00F435CC" w:rsidP="00F435CC">
      <w:pPr>
        <w:rPr>
          <w:lang w:val="ru-RU"/>
        </w:rPr>
      </w:pPr>
      <w:r w:rsidRPr="001D2EA6">
        <w:rPr>
          <w:i/>
          <w:iCs/>
          <w:lang w:val="ru-RU"/>
        </w:rPr>
        <w:t>d)</w:t>
      </w:r>
      <w:r w:rsidRPr="001D2EA6">
        <w:rPr>
          <w:lang w:val="ru-RU"/>
        </w:rPr>
        <w:tab/>
        <w:t>что представители отрасли электросвязи/информационно-коммуникационных технологий (ИКТ) играют существенную роль в разработке технических стандартов, таких как Рекомендации МСЭ-T;</w:t>
      </w:r>
    </w:p>
    <w:p w14:paraId="09C570EC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br w:type="page"/>
      </w:r>
    </w:p>
    <w:p w14:paraId="7689B392" w14:textId="77777777" w:rsidR="00F435CC" w:rsidRPr="001D2EA6" w:rsidRDefault="00F435CC" w:rsidP="00F435CC">
      <w:pPr>
        <w:rPr>
          <w:lang w:val="ru-RU"/>
        </w:rPr>
      </w:pPr>
      <w:r w:rsidRPr="001D2EA6">
        <w:rPr>
          <w:i/>
          <w:iCs/>
          <w:lang w:val="ru-RU"/>
        </w:rPr>
        <w:lastRenderedPageBreak/>
        <w:t>e)</w:t>
      </w:r>
      <w:r w:rsidRPr="001D2EA6">
        <w:rPr>
          <w:i/>
          <w:iCs/>
          <w:lang w:val="ru-RU"/>
        </w:rPr>
        <w:tab/>
      </w:r>
      <w:r w:rsidRPr="001D2EA6">
        <w:rPr>
          <w:lang w:val="ru-RU"/>
        </w:rPr>
        <w:t>что новые и появляющиеся технологии электросвязи/ИКТ имеют первостепенное значение для отрасли и всех заинтересованных сторон МСЭ-Т</w:t>
      </w:r>
      <w:r w:rsidRPr="001D2EA6">
        <w:rPr>
          <w:rFonts w:eastAsia="MS Mincho"/>
          <w:lang w:val="ru-RU"/>
        </w:rPr>
        <w:t xml:space="preserve"> и закладывают основу для роста и преобразований в других секторах отрасли</w:t>
      </w:r>
      <w:r w:rsidRPr="001D2EA6">
        <w:rPr>
          <w:lang w:val="ru-RU"/>
        </w:rPr>
        <w:t>;</w:t>
      </w:r>
    </w:p>
    <w:p w14:paraId="1BBADDD4" w14:textId="77777777" w:rsidR="00F435CC" w:rsidRPr="001D2EA6" w:rsidRDefault="00F435CC" w:rsidP="00F435CC">
      <w:pPr>
        <w:rPr>
          <w:lang w:val="ru-RU"/>
        </w:rPr>
      </w:pPr>
      <w:r w:rsidRPr="001D2EA6">
        <w:rPr>
          <w:i/>
          <w:iCs/>
          <w:lang w:val="ru-RU"/>
        </w:rPr>
        <w:t>f)</w:t>
      </w:r>
      <w:r w:rsidRPr="001D2EA6">
        <w:rPr>
          <w:lang w:val="ru-RU"/>
        </w:rPr>
        <w:tab/>
        <w:t>что КГСЭ признала высокую потребность во вкладе отрасли,</w:t>
      </w:r>
    </w:p>
    <w:p w14:paraId="6ADCD62B" w14:textId="77777777" w:rsidR="00F435CC" w:rsidRPr="001D2EA6" w:rsidRDefault="00F435CC" w:rsidP="00F435CC">
      <w:pPr>
        <w:pStyle w:val="Call"/>
        <w:rPr>
          <w:lang w:val="ru-RU"/>
        </w:rPr>
      </w:pPr>
      <w:r w:rsidRPr="001D2EA6">
        <w:rPr>
          <w:lang w:val="ru-RU"/>
        </w:rPr>
        <w:t>решает поручить Директору Бюро стандартизации электросвязи</w:t>
      </w:r>
    </w:p>
    <w:p w14:paraId="35112CC1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1</w:t>
      </w:r>
      <w:r w:rsidRPr="001D2EA6">
        <w:rPr>
          <w:lang w:val="ru-RU"/>
        </w:rPr>
        <w:tab/>
        <w:t>продолжать организовывать собрания СТО/</w:t>
      </w:r>
      <w:proofErr w:type="spellStart"/>
      <w:r w:rsidRPr="001D2EA6">
        <w:rPr>
          <w:lang w:val="ru-RU"/>
        </w:rPr>
        <w:t>СхО</w:t>
      </w:r>
      <w:proofErr w:type="spellEnd"/>
      <w:r w:rsidRPr="001D2EA6">
        <w:rPr>
          <w:lang w:val="ru-RU"/>
        </w:rPr>
        <w:t xml:space="preserve"> и расширить их для представления мнений различных заинтересованных сторон в дополнение к существующим собраниям СТО/</w:t>
      </w:r>
      <w:proofErr w:type="spellStart"/>
      <w:r w:rsidRPr="001D2EA6">
        <w:rPr>
          <w:lang w:val="ru-RU"/>
        </w:rPr>
        <w:t>СхО</w:t>
      </w:r>
      <w:proofErr w:type="spellEnd"/>
      <w:r w:rsidRPr="001D2EA6">
        <w:rPr>
          <w:lang w:val="ru-RU"/>
        </w:rPr>
        <w:t>, для оказания им содействия в определении и координировании приоритетов и тем в области стандартизации, принимая во внимание новые и появляющиеся технологии и обеспечивая при этом участие на уровне руководителей компаний отрасли;</w:t>
      </w:r>
    </w:p>
    <w:p w14:paraId="6EEEA8C6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2</w:t>
      </w:r>
      <w:r w:rsidRPr="001D2EA6">
        <w:rPr>
          <w:lang w:val="ru-RU"/>
        </w:rPr>
        <w:tab/>
        <w:t>удовлетворять потребности развивающихся стран в программу этих собраний путем предварительного проведения консультаций с такими странами и поощрять участие представителей местных отраслевых организаций;</w:t>
      </w:r>
    </w:p>
    <w:p w14:paraId="54CDAAC4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3</w:t>
      </w:r>
      <w:r w:rsidRPr="001D2EA6">
        <w:rPr>
          <w:lang w:val="ru-RU"/>
        </w:rPr>
        <w:tab/>
        <w:t>поощрять участие в собрании СТО/</w:t>
      </w:r>
      <w:proofErr w:type="spellStart"/>
      <w:r w:rsidRPr="001D2EA6">
        <w:rPr>
          <w:lang w:val="ru-RU"/>
        </w:rPr>
        <w:t>СхО</w:t>
      </w:r>
      <w:proofErr w:type="spellEnd"/>
      <w:r w:rsidRPr="001D2EA6">
        <w:rPr>
          <w:lang w:val="ru-RU"/>
        </w:rPr>
        <w:t>, предпочтительно в очном, но также и в дистанционном форматах, широкого круга представителей отрасли, в том числе из МСП, микропредприятий и развивающихся стран из всех регионов;</w:t>
      </w:r>
    </w:p>
    <w:p w14:paraId="711CFE56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4</w:t>
      </w:r>
      <w:r w:rsidRPr="001D2EA6">
        <w:rPr>
          <w:lang w:val="ru-RU"/>
        </w:rPr>
        <w:tab/>
        <w:t>продолжать организацию семинаров-практикумов и аналогичных мероприятий, на которых Государства-Члены и Члены Сектора МСЭ-Т могут обсудить будущее МСЭ-Т, рассмотреть общую структуру и функционирование Сектора и определить цели для его работы;</w:t>
      </w:r>
    </w:p>
    <w:p w14:paraId="005620FB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5</w:t>
      </w:r>
      <w:r w:rsidRPr="001D2EA6">
        <w:rPr>
          <w:lang w:val="ru-RU"/>
        </w:rPr>
        <w:tab/>
        <w:t>привлекать компании отрасли, включая малые, средние и крупные структуры, из всех регионов, в том числе представителей развивающихся стран, к деятельности МСЭ-Т согласно соответствующим положениям Устава и Конвенции МСЭ, а также Резолюций ВАСЭ и Полномочной конференции;</w:t>
      </w:r>
    </w:p>
    <w:p w14:paraId="033BFADB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 w:eastAsia="en-AU"/>
        </w:rPr>
        <w:t>6</w:t>
      </w:r>
      <w:r w:rsidRPr="001D2EA6">
        <w:rPr>
          <w:lang w:val="ru-RU" w:eastAsia="en-AU"/>
        </w:rPr>
        <w:tab/>
        <w:t>организовывать собрания CTO/</w:t>
      </w:r>
      <w:proofErr w:type="spellStart"/>
      <w:r w:rsidRPr="001D2EA6">
        <w:rPr>
          <w:lang w:val="ru-RU" w:eastAsia="en-AU"/>
        </w:rPr>
        <w:t>CxO</w:t>
      </w:r>
      <w:proofErr w:type="spellEnd"/>
      <w:r w:rsidRPr="001D2EA6">
        <w:rPr>
          <w:lang w:val="ru-RU" w:eastAsia="en-AU"/>
        </w:rPr>
        <w:t xml:space="preserve"> в различных подходящих местах, принимая во внимание значимость мировых центров специальных знаний в области новых и появляющихся технологий электросвязи/ИКТ, которые определены в качестве одного из приоритетов МСЭ-Т</w:t>
      </w:r>
      <w:r w:rsidRPr="001D2EA6">
        <w:rPr>
          <w:lang w:val="ru-RU"/>
        </w:rPr>
        <w:t>;</w:t>
      </w:r>
    </w:p>
    <w:p w14:paraId="2F13437B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7</w:t>
      </w:r>
      <w:r w:rsidRPr="001D2EA6">
        <w:rPr>
          <w:lang w:val="ru-RU"/>
        </w:rPr>
        <w:tab/>
        <w:t>разработать эффективные механизмы для содействия участию представителей отрасли в этих собраниях, способствовать формированию стабильного состава Группы и обеспечить регулярное участие СТО/</w:t>
      </w:r>
      <w:proofErr w:type="spellStart"/>
      <w:r w:rsidRPr="001D2EA6">
        <w:rPr>
          <w:lang w:val="ru-RU"/>
        </w:rPr>
        <w:t>СхО</w:t>
      </w:r>
      <w:proofErr w:type="spellEnd"/>
      <w:r w:rsidRPr="001D2EA6">
        <w:rPr>
          <w:lang w:val="ru-RU"/>
        </w:rPr>
        <w:t xml:space="preserve"> или их заместителей;</w:t>
      </w:r>
    </w:p>
    <w:p w14:paraId="11109613" w14:textId="77777777" w:rsidR="00F435CC" w:rsidRPr="001D2EA6" w:rsidRDefault="00F435CC" w:rsidP="00F435CC">
      <w:pPr>
        <w:rPr>
          <w:shd w:val="clear" w:color="auto" w:fill="FFFFFF"/>
          <w:lang w:val="ru-RU"/>
        </w:rPr>
      </w:pPr>
      <w:r w:rsidRPr="001D2EA6">
        <w:rPr>
          <w:lang w:val="ru-RU"/>
        </w:rPr>
        <w:t>8</w:t>
      </w:r>
      <w:r w:rsidRPr="001D2EA6">
        <w:rPr>
          <w:lang w:val="ru-RU"/>
        </w:rPr>
        <w:tab/>
      </w:r>
      <w:r w:rsidRPr="001D2EA6">
        <w:rPr>
          <w:shd w:val="clear" w:color="auto" w:fill="FFFFFF"/>
          <w:lang w:val="ru-RU"/>
        </w:rPr>
        <w:t>обеспечить соответствие повесток дня собраний CTO/</w:t>
      </w:r>
      <w:proofErr w:type="spellStart"/>
      <w:r w:rsidRPr="001D2EA6">
        <w:rPr>
          <w:shd w:val="clear" w:color="auto" w:fill="FFFFFF"/>
          <w:lang w:val="ru-RU"/>
        </w:rPr>
        <w:t>CxO</w:t>
      </w:r>
      <w:proofErr w:type="spellEnd"/>
      <w:r w:rsidRPr="001D2EA6">
        <w:rPr>
          <w:shd w:val="clear" w:color="auto" w:fill="FFFFFF"/>
          <w:lang w:val="ru-RU"/>
        </w:rPr>
        <w:t xml:space="preserve"> общим стратегическим целям МСЭ-Т и текущей работе КГСЭ;</w:t>
      </w:r>
    </w:p>
    <w:p w14:paraId="445A06AB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9</w:t>
      </w:r>
      <w:r w:rsidRPr="001D2EA6">
        <w:rPr>
          <w:lang w:val="ru-RU"/>
        </w:rPr>
        <w:tab/>
        <w:t>поощрять проведение собраний по участию отрасли, посвященных конкретному сектору, например здравоохранению, транспорту, образованию и т. д., для обеспечения максимальной заинтересованности и максимального возможного участия;</w:t>
      </w:r>
    </w:p>
    <w:p w14:paraId="4CBEB350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10</w:t>
      </w:r>
      <w:r w:rsidRPr="001D2EA6">
        <w:rPr>
          <w:lang w:val="ru-RU"/>
        </w:rPr>
        <w:tab/>
        <w:t>продолжать включать выводы собраний СТО/</w:t>
      </w:r>
      <w:proofErr w:type="spellStart"/>
      <w:r w:rsidRPr="001D2EA6">
        <w:rPr>
          <w:lang w:val="ru-RU"/>
        </w:rPr>
        <w:t>СхО</w:t>
      </w:r>
      <w:proofErr w:type="spellEnd"/>
      <w:r w:rsidRPr="001D2EA6">
        <w:rPr>
          <w:lang w:val="ru-RU"/>
        </w:rPr>
        <w:t xml:space="preserve"> в официальные коммюнике МСЭ</w:t>
      </w:r>
      <w:r w:rsidRPr="001D2EA6">
        <w:rPr>
          <w:lang w:val="ru-RU"/>
        </w:rPr>
        <w:noBreakHyphen/>
        <w:t>Т;</w:t>
      </w:r>
    </w:p>
    <w:p w14:paraId="4AF1D67C" w14:textId="77777777" w:rsidR="00F435CC" w:rsidRPr="001D2EA6" w:rsidRDefault="00F435CC" w:rsidP="00F435CC">
      <w:pPr>
        <w:rPr>
          <w:lang w:val="ru-RU"/>
        </w:rPr>
      </w:pPr>
      <w:r w:rsidRPr="001D2EA6">
        <w:rPr>
          <w:rFonts w:eastAsia="MS Mincho"/>
          <w:lang w:val="ru-RU"/>
        </w:rPr>
        <w:t>11</w:t>
      </w:r>
      <w:r w:rsidRPr="001D2EA6">
        <w:rPr>
          <w:rFonts w:eastAsia="MS Mincho"/>
          <w:lang w:val="ru-RU"/>
        </w:rPr>
        <w:tab/>
        <w:t>вести видеозапись презентаций на собраниях CTO/</w:t>
      </w:r>
      <w:proofErr w:type="spellStart"/>
      <w:r w:rsidRPr="001D2EA6">
        <w:rPr>
          <w:rFonts w:eastAsia="MS Mincho"/>
          <w:lang w:val="ru-RU"/>
        </w:rPr>
        <w:t>CxO</w:t>
      </w:r>
      <w:proofErr w:type="spellEnd"/>
      <w:r w:rsidRPr="001D2EA6">
        <w:rPr>
          <w:rFonts w:eastAsia="MS Mincho"/>
          <w:lang w:val="ru-RU"/>
        </w:rPr>
        <w:t xml:space="preserve"> с целью совместного использования такой видеозаписи, в том числе с региональными органами по стандартизации и региональными организациями электросвязи, для распространения среди представителей отрасли, не принявших участия в работе собрания, с целью информирования и поощрения их участия в будущих собраниях</w:t>
      </w:r>
      <w:r w:rsidRPr="001D2EA6">
        <w:rPr>
          <w:lang w:val="ru-RU"/>
        </w:rPr>
        <w:t>;</w:t>
      </w:r>
    </w:p>
    <w:p w14:paraId="748779CA" w14:textId="77777777" w:rsidR="00610D5F" w:rsidRPr="001D2EA6" w:rsidRDefault="00610D5F" w:rsidP="00610D5F">
      <w:pPr>
        <w:rPr>
          <w:lang w:val="ru-RU"/>
        </w:rPr>
      </w:pPr>
      <w:r w:rsidRPr="001D2EA6">
        <w:rPr>
          <w:lang w:val="ru-RU"/>
        </w:rPr>
        <w:br w:type="page"/>
      </w:r>
    </w:p>
    <w:p w14:paraId="3ABE2565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lastRenderedPageBreak/>
        <w:t>12</w:t>
      </w:r>
      <w:r w:rsidRPr="001D2EA6">
        <w:rPr>
          <w:lang w:val="ru-RU"/>
        </w:rPr>
        <w:tab/>
        <w:t>включать выводы собраний CTO/</w:t>
      </w:r>
      <w:proofErr w:type="spellStart"/>
      <w:r w:rsidRPr="001D2EA6">
        <w:rPr>
          <w:lang w:val="ru-RU"/>
        </w:rPr>
        <w:t>CxO</w:t>
      </w:r>
      <w:proofErr w:type="spellEnd"/>
      <w:r w:rsidRPr="001D2EA6">
        <w:rPr>
          <w:lang w:val="ru-RU"/>
        </w:rPr>
        <w:t xml:space="preserve"> в отчет для КГСЭ с рассмотрением каждой темы, ее продвижения/развития в жизненном цикле и того, как она была рассмотрена на предыдущих собраниях CTO/</w:t>
      </w:r>
      <w:proofErr w:type="spellStart"/>
      <w:r w:rsidRPr="001D2EA6">
        <w:rPr>
          <w:lang w:val="ru-RU"/>
        </w:rPr>
        <w:t>CxO</w:t>
      </w:r>
      <w:proofErr w:type="spellEnd"/>
      <w:r w:rsidRPr="001D2EA6">
        <w:rPr>
          <w:lang w:val="ru-RU"/>
        </w:rPr>
        <w:t>;</w:t>
      </w:r>
    </w:p>
    <w:p w14:paraId="3525050A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13</w:t>
      </w:r>
      <w:r w:rsidRPr="001D2EA6">
        <w:rPr>
          <w:lang w:val="ru-RU"/>
        </w:rPr>
        <w:tab/>
        <w:t>принимать во внимание выводы собраний СТО/</w:t>
      </w:r>
      <w:proofErr w:type="spellStart"/>
      <w:r w:rsidRPr="001D2EA6">
        <w:rPr>
          <w:lang w:val="ru-RU"/>
        </w:rPr>
        <w:t>СхО</w:t>
      </w:r>
      <w:proofErr w:type="spellEnd"/>
      <w:r w:rsidRPr="001D2EA6">
        <w:rPr>
          <w:lang w:val="ru-RU"/>
        </w:rPr>
        <w:t xml:space="preserve"> в работе МСЭ-Т;</w:t>
      </w:r>
    </w:p>
    <w:p w14:paraId="683F1FC1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14</w:t>
      </w:r>
      <w:r w:rsidRPr="001D2EA6">
        <w:rPr>
          <w:lang w:val="ru-RU"/>
        </w:rPr>
        <w:tab/>
        <w:t>представлять КГСЭ на регулярной основе отчеты о последующей деятельности в связи с выводами собраний СТО/</w:t>
      </w:r>
      <w:proofErr w:type="spellStart"/>
      <w:r w:rsidRPr="001D2EA6">
        <w:rPr>
          <w:lang w:val="ru-RU"/>
        </w:rPr>
        <w:t>СхО</w:t>
      </w:r>
      <w:proofErr w:type="spellEnd"/>
      <w:r w:rsidRPr="001D2EA6">
        <w:rPr>
          <w:lang w:val="ru-RU"/>
        </w:rPr>
        <w:t>;</w:t>
      </w:r>
    </w:p>
    <w:p w14:paraId="58B2281F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15</w:t>
      </w:r>
      <w:r w:rsidRPr="001D2EA6">
        <w:rPr>
          <w:lang w:val="ru-RU"/>
        </w:rPr>
        <w:tab/>
        <w:t>представить следующей ВАСЭ отчет, содержащий оценку результатов работы собраний СТО/</w:t>
      </w:r>
      <w:proofErr w:type="spellStart"/>
      <w:r w:rsidRPr="001D2EA6">
        <w:rPr>
          <w:lang w:val="ru-RU"/>
        </w:rPr>
        <w:t>СхО</w:t>
      </w:r>
      <w:proofErr w:type="spellEnd"/>
      <w:r w:rsidRPr="001D2EA6">
        <w:rPr>
          <w:lang w:val="ru-RU"/>
        </w:rPr>
        <w:t xml:space="preserve"> за прошедший период и анализ необходимости продолжения или совершенствования ее работы,</w:t>
      </w:r>
    </w:p>
    <w:p w14:paraId="45BA1483" w14:textId="77777777" w:rsidR="00F435CC" w:rsidRPr="001D2EA6" w:rsidRDefault="00F435CC" w:rsidP="00F435CC">
      <w:pPr>
        <w:pStyle w:val="Call"/>
        <w:rPr>
          <w:lang w:val="ru-RU"/>
        </w:rPr>
      </w:pPr>
      <w:r w:rsidRPr="001D2EA6">
        <w:rPr>
          <w:lang w:val="ru-RU"/>
        </w:rPr>
        <w:t>решает поручить Консультативной группе по стандартизации электросвязи</w:t>
      </w:r>
    </w:p>
    <w:p w14:paraId="0EB1CAF9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1</w:t>
      </w:r>
      <w:r w:rsidRPr="001D2EA6">
        <w:rPr>
          <w:lang w:val="ru-RU"/>
        </w:rPr>
        <w:tab/>
        <w:t>продолжить оценку процесса собраний CTO/</w:t>
      </w:r>
      <w:proofErr w:type="spellStart"/>
      <w:r w:rsidRPr="001D2EA6">
        <w:rPr>
          <w:lang w:val="ru-RU"/>
        </w:rPr>
        <w:t>CxO</w:t>
      </w:r>
      <w:proofErr w:type="spellEnd"/>
      <w:r w:rsidRPr="001D2EA6">
        <w:rPr>
          <w:lang w:val="ru-RU"/>
        </w:rPr>
        <w:t>;</w:t>
      </w:r>
    </w:p>
    <w:p w14:paraId="55C45CB7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2</w:t>
      </w:r>
      <w:r w:rsidRPr="001D2EA6">
        <w:rPr>
          <w:lang w:val="ru-RU"/>
        </w:rPr>
        <w:tab/>
        <w:t>рассмотреть вопрос о том, как можно организовать будущие семинары-практикумы по взаимодействию с отраслью, включая предпочтительные сроки их проведения и цели;</w:t>
      </w:r>
    </w:p>
    <w:p w14:paraId="6925C367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3</w:t>
      </w:r>
      <w:r w:rsidRPr="001D2EA6">
        <w:rPr>
          <w:lang w:val="ru-RU"/>
        </w:rPr>
        <w:tab/>
        <w:t>на постоянной основе оценивать результаты семинаров-практикумов по взаимодействию с отраслью и аналогичных мероприятий;</w:t>
      </w:r>
    </w:p>
    <w:p w14:paraId="68C627F9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4</w:t>
      </w:r>
      <w:r w:rsidRPr="001D2EA6">
        <w:rPr>
          <w:lang w:val="ru-RU"/>
        </w:rPr>
        <w:tab/>
        <w:t>анализировать случаи низкого уровня участия представителей отрасли, являющихся Членами Сектора МСЭ-Т, а также не являющихся членами, в деятельности МСЭ-Т,</w:t>
      </w:r>
    </w:p>
    <w:p w14:paraId="14F86855" w14:textId="77777777" w:rsidR="00F435CC" w:rsidRPr="001D2EA6" w:rsidRDefault="00F435CC" w:rsidP="00F435CC">
      <w:pPr>
        <w:pStyle w:val="Call"/>
        <w:rPr>
          <w:lang w:val="ru-RU"/>
        </w:rPr>
      </w:pPr>
      <w:r w:rsidRPr="001D2EA6">
        <w:rPr>
          <w:lang w:val="ru-RU"/>
        </w:rPr>
        <w:t>настоятельно рекомендует всем Государствам-Членам из развитых стран</w:t>
      </w:r>
    </w:p>
    <w:p w14:paraId="18C7356F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содействовать участию своих Членов Сектора в деятельности МСЭ-Т, в том числе в собраниях CTO/</w:t>
      </w:r>
      <w:proofErr w:type="spellStart"/>
      <w:r w:rsidRPr="001D2EA6">
        <w:rPr>
          <w:lang w:val="ru-RU"/>
        </w:rPr>
        <w:t>CxO</w:t>
      </w:r>
      <w:proofErr w:type="spellEnd"/>
      <w:r w:rsidRPr="001D2EA6">
        <w:rPr>
          <w:lang w:val="ru-RU"/>
        </w:rPr>
        <w:t>,</w:t>
      </w:r>
    </w:p>
    <w:p w14:paraId="2D59B1C7" w14:textId="77777777" w:rsidR="00F435CC" w:rsidRPr="001D2EA6" w:rsidRDefault="00F435CC" w:rsidP="00F435CC">
      <w:pPr>
        <w:pStyle w:val="Call"/>
        <w:rPr>
          <w:i w:val="0"/>
          <w:iCs/>
          <w:lang w:val="ru-RU"/>
        </w:rPr>
      </w:pPr>
      <w:r w:rsidRPr="001D2EA6">
        <w:rPr>
          <w:lang w:val="ru-RU"/>
        </w:rPr>
        <w:t>настоятельно рекомендует Членам Сектора, Ассоциированным членам, в том числе малым и средним предприятиям из развитых и развивающихся стран</w:t>
      </w:r>
    </w:p>
    <w:p w14:paraId="6505D996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1</w:t>
      </w:r>
      <w:r w:rsidRPr="001D2EA6">
        <w:rPr>
          <w:lang w:val="ru-RU"/>
        </w:rPr>
        <w:tab/>
        <w:t>участвовать на уровне своих руководителей в собраниях СТО/</w:t>
      </w:r>
      <w:proofErr w:type="spellStart"/>
      <w:r w:rsidRPr="001D2EA6">
        <w:rPr>
          <w:lang w:val="ru-RU"/>
        </w:rPr>
        <w:t>СхО</w:t>
      </w:r>
      <w:proofErr w:type="spellEnd"/>
      <w:r w:rsidRPr="001D2EA6">
        <w:rPr>
          <w:lang w:val="ru-RU"/>
        </w:rPr>
        <w:t xml:space="preserve"> и вносить свои предложения о приоритетных сферах стандартизации, а также о потребностях и интересах в области стандартизации;</w:t>
      </w:r>
    </w:p>
    <w:p w14:paraId="2C793579" w14:textId="77777777" w:rsidR="00F435CC" w:rsidRPr="001D2EA6" w:rsidRDefault="00F435CC" w:rsidP="00F435CC">
      <w:pPr>
        <w:rPr>
          <w:lang w:val="ru-RU"/>
        </w:rPr>
      </w:pPr>
      <w:r w:rsidRPr="001D2EA6">
        <w:rPr>
          <w:lang w:val="ru-RU"/>
        </w:rPr>
        <w:t>2</w:t>
      </w:r>
      <w:r w:rsidRPr="001D2EA6">
        <w:rPr>
          <w:i/>
          <w:iCs/>
          <w:lang w:val="ru-RU"/>
        </w:rPr>
        <w:tab/>
      </w:r>
      <w:r w:rsidRPr="001D2EA6">
        <w:rPr>
          <w:lang w:val="ru-RU"/>
        </w:rPr>
        <w:t>активно участвовать в реализации Плана действий по участию отрасли, в том числе путем организации в будущем семинаров-практикумов и аналогичных мероприятий и участие в них.</w:t>
      </w:r>
    </w:p>
    <w:p w14:paraId="41051E9A" w14:textId="77777777" w:rsidR="00F435CC" w:rsidRDefault="00F435CC" w:rsidP="00F435CC">
      <w:pPr>
        <w:pStyle w:val="Reasons"/>
      </w:pPr>
    </w:p>
    <w:p w14:paraId="025F4F1A" w14:textId="77777777" w:rsidR="00610D5F" w:rsidRDefault="00610D5F" w:rsidP="00F435CC">
      <w:pPr>
        <w:pStyle w:val="Reasons"/>
      </w:pPr>
    </w:p>
    <w:p w14:paraId="79C0FCE8" w14:textId="77777777" w:rsidR="00610D5F" w:rsidRDefault="00610D5F" w:rsidP="00F435CC">
      <w:pPr>
        <w:pStyle w:val="Reasons"/>
      </w:pPr>
    </w:p>
    <w:p w14:paraId="17E2B3A8" w14:textId="77777777" w:rsidR="00610D5F" w:rsidRDefault="00610D5F" w:rsidP="00F435CC">
      <w:pPr>
        <w:pStyle w:val="Reasons"/>
      </w:pPr>
    </w:p>
    <w:p w14:paraId="2E64187A" w14:textId="77777777" w:rsidR="00610D5F" w:rsidRDefault="00610D5F" w:rsidP="00F435CC">
      <w:pPr>
        <w:pStyle w:val="Reasons"/>
      </w:pPr>
    </w:p>
    <w:p w14:paraId="40CF5427" w14:textId="77777777" w:rsidR="00610D5F" w:rsidRDefault="00610D5F" w:rsidP="00F435CC">
      <w:pPr>
        <w:pStyle w:val="Reasons"/>
      </w:pPr>
    </w:p>
    <w:p w14:paraId="6A38EEB0" w14:textId="77777777" w:rsidR="00610D5F" w:rsidRPr="001D2EA6" w:rsidRDefault="00610D5F" w:rsidP="00F435CC">
      <w:pPr>
        <w:pStyle w:val="Reasons"/>
      </w:pPr>
    </w:p>
    <w:p w14:paraId="7375E701" w14:textId="77777777" w:rsidR="00151BAA" w:rsidRPr="001D2EA6" w:rsidRDefault="00151BAA" w:rsidP="00F435CC">
      <w:pPr>
        <w:pStyle w:val="ResNo"/>
        <w:rPr>
          <w:lang w:val="ru-RU"/>
        </w:rPr>
      </w:pPr>
    </w:p>
    <w:sectPr w:rsidR="00151BAA" w:rsidRPr="001D2EA6" w:rsidSect="0072674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97A37" w14:textId="77777777" w:rsidR="00647B88" w:rsidRDefault="00647B88">
      <w:r>
        <w:separator/>
      </w:r>
    </w:p>
  </w:endnote>
  <w:endnote w:type="continuationSeparator" w:id="0">
    <w:p w14:paraId="09619B91" w14:textId="77777777" w:rsidR="00647B88" w:rsidRDefault="0064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E6EBB" w14:textId="77777777" w:rsidR="008B6349" w:rsidRDefault="008B6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74305" w14:textId="77777777" w:rsidR="008B6349" w:rsidRDefault="008B63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15402" w14:textId="77777777" w:rsidR="008B6349" w:rsidRDefault="008B63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0D8D67E2" w:rsidR="00C72AF4" w:rsidRPr="00D50046" w:rsidRDefault="00D50046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A12A2">
      <w:rPr>
        <w:b w:val="0"/>
        <w:noProof/>
        <w:lang w:val="en-US"/>
      </w:rPr>
      <w:t>26</w:t>
    </w:r>
    <w:r>
      <w:rPr>
        <w:b w:val="0"/>
      </w:rPr>
      <w:fldChar w:fldCharType="end"/>
    </w:r>
    <w:r>
      <w:rPr>
        <w:lang w:val="en-US"/>
      </w:rPr>
      <w:tab/>
    </w:r>
    <w:r w:rsidR="008B6349" w:rsidRPr="00E95096">
      <w:rPr>
        <w:bCs/>
        <w:szCs w:val="22"/>
      </w:rPr>
      <w:t>ВАСЭ-</w:t>
    </w:r>
    <w:r w:rsidR="008B6349">
      <w:rPr>
        <w:bCs/>
        <w:szCs w:val="22"/>
        <w:lang w:val="ru-RU"/>
      </w:rPr>
      <w:t>24</w:t>
    </w:r>
    <w:r w:rsidR="008B6349" w:rsidRPr="00E95096">
      <w:rPr>
        <w:bCs/>
        <w:szCs w:val="22"/>
      </w:rPr>
      <w:t xml:space="preserve"> </w:t>
    </w:r>
    <w:r w:rsidR="008B6349" w:rsidRPr="00E95096">
      <w:rPr>
        <w:bCs/>
        <w:szCs w:val="22"/>
      </w:rPr>
      <w:sym w:font="Symbol" w:char="F02D"/>
    </w:r>
    <w:r w:rsidR="008B6349" w:rsidRPr="00E95096">
      <w:rPr>
        <w:bCs/>
        <w:szCs w:val="22"/>
      </w:rPr>
      <w:t xml:space="preserve"> </w:t>
    </w:r>
    <w:r w:rsidR="008B6349" w:rsidRPr="00E95096">
      <w:rPr>
        <w:bCs/>
        <w:szCs w:val="22"/>
        <w:lang w:val="ru-RU"/>
      </w:rPr>
      <w:t xml:space="preserve">Резолюция </w:t>
    </w:r>
    <w:r w:rsidR="008B6349" w:rsidRPr="00E95096">
      <w:rPr>
        <w:b w:val="0"/>
        <w:bCs/>
        <w:szCs w:val="22"/>
      </w:rPr>
      <w:fldChar w:fldCharType="begin"/>
    </w:r>
    <w:r w:rsidR="008B6349" w:rsidRPr="00E95096">
      <w:rPr>
        <w:bCs/>
        <w:szCs w:val="22"/>
      </w:rPr>
      <w:instrText xml:space="preserve"> STYLEREF  href  \* MERGEFORMAT </w:instrText>
    </w:r>
    <w:r w:rsidR="008B6349" w:rsidRPr="00E95096">
      <w:rPr>
        <w:b w:val="0"/>
        <w:bCs/>
        <w:szCs w:val="22"/>
      </w:rPr>
      <w:fldChar w:fldCharType="separate"/>
    </w:r>
    <w:r w:rsidR="009047E6" w:rsidRPr="009047E6">
      <w:rPr>
        <w:noProof/>
        <w:szCs w:val="22"/>
        <w:lang w:val="en-US"/>
      </w:rPr>
      <w:t>68</w:t>
    </w:r>
    <w:r w:rsidR="008B6349" w:rsidRPr="00E95096">
      <w:rPr>
        <w:b w:val="0"/>
        <w:bCs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7926EB9C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8B6349" w:rsidRPr="00E95096">
      <w:rPr>
        <w:bCs/>
        <w:szCs w:val="22"/>
      </w:rPr>
      <w:t>ВАСЭ-</w:t>
    </w:r>
    <w:r w:rsidR="008B6349">
      <w:rPr>
        <w:bCs/>
        <w:szCs w:val="22"/>
        <w:lang w:val="ru-RU"/>
      </w:rPr>
      <w:t>24</w:t>
    </w:r>
    <w:r w:rsidR="008B6349" w:rsidRPr="00E95096">
      <w:rPr>
        <w:bCs/>
        <w:szCs w:val="22"/>
      </w:rPr>
      <w:t xml:space="preserve"> </w:t>
    </w:r>
    <w:r w:rsidR="008B6349" w:rsidRPr="00E95096">
      <w:rPr>
        <w:bCs/>
        <w:szCs w:val="22"/>
      </w:rPr>
      <w:sym w:font="Symbol" w:char="F02D"/>
    </w:r>
    <w:r w:rsidR="008B6349" w:rsidRPr="00E95096">
      <w:rPr>
        <w:bCs/>
        <w:szCs w:val="22"/>
      </w:rPr>
      <w:t xml:space="preserve"> </w:t>
    </w:r>
    <w:r w:rsidR="008B6349" w:rsidRPr="00E95096">
      <w:rPr>
        <w:bCs/>
        <w:szCs w:val="22"/>
        <w:lang w:val="ru-RU"/>
      </w:rPr>
      <w:t xml:space="preserve">Резолюция </w:t>
    </w:r>
    <w:r w:rsidR="008B6349" w:rsidRPr="00E95096">
      <w:rPr>
        <w:b w:val="0"/>
        <w:bCs/>
        <w:szCs w:val="22"/>
      </w:rPr>
      <w:fldChar w:fldCharType="begin"/>
    </w:r>
    <w:r w:rsidR="008B6349" w:rsidRPr="00E95096">
      <w:rPr>
        <w:bCs/>
        <w:szCs w:val="22"/>
      </w:rPr>
      <w:instrText xml:space="preserve"> STYLEREF  href  \* MERGEFORMAT </w:instrText>
    </w:r>
    <w:r w:rsidR="008B6349" w:rsidRPr="00E95096">
      <w:rPr>
        <w:b w:val="0"/>
        <w:bCs/>
        <w:szCs w:val="22"/>
      </w:rPr>
      <w:fldChar w:fldCharType="separate"/>
    </w:r>
    <w:r w:rsidR="009047E6" w:rsidRPr="009047E6">
      <w:rPr>
        <w:noProof/>
        <w:szCs w:val="22"/>
        <w:lang w:val="en-US"/>
      </w:rPr>
      <w:t>68</w:t>
    </w:r>
    <w:r w:rsidR="008B6349" w:rsidRPr="00E95096">
      <w:rPr>
        <w:b w:val="0"/>
        <w:bCs/>
        <w:szCs w:val="22"/>
      </w:rP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33BAC888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E60A09" w:rsidRPr="00E95096">
      <w:rPr>
        <w:bCs/>
        <w:szCs w:val="22"/>
      </w:rPr>
      <w:t>ВАСЭ-</w:t>
    </w:r>
    <w:r w:rsidR="00E60A09">
      <w:rPr>
        <w:bCs/>
        <w:szCs w:val="22"/>
        <w:lang w:val="ru-RU"/>
      </w:rPr>
      <w:t>24</w:t>
    </w:r>
    <w:r w:rsidR="00E60A09" w:rsidRPr="00E95096">
      <w:rPr>
        <w:bCs/>
        <w:szCs w:val="22"/>
      </w:rPr>
      <w:t xml:space="preserve"> </w:t>
    </w:r>
    <w:r w:rsidR="00E60A09" w:rsidRPr="00E95096">
      <w:rPr>
        <w:bCs/>
        <w:szCs w:val="22"/>
      </w:rPr>
      <w:sym w:font="Symbol" w:char="F02D"/>
    </w:r>
    <w:r w:rsidR="00E60A09" w:rsidRPr="00E95096">
      <w:rPr>
        <w:bCs/>
        <w:szCs w:val="22"/>
      </w:rPr>
      <w:t xml:space="preserve"> </w:t>
    </w:r>
    <w:r w:rsidR="00E60A09" w:rsidRPr="00E95096">
      <w:rPr>
        <w:bCs/>
        <w:szCs w:val="22"/>
        <w:lang w:val="ru-RU"/>
      </w:rPr>
      <w:t xml:space="preserve">Резолюция </w:t>
    </w:r>
    <w:r w:rsidR="00E60A09" w:rsidRPr="00E95096">
      <w:rPr>
        <w:b w:val="0"/>
        <w:bCs/>
        <w:szCs w:val="22"/>
      </w:rPr>
      <w:fldChar w:fldCharType="begin"/>
    </w:r>
    <w:r w:rsidR="00E60A09" w:rsidRPr="00E95096">
      <w:rPr>
        <w:bCs/>
        <w:szCs w:val="22"/>
      </w:rPr>
      <w:instrText xml:space="preserve"> STYLEREF  href  \* MERGEFORMAT </w:instrText>
    </w:r>
    <w:r w:rsidR="00E60A09" w:rsidRPr="00E95096">
      <w:rPr>
        <w:b w:val="0"/>
        <w:bCs/>
        <w:szCs w:val="22"/>
      </w:rPr>
      <w:fldChar w:fldCharType="separate"/>
    </w:r>
    <w:r w:rsidR="009047E6" w:rsidRPr="009047E6">
      <w:rPr>
        <w:noProof/>
        <w:szCs w:val="22"/>
        <w:lang w:val="en-US"/>
      </w:rPr>
      <w:t>68</w:t>
    </w:r>
    <w:r w:rsidR="00E60A09" w:rsidRPr="00E95096">
      <w:rPr>
        <w:b w:val="0"/>
        <w:bCs/>
        <w:szCs w:val="22"/>
      </w:rPr>
      <w:fldChar w:fldCharType="end"/>
    </w:r>
    <w:r w:rsidR="00E60A09" w:rsidRPr="00E95096">
      <w:rPr>
        <w:bCs/>
        <w:szCs w:val="22"/>
      </w:rPr>
      <w:tab/>
    </w:r>
    <w:r w:rsidR="00E60A09" w:rsidRPr="00E60A09">
      <w:rPr>
        <w:b w:val="0"/>
        <w:bCs/>
        <w:szCs w:val="22"/>
      </w:rPr>
      <w:fldChar w:fldCharType="begin"/>
    </w:r>
    <w:r w:rsidR="00E60A09" w:rsidRPr="00E60A09">
      <w:rPr>
        <w:b w:val="0"/>
        <w:bCs/>
        <w:szCs w:val="22"/>
      </w:rPr>
      <w:instrText xml:space="preserve"> PAGE </w:instrText>
    </w:r>
    <w:r w:rsidR="00E60A09" w:rsidRPr="00E60A09">
      <w:rPr>
        <w:b w:val="0"/>
        <w:bCs/>
        <w:szCs w:val="22"/>
      </w:rPr>
      <w:fldChar w:fldCharType="separate"/>
    </w:r>
    <w:r w:rsidR="00E60A09" w:rsidRPr="00E60A09">
      <w:rPr>
        <w:b w:val="0"/>
        <w:bCs/>
        <w:szCs w:val="22"/>
      </w:rPr>
      <w:t>1</w:t>
    </w:r>
    <w:r w:rsidR="00E60A09" w:rsidRPr="00E60A09">
      <w:rPr>
        <w:b w:val="0"/>
        <w:bCs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0A8F7" w14:textId="77777777" w:rsidR="00647B88" w:rsidRDefault="00647B88">
      <w:r>
        <w:t>____________________</w:t>
      </w:r>
    </w:p>
  </w:footnote>
  <w:footnote w:type="continuationSeparator" w:id="0">
    <w:p w14:paraId="5D31EBFC" w14:textId="77777777" w:rsidR="00647B88" w:rsidRDefault="00647B88">
      <w:r>
        <w:continuationSeparator/>
      </w:r>
    </w:p>
  </w:footnote>
  <w:footnote w:id="1">
    <w:p w14:paraId="7C73C3E5" w14:textId="77777777" w:rsidR="00F435CC" w:rsidRPr="00FF7BD8" w:rsidRDefault="00F435CC" w:rsidP="00F435CC">
      <w:pPr>
        <w:pStyle w:val="FootnoteText"/>
        <w:rPr>
          <w:lang w:val="ru-RU"/>
        </w:rPr>
      </w:pPr>
      <w:r w:rsidRPr="00FF7BD8">
        <w:rPr>
          <w:rStyle w:val="FootnoteReference"/>
          <w:lang w:val="ru-RU"/>
        </w:rPr>
        <w:t>1</w:t>
      </w:r>
      <w:r w:rsidRPr="00FF7BD8">
        <w:rPr>
          <w:lang w:val="ru-RU"/>
        </w:rPr>
        <w:t xml:space="preserve"> </w:t>
      </w:r>
      <w:r w:rsidRPr="00FF7BD8">
        <w:rPr>
          <w:lang w:val="ru-RU"/>
        </w:rPr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 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93D13" w14:textId="77777777" w:rsidR="008B6349" w:rsidRDefault="008B63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5A60"/>
    <w:rsid w:val="00017B45"/>
    <w:rsid w:val="00023463"/>
    <w:rsid w:val="0002728D"/>
    <w:rsid w:val="0003503D"/>
    <w:rsid w:val="00060974"/>
    <w:rsid w:val="000B071B"/>
    <w:rsid w:val="000B47CD"/>
    <w:rsid w:val="000B5A36"/>
    <w:rsid w:val="000C22AE"/>
    <w:rsid w:val="000D378F"/>
    <w:rsid w:val="000D3CE4"/>
    <w:rsid w:val="000D5219"/>
    <w:rsid w:val="000D6DAE"/>
    <w:rsid w:val="000E4393"/>
    <w:rsid w:val="00117D80"/>
    <w:rsid w:val="001309FB"/>
    <w:rsid w:val="00151BAA"/>
    <w:rsid w:val="001762A1"/>
    <w:rsid w:val="001B4A76"/>
    <w:rsid w:val="001B5C6B"/>
    <w:rsid w:val="001C5240"/>
    <w:rsid w:val="001C604C"/>
    <w:rsid w:val="001D2EA6"/>
    <w:rsid w:val="001D71B9"/>
    <w:rsid w:val="001F3813"/>
    <w:rsid w:val="002178BA"/>
    <w:rsid w:val="002204D5"/>
    <w:rsid w:val="002210D5"/>
    <w:rsid w:val="00227040"/>
    <w:rsid w:val="00237B40"/>
    <w:rsid w:val="002462EF"/>
    <w:rsid w:val="00246C17"/>
    <w:rsid w:val="00264852"/>
    <w:rsid w:val="002742C3"/>
    <w:rsid w:val="00281FC7"/>
    <w:rsid w:val="002A60C5"/>
    <w:rsid w:val="002C182C"/>
    <w:rsid w:val="002D336F"/>
    <w:rsid w:val="002D5607"/>
    <w:rsid w:val="002E1B7B"/>
    <w:rsid w:val="002E6A20"/>
    <w:rsid w:val="00331B2F"/>
    <w:rsid w:val="003374BB"/>
    <w:rsid w:val="0034323C"/>
    <w:rsid w:val="0035222D"/>
    <w:rsid w:val="0038237B"/>
    <w:rsid w:val="003C3FD9"/>
    <w:rsid w:val="003D116F"/>
    <w:rsid w:val="003D7A8C"/>
    <w:rsid w:val="003F293E"/>
    <w:rsid w:val="00420F50"/>
    <w:rsid w:val="004568D2"/>
    <w:rsid w:val="004612A7"/>
    <w:rsid w:val="00462F6A"/>
    <w:rsid w:val="00467305"/>
    <w:rsid w:val="0048772A"/>
    <w:rsid w:val="004A58A4"/>
    <w:rsid w:val="004B7CB1"/>
    <w:rsid w:val="004E5019"/>
    <w:rsid w:val="004F2E56"/>
    <w:rsid w:val="00501F47"/>
    <w:rsid w:val="00504D1F"/>
    <w:rsid w:val="00524FB2"/>
    <w:rsid w:val="0053765D"/>
    <w:rsid w:val="00555B61"/>
    <w:rsid w:val="005569CA"/>
    <w:rsid w:val="00562EF2"/>
    <w:rsid w:val="00574CFF"/>
    <w:rsid w:val="005A4DB1"/>
    <w:rsid w:val="005D19E5"/>
    <w:rsid w:val="005D1D45"/>
    <w:rsid w:val="005D4393"/>
    <w:rsid w:val="00601999"/>
    <w:rsid w:val="00610D5F"/>
    <w:rsid w:val="00611CD0"/>
    <w:rsid w:val="00631549"/>
    <w:rsid w:val="006425B4"/>
    <w:rsid w:val="00647B88"/>
    <w:rsid w:val="00653C1B"/>
    <w:rsid w:val="006545B8"/>
    <w:rsid w:val="00665F6E"/>
    <w:rsid w:val="006678D7"/>
    <w:rsid w:val="006747A4"/>
    <w:rsid w:val="006824D9"/>
    <w:rsid w:val="00684F2B"/>
    <w:rsid w:val="00693D4F"/>
    <w:rsid w:val="00697D23"/>
    <w:rsid w:val="006B0459"/>
    <w:rsid w:val="006B5987"/>
    <w:rsid w:val="006E13C5"/>
    <w:rsid w:val="00706D36"/>
    <w:rsid w:val="00707551"/>
    <w:rsid w:val="007116DC"/>
    <w:rsid w:val="0071403C"/>
    <w:rsid w:val="00717E4B"/>
    <w:rsid w:val="00720F3C"/>
    <w:rsid w:val="00726747"/>
    <w:rsid w:val="0073220E"/>
    <w:rsid w:val="0074102F"/>
    <w:rsid w:val="007550BF"/>
    <w:rsid w:val="00780423"/>
    <w:rsid w:val="00781E25"/>
    <w:rsid w:val="007828CF"/>
    <w:rsid w:val="00783EB8"/>
    <w:rsid w:val="007958DD"/>
    <w:rsid w:val="007C00E3"/>
    <w:rsid w:val="007E0240"/>
    <w:rsid w:val="007F32A3"/>
    <w:rsid w:val="008075CD"/>
    <w:rsid w:val="00812A9F"/>
    <w:rsid w:val="00837339"/>
    <w:rsid w:val="00845E8E"/>
    <w:rsid w:val="00851E30"/>
    <w:rsid w:val="0088751E"/>
    <w:rsid w:val="008968B6"/>
    <w:rsid w:val="008B4CF6"/>
    <w:rsid w:val="008B6349"/>
    <w:rsid w:val="008C7FC3"/>
    <w:rsid w:val="008D6D8D"/>
    <w:rsid w:val="00901958"/>
    <w:rsid w:val="009047E6"/>
    <w:rsid w:val="009055E3"/>
    <w:rsid w:val="00905B41"/>
    <w:rsid w:val="00911DF9"/>
    <w:rsid w:val="00916468"/>
    <w:rsid w:val="0092650E"/>
    <w:rsid w:val="00931C08"/>
    <w:rsid w:val="00931EE1"/>
    <w:rsid w:val="009330E7"/>
    <w:rsid w:val="00934946"/>
    <w:rsid w:val="009423EF"/>
    <w:rsid w:val="0095090C"/>
    <w:rsid w:val="00971915"/>
    <w:rsid w:val="00974C0C"/>
    <w:rsid w:val="009755D7"/>
    <w:rsid w:val="009C2357"/>
    <w:rsid w:val="009D10A5"/>
    <w:rsid w:val="009D26AE"/>
    <w:rsid w:val="009D3A40"/>
    <w:rsid w:val="009D7132"/>
    <w:rsid w:val="009E1DCF"/>
    <w:rsid w:val="009F7009"/>
    <w:rsid w:val="00A01A91"/>
    <w:rsid w:val="00A24E9A"/>
    <w:rsid w:val="00A26B1A"/>
    <w:rsid w:val="00A3085D"/>
    <w:rsid w:val="00A4766C"/>
    <w:rsid w:val="00A65D98"/>
    <w:rsid w:val="00A83D3D"/>
    <w:rsid w:val="00AA1264"/>
    <w:rsid w:val="00AA2D89"/>
    <w:rsid w:val="00AC4AF1"/>
    <w:rsid w:val="00AE4C26"/>
    <w:rsid w:val="00B150A9"/>
    <w:rsid w:val="00B23929"/>
    <w:rsid w:val="00B241C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92804"/>
    <w:rsid w:val="00B9509A"/>
    <w:rsid w:val="00BA7AC5"/>
    <w:rsid w:val="00BB34EA"/>
    <w:rsid w:val="00BB587F"/>
    <w:rsid w:val="00BE58E6"/>
    <w:rsid w:val="00BF610E"/>
    <w:rsid w:val="00C12E70"/>
    <w:rsid w:val="00C32F69"/>
    <w:rsid w:val="00C42785"/>
    <w:rsid w:val="00C437DF"/>
    <w:rsid w:val="00C63087"/>
    <w:rsid w:val="00C64078"/>
    <w:rsid w:val="00C706FC"/>
    <w:rsid w:val="00C72AF4"/>
    <w:rsid w:val="00CB6046"/>
    <w:rsid w:val="00CD10C2"/>
    <w:rsid w:val="00CD3865"/>
    <w:rsid w:val="00CE767E"/>
    <w:rsid w:val="00CF024D"/>
    <w:rsid w:val="00D20887"/>
    <w:rsid w:val="00D26ECC"/>
    <w:rsid w:val="00D324F1"/>
    <w:rsid w:val="00D4292A"/>
    <w:rsid w:val="00D44731"/>
    <w:rsid w:val="00D457B6"/>
    <w:rsid w:val="00D50046"/>
    <w:rsid w:val="00D54881"/>
    <w:rsid w:val="00D66950"/>
    <w:rsid w:val="00D76D88"/>
    <w:rsid w:val="00D8497D"/>
    <w:rsid w:val="00D94D9E"/>
    <w:rsid w:val="00DA7D60"/>
    <w:rsid w:val="00DB2AF8"/>
    <w:rsid w:val="00DB5592"/>
    <w:rsid w:val="00DE48B4"/>
    <w:rsid w:val="00E03ABC"/>
    <w:rsid w:val="00E154E2"/>
    <w:rsid w:val="00E20918"/>
    <w:rsid w:val="00E300EC"/>
    <w:rsid w:val="00E51820"/>
    <w:rsid w:val="00E56BAB"/>
    <w:rsid w:val="00E60A09"/>
    <w:rsid w:val="00E67297"/>
    <w:rsid w:val="00E758D6"/>
    <w:rsid w:val="00E82452"/>
    <w:rsid w:val="00E83C1C"/>
    <w:rsid w:val="00E84CE6"/>
    <w:rsid w:val="00E96B11"/>
    <w:rsid w:val="00E96C27"/>
    <w:rsid w:val="00E976D9"/>
    <w:rsid w:val="00EA12A2"/>
    <w:rsid w:val="00EA2A26"/>
    <w:rsid w:val="00EB2388"/>
    <w:rsid w:val="00EB3556"/>
    <w:rsid w:val="00EE1126"/>
    <w:rsid w:val="00EE2FE2"/>
    <w:rsid w:val="00EE4B7A"/>
    <w:rsid w:val="00F0099E"/>
    <w:rsid w:val="00F12607"/>
    <w:rsid w:val="00F15F98"/>
    <w:rsid w:val="00F251B6"/>
    <w:rsid w:val="00F34748"/>
    <w:rsid w:val="00F4281C"/>
    <w:rsid w:val="00F435CC"/>
    <w:rsid w:val="00F4544A"/>
    <w:rsid w:val="00F576B9"/>
    <w:rsid w:val="00F67E96"/>
    <w:rsid w:val="00F9579B"/>
    <w:rsid w:val="00FA70B7"/>
    <w:rsid w:val="00FD23A9"/>
    <w:rsid w:val="00FD7F88"/>
    <w:rsid w:val="00FE715C"/>
    <w:rsid w:val="00FF0521"/>
    <w:rsid w:val="00FF2798"/>
    <w:rsid w:val="00FF638D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34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rsid w:val="00B3059C"/>
    <w:rPr>
      <w:position w:val="6"/>
      <w:sz w:val="16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link w:val="FootnoteText"/>
    <w:qFormat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qFormat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240"/>
      <w:ind w:left="794"/>
      <w:jc w:val="left"/>
    </w:pPr>
    <w:rPr>
      <w:i/>
    </w:rPr>
  </w:style>
  <w:style w:type="character" w:customStyle="1" w:styleId="CallChar">
    <w:name w:val="Call Char"/>
    <w:link w:val="Call"/>
    <w:rsid w:val="00E03ABC"/>
    <w:rPr>
      <w:i/>
      <w:sz w:val="22"/>
      <w:lang w:val="fr-FR" w:eastAsia="en-US" w:bidi="ar-SA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EB2388"/>
    <w:pPr>
      <w:tabs>
        <w:tab w:val="clear" w:pos="794"/>
        <w:tab w:val="clear" w:pos="1191"/>
        <w:tab w:val="clear" w:pos="1588"/>
        <w:tab w:val="clear" w:pos="1985"/>
      </w:tabs>
      <w:jc w:val="center"/>
      <w:outlineLvl w:val="0"/>
    </w:pPr>
    <w:rPr>
      <w:b w:val="0"/>
      <w:caps/>
      <w:sz w:val="26"/>
    </w:rPr>
  </w:style>
  <w:style w:type="paragraph" w:customStyle="1" w:styleId="Restitle">
    <w:name w:val="Res_title"/>
    <w:basedOn w:val="Rectitle"/>
    <w:next w:val="Resref"/>
    <w:link w:val="RestitleChar"/>
    <w:uiPriority w:val="99"/>
    <w:rsid w:val="00EB2388"/>
    <w:pPr>
      <w:outlineLvl w:val="0"/>
    </w:pPr>
    <w:rPr>
      <w:sz w:val="26"/>
    </w:rPr>
  </w:style>
  <w:style w:type="paragraph" w:customStyle="1" w:styleId="Resref">
    <w:name w:val="Res_ref"/>
    <w:basedOn w:val="Recref"/>
    <w:next w:val="Resdate"/>
    <w:uiPriority w:val="99"/>
    <w:qFormat/>
  </w:style>
  <w:style w:type="character" w:customStyle="1" w:styleId="RestitleChar">
    <w:name w:val="Res_title Char"/>
    <w:link w:val="Restitle"/>
    <w:uiPriority w:val="99"/>
    <w:rsid w:val="00EB2388"/>
    <w:rPr>
      <w:rFonts w:ascii="Times New Roman" w:hAnsi="Times New Roman"/>
      <w:b/>
      <w:sz w:val="26"/>
      <w:lang w:val="fr-FR" w:eastAsia="en-US"/>
    </w:rPr>
  </w:style>
  <w:style w:type="character" w:customStyle="1" w:styleId="ResNoChar">
    <w:name w:val="Res_No Char"/>
    <w:link w:val="ResNo"/>
    <w:rsid w:val="00EB2388"/>
    <w:rPr>
      <w:rFonts w:ascii="Times New Roman" w:hAnsi="Times New Roman"/>
      <w:caps/>
      <w:sz w:val="26"/>
      <w:lang w:val="fr-FR" w:eastAsia="en-US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ind w:left="1132"/>
      <w:jc w:val="left"/>
    </w:pPr>
    <w:rPr>
      <w:sz w:val="24"/>
      <w:lang w:val="en-GB"/>
    </w:rPr>
  </w:style>
  <w:style w:type="paragraph" w:styleId="Index4">
    <w:name w:val="index 4"/>
    <w:basedOn w:val="Normal"/>
    <w:next w:val="Normal"/>
    <w:semiHidden/>
    <w:pPr>
      <w:ind w:left="849"/>
      <w:jc w:val="left"/>
    </w:pPr>
    <w:rPr>
      <w:sz w:val="24"/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  <w:rPr>
      <w:sz w:val="24"/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/>
      <w:jc w:val="center"/>
    </w:pPr>
    <w:rPr>
      <w:b/>
      <w:sz w:val="24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4A58A4"/>
    <w:pPr>
      <w:spacing w:before="280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C437DF"/>
    <w:pPr>
      <w:keepNext/>
      <w:keepLines/>
      <w:spacing w:before="480" w:after="80"/>
      <w:jc w:val="center"/>
    </w:pPr>
    <w:rPr>
      <w:caps/>
      <w:sz w:val="26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ind w:left="566" w:hanging="283"/>
    </w:pPr>
    <w:rPr>
      <w:sz w:val="24"/>
    </w:r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/>
      <w:jc w:val="center"/>
    </w:pPr>
    <w:rPr>
      <w:caps/>
      <w:sz w:val="24"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/>
      <w:jc w:val="center"/>
    </w:pPr>
    <w:rPr>
      <w:rFonts w:ascii="Times New Roman Bold" w:hAnsi="Times New Roman Bold"/>
      <w:b/>
      <w:sz w:val="24"/>
      <w:lang w:val="en-GB"/>
    </w:rPr>
  </w:style>
  <w:style w:type="paragraph" w:customStyle="1" w:styleId="AppendixNo">
    <w:name w:val="Appendix_No"/>
    <w:basedOn w:val="Normal"/>
    <w:next w:val="Normal"/>
    <w:rsid w:val="00C437DF"/>
    <w:pPr>
      <w:keepNext/>
      <w:keepLines/>
      <w:spacing w:before="480" w:after="80"/>
      <w:jc w:val="center"/>
    </w:pPr>
    <w:rPr>
      <w:caps/>
      <w:sz w:val="26"/>
      <w:lang w:val="en-GB"/>
    </w:rPr>
  </w:style>
  <w:style w:type="paragraph" w:customStyle="1" w:styleId="Appendixtitle">
    <w:name w:val="Appendix_title"/>
    <w:basedOn w:val="Normal"/>
    <w:next w:val="Normal"/>
    <w:rsid w:val="00C437DF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character" w:styleId="Strong">
    <w:name w:val="Strong"/>
    <w:basedOn w:val="DefaultParagraphFont"/>
    <w:uiPriority w:val="22"/>
    <w:qFormat/>
    <w:rsid w:val="002D336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9E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D19E5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D19E5"/>
    <w:rPr>
      <w:rFonts w:ascii="Times New Roman" w:hAnsi="Times New Roman"/>
      <w:b/>
      <w:bCs/>
      <w:lang w:val="fr-FR" w:eastAsia="en-US"/>
    </w:rPr>
  </w:style>
  <w:style w:type="paragraph" w:customStyle="1" w:styleId="Reasons">
    <w:name w:val="Reasons"/>
    <w:basedOn w:val="Normal"/>
    <w:uiPriority w:val="99"/>
    <w:rsid w:val="008B6349"/>
    <w:pPr>
      <w:tabs>
        <w:tab w:val="clear" w:pos="794"/>
        <w:tab w:val="clear" w:pos="1191"/>
        <w:tab w:val="left" w:pos="1134"/>
      </w:tabs>
      <w:jc w:val="left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dyeva\AppData\Roaming\Microsoft\Templates\TSB%20PUB\T-REC-FINAL-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T-REC-FINAL-R.dotm</Template>
  <TotalTime>61</TotalTime>
  <Pages>6</Pages>
  <Words>1407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РЕЗОЛЮЦИЯ 68 (Пересм. Нью-Дели, 2024 г.) Возрастающая роль отраслевых организаций в Секторе стандартизации электросвязи МСЭ</vt:lpstr>
    </vt:vector>
  </TitlesOfParts>
  <Company>ITU</Company>
  <LinksUpToDate>false</LinksUpToDate>
  <CharactersWithSpaces>11162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 68 (Пересм. Нью-Дели, 2024 г.) Возрастающая роль отраслевых организаций в Секторе стандартизации электросвязи МСЭ</dc:title>
  <dc:subject>WORLD TELECOMMUNICATION STANDARDIZATION ASSEMBLY - Florianópolis, 5-14 October 2004</dc:subject>
  <dc:creator>ITU-T</dc:creator>
  <cp:keywords/>
  <dc:description/>
  <cp:lastModifiedBy>Berdyeva, Elena</cp:lastModifiedBy>
  <cp:revision>41</cp:revision>
  <cp:lastPrinted>2024-11-26T15:37:00Z</cp:lastPrinted>
  <dcterms:created xsi:type="dcterms:W3CDTF">2024-09-24T12:18:00Z</dcterms:created>
  <dcterms:modified xsi:type="dcterms:W3CDTF">2024-11-26T15:38:00Z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