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F74E54">
        <w:trPr>
          <w:trHeight w:hRule="exact" w:val="1418"/>
        </w:trPr>
        <w:tc>
          <w:tcPr>
            <w:tcW w:w="1428" w:type="dxa"/>
            <w:gridSpan w:val="2"/>
          </w:tcPr>
          <w:p w:rsidR="009663D2" w:rsidRPr="00F74E54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F74E54">
              <w:rPr>
                <w:sz w:val="20"/>
                <w:lang w:val="ru-RU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F74E54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74E54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F74E54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F74E54">
        <w:trPr>
          <w:trHeight w:hRule="exact" w:val="992"/>
        </w:trPr>
        <w:tc>
          <w:tcPr>
            <w:tcW w:w="1428" w:type="dxa"/>
            <w:gridSpan w:val="2"/>
          </w:tcPr>
          <w:p w:rsidR="009663D2" w:rsidRPr="00F74E54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74E54" w:rsidRDefault="009663D2">
            <w:pPr>
              <w:rPr>
                <w:lang w:val="ru-RU"/>
              </w:rPr>
            </w:pPr>
          </w:p>
        </w:tc>
      </w:tr>
      <w:tr w:rsidR="009663D2" w:rsidRPr="00F74E54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F74E54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F74E54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F74E54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74E54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F74E54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F74E54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F74E54">
              <w:rPr>
                <w:rFonts w:ascii="Arial" w:hAnsi="Arial" w:cs="Arial"/>
                <w:sz w:val="20"/>
                <w:lang w:val="ru-RU"/>
              </w:rPr>
              <w:br/>
            </w:r>
            <w:r w:rsidRPr="00F74E54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F74E54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74E54">
        <w:trPr>
          <w:cantSplit/>
          <w:trHeight w:hRule="exact" w:val="3402"/>
        </w:trPr>
        <w:tc>
          <w:tcPr>
            <w:tcW w:w="1418" w:type="dxa"/>
          </w:tcPr>
          <w:p w:rsidR="009663D2" w:rsidRPr="00F74E5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F74E54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F74E54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F74E54">
              <w:rPr>
                <w:rFonts w:ascii="Arial" w:hAnsi="Arial"/>
                <w:sz w:val="32"/>
                <w:lang w:val="ru-RU"/>
              </w:rPr>
              <w:br/>
            </w:r>
            <w:r w:rsidR="007D2D13" w:rsidRPr="00F74E54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F74E54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F74E54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F74E54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F74E54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F74E54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F74E54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F74E54">
        <w:trPr>
          <w:cantSplit/>
          <w:trHeight w:hRule="exact" w:val="4536"/>
        </w:trPr>
        <w:tc>
          <w:tcPr>
            <w:tcW w:w="1418" w:type="dxa"/>
          </w:tcPr>
          <w:p w:rsidR="009663D2" w:rsidRPr="00F74E5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F74E54" w:rsidRDefault="009663D2" w:rsidP="00F74E54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F74E54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74E54" w:rsidRPr="00F74E54">
              <w:rPr>
                <w:rFonts w:ascii="Arial" w:hAnsi="Arial"/>
                <w:bCs/>
                <w:sz w:val="36"/>
                <w:lang w:val="ru-RU"/>
              </w:rPr>
              <w:t>68</w:t>
            </w:r>
            <w:r w:rsidR="001520B4" w:rsidRPr="00F74E54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800"/>
            <w:r w:rsidR="00F74E54" w:rsidRPr="00F74E54">
              <w:rPr>
                <w:rFonts w:ascii="Arial" w:hAnsi="Arial"/>
                <w:bCs/>
                <w:sz w:val="36"/>
                <w:lang w:val="ru-RU"/>
              </w:rPr>
              <w:t xml:space="preserve">Возрастающая роль </w:t>
            </w:r>
            <w:bookmarkEnd w:id="5"/>
            <w:r w:rsidR="00F74E54" w:rsidRPr="00F74E54">
              <w:rPr>
                <w:rFonts w:ascii="Arial" w:hAnsi="Arial"/>
                <w:bCs/>
                <w:sz w:val="36"/>
                <w:lang w:val="ru-RU"/>
              </w:rPr>
              <w:t>отраслевых организаций в Секторе стандартизации электросвязи МСЭ</w:t>
            </w:r>
          </w:p>
          <w:p w:rsidR="009663D2" w:rsidRPr="00F74E54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F74E54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F74E54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F74E54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F74E54">
              <w:rPr>
                <w:lang w:val="ru-RU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F74E54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74E54" w:rsidRDefault="00B31B8D" w:rsidP="00AF663A">
      <w:pPr>
        <w:rPr>
          <w:lang w:val="ru-RU"/>
        </w:rPr>
        <w:sectPr w:rsidR="00B31B8D" w:rsidRPr="00F74E54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F74E54" w:rsidRDefault="00AF663A" w:rsidP="00B31B8D">
      <w:pPr>
        <w:jc w:val="center"/>
        <w:rPr>
          <w:lang w:val="ru-RU"/>
        </w:rPr>
      </w:pPr>
      <w:r w:rsidRPr="00F74E54">
        <w:rPr>
          <w:lang w:val="ru-RU"/>
        </w:rPr>
        <w:lastRenderedPageBreak/>
        <w:t>ПРЕДИСЛОВИЕ</w:t>
      </w:r>
    </w:p>
    <w:p w:rsidR="00154CC6" w:rsidRPr="00F74E54" w:rsidRDefault="00154CC6" w:rsidP="00154CC6">
      <w:pPr>
        <w:rPr>
          <w:sz w:val="20"/>
          <w:lang w:val="ru-RU"/>
        </w:rPr>
      </w:pPr>
      <w:bookmarkStart w:id="10" w:name="iitextf"/>
      <w:r w:rsidRPr="00F74E54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74E54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F74E54" w:rsidRDefault="00154CC6" w:rsidP="00154CC6">
      <w:pPr>
        <w:rPr>
          <w:sz w:val="20"/>
          <w:lang w:val="ru-RU"/>
        </w:rPr>
      </w:pPr>
      <w:r w:rsidRPr="00F74E54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F74E54" w:rsidRDefault="00154CC6" w:rsidP="00154CC6">
      <w:pPr>
        <w:rPr>
          <w:sz w:val="20"/>
          <w:lang w:val="ru-RU"/>
        </w:rPr>
      </w:pPr>
      <w:r w:rsidRPr="00F74E54">
        <w:rPr>
          <w:sz w:val="20"/>
          <w:lang w:val="ru-RU"/>
        </w:rPr>
        <w:t xml:space="preserve">Утверждение </w:t>
      </w:r>
      <w:r w:rsidRPr="00F74E54">
        <w:rPr>
          <w:caps/>
          <w:sz w:val="20"/>
          <w:lang w:val="ru-RU"/>
        </w:rPr>
        <w:t>р</w:t>
      </w:r>
      <w:r w:rsidRPr="00F74E54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F74E54">
        <w:rPr>
          <w:sz w:val="20"/>
          <w:lang w:val="ru-RU"/>
        </w:rPr>
        <w:t>.</w:t>
      </w:r>
    </w:p>
    <w:p w:rsidR="00154CC6" w:rsidRPr="00F74E54" w:rsidRDefault="00154CC6" w:rsidP="00154CC6">
      <w:pPr>
        <w:rPr>
          <w:lang w:val="ru-RU"/>
        </w:rPr>
      </w:pPr>
      <w:r w:rsidRPr="00F74E54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AF663A" w:rsidRPr="00F74E54" w:rsidRDefault="00AF663A" w:rsidP="00AF663A">
      <w:pPr>
        <w:rPr>
          <w:lang w:val="ru-RU"/>
        </w:rPr>
      </w:pPr>
    </w:p>
    <w:p w:rsidR="008357E6" w:rsidRPr="00F74E54" w:rsidRDefault="008357E6" w:rsidP="00AF663A">
      <w:pPr>
        <w:rPr>
          <w:lang w:val="ru-RU"/>
        </w:rPr>
      </w:pPr>
    </w:p>
    <w:p w:rsidR="008357E6" w:rsidRPr="00F74E54" w:rsidRDefault="008357E6" w:rsidP="00AF663A">
      <w:pPr>
        <w:rPr>
          <w:lang w:val="ru-RU"/>
        </w:rPr>
      </w:pPr>
    </w:p>
    <w:p w:rsidR="008357E6" w:rsidRPr="00F74E54" w:rsidRDefault="008357E6" w:rsidP="00AF663A">
      <w:pPr>
        <w:rPr>
          <w:lang w:val="ru-RU"/>
        </w:rPr>
      </w:pPr>
    </w:p>
    <w:p w:rsidR="00AF663A" w:rsidRPr="00F74E54" w:rsidRDefault="00AF663A" w:rsidP="007D2D13">
      <w:pPr>
        <w:jc w:val="center"/>
        <w:rPr>
          <w:sz w:val="20"/>
          <w:lang w:val="ru-RU"/>
        </w:rPr>
      </w:pPr>
      <w:r w:rsidRPr="00F74E54">
        <w:rPr>
          <w:sz w:val="20"/>
          <w:lang w:val="ru-RU"/>
        </w:rPr>
        <w:sym w:font="Symbol" w:char="F0E3"/>
      </w:r>
      <w:r w:rsidRPr="00F74E54">
        <w:rPr>
          <w:sz w:val="20"/>
          <w:lang w:val="ru-RU"/>
        </w:rPr>
        <w:t>  ITU  </w:t>
      </w:r>
      <w:bookmarkStart w:id="11" w:name="iiannee"/>
      <w:bookmarkEnd w:id="11"/>
      <w:r w:rsidRPr="00F74E54">
        <w:rPr>
          <w:sz w:val="20"/>
          <w:lang w:val="ru-RU"/>
        </w:rPr>
        <w:t>20</w:t>
      </w:r>
      <w:r w:rsidR="0054644C" w:rsidRPr="00F74E54">
        <w:rPr>
          <w:sz w:val="20"/>
          <w:lang w:val="ru-RU"/>
        </w:rPr>
        <w:t>1</w:t>
      </w:r>
      <w:r w:rsidR="007D2D13" w:rsidRPr="00F74E54">
        <w:rPr>
          <w:sz w:val="20"/>
          <w:lang w:val="ru-RU"/>
        </w:rPr>
        <w:t>6</w:t>
      </w:r>
    </w:p>
    <w:p w:rsidR="00AF663A" w:rsidRPr="00F74E54" w:rsidRDefault="00154CC6" w:rsidP="00F90058">
      <w:pPr>
        <w:rPr>
          <w:sz w:val="20"/>
          <w:lang w:val="ru-RU"/>
        </w:rPr>
      </w:pPr>
      <w:r w:rsidRPr="00F74E54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74E54" w:rsidRDefault="00A81FB2" w:rsidP="0042255F">
      <w:pPr>
        <w:rPr>
          <w:sz w:val="20"/>
          <w:lang w:val="ru-RU"/>
        </w:rPr>
      </w:pPr>
    </w:p>
    <w:p w:rsidR="00AF663A" w:rsidRPr="00F74E54" w:rsidRDefault="00AF663A" w:rsidP="00AF663A">
      <w:pPr>
        <w:rPr>
          <w:lang w:val="ru-RU"/>
        </w:rPr>
        <w:sectPr w:rsidR="00AF663A" w:rsidRPr="00F74E54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F74E54" w:rsidRDefault="0042255F" w:rsidP="00F74E54">
      <w:pPr>
        <w:pStyle w:val="ResNo"/>
        <w:rPr>
          <w:lang w:val="ru-RU"/>
        </w:rPr>
      </w:pPr>
      <w:r w:rsidRPr="00F74E54">
        <w:rPr>
          <w:lang w:val="ru-RU"/>
        </w:rPr>
        <w:lastRenderedPageBreak/>
        <w:t xml:space="preserve">РЕЗОЛЮЦИя </w:t>
      </w:r>
      <w:r w:rsidR="00F74E54" w:rsidRPr="00F74E54">
        <w:rPr>
          <w:rStyle w:val="href"/>
          <w:lang w:val="ru-RU"/>
        </w:rPr>
        <w:t>68</w:t>
      </w:r>
      <w:r w:rsidR="006632C9" w:rsidRPr="00F74E54">
        <w:rPr>
          <w:rStyle w:val="href"/>
          <w:lang w:val="ru-RU"/>
        </w:rPr>
        <w:t xml:space="preserve"> </w:t>
      </w:r>
      <w:r w:rsidR="001520B4" w:rsidRPr="00F74E54">
        <w:rPr>
          <w:rStyle w:val="href"/>
          <w:lang w:val="ru-RU"/>
        </w:rPr>
        <w:t xml:space="preserve"> </w:t>
      </w:r>
      <w:r w:rsidR="001520B4" w:rsidRPr="00F74E54">
        <w:rPr>
          <w:lang w:val="ru-RU"/>
        </w:rPr>
        <w:t>(</w:t>
      </w:r>
      <w:r w:rsidR="00F061C5" w:rsidRPr="00F74E54">
        <w:rPr>
          <w:caps w:val="0"/>
          <w:lang w:val="ru-RU"/>
        </w:rPr>
        <w:t>Пересм</w:t>
      </w:r>
      <w:r w:rsidR="00F061C5" w:rsidRPr="00F74E54">
        <w:rPr>
          <w:lang w:val="ru-RU"/>
        </w:rPr>
        <w:t xml:space="preserve">. </w:t>
      </w:r>
      <w:r w:rsidR="00A63402" w:rsidRPr="00F74E54">
        <w:rPr>
          <w:caps w:val="0"/>
          <w:lang w:val="ru-RU"/>
        </w:rPr>
        <w:t>Хаммамет</w:t>
      </w:r>
      <w:r w:rsidR="001520B4" w:rsidRPr="00F74E54">
        <w:rPr>
          <w:lang w:val="ru-RU"/>
        </w:rPr>
        <w:t xml:space="preserve">, 2016 </w:t>
      </w:r>
      <w:r w:rsidR="001520B4" w:rsidRPr="00F74E54">
        <w:rPr>
          <w:caps w:val="0"/>
          <w:lang w:val="ru-RU"/>
        </w:rPr>
        <w:t>г</w:t>
      </w:r>
      <w:r w:rsidR="001520B4" w:rsidRPr="00F74E54">
        <w:rPr>
          <w:lang w:val="ru-RU"/>
        </w:rPr>
        <w:t>.)</w:t>
      </w:r>
    </w:p>
    <w:p w:rsidR="00F74E54" w:rsidRPr="00F74E54" w:rsidRDefault="00F74E54" w:rsidP="00F74E54">
      <w:pPr>
        <w:pStyle w:val="Restitle"/>
        <w:rPr>
          <w:lang w:val="ru-RU"/>
        </w:rPr>
      </w:pPr>
      <w:r w:rsidRPr="00F74E54">
        <w:rPr>
          <w:lang w:val="ru-RU"/>
        </w:rPr>
        <w:t>Возрастающая роль отраслевых организаций в Секторе стандартизации электросвязи МСЭ</w:t>
      </w:r>
    </w:p>
    <w:p w:rsidR="00F74E54" w:rsidRPr="00F74E54" w:rsidRDefault="00F74E54" w:rsidP="00F74E54">
      <w:pPr>
        <w:pStyle w:val="Resref"/>
        <w:rPr>
          <w:lang w:val="ru-RU"/>
        </w:rPr>
      </w:pPr>
      <w:r w:rsidRPr="00F74E54">
        <w:rPr>
          <w:lang w:val="ru-RU"/>
        </w:rPr>
        <w:t>(Йоханнесбург, 2008 г.; Дубай, 2012 г.; Хаммамет, 2016 г.)</w:t>
      </w:r>
    </w:p>
    <w:p w:rsidR="00F74E54" w:rsidRPr="00F74E54" w:rsidRDefault="00F74E54" w:rsidP="00F74E54">
      <w:pPr>
        <w:pStyle w:val="Normalaftertitle"/>
        <w:rPr>
          <w:lang w:val="ru-RU"/>
        </w:rPr>
      </w:pPr>
      <w:r w:rsidRPr="00F74E54">
        <w:rPr>
          <w:lang w:val="ru-RU"/>
        </w:rPr>
        <w:t>Всемирная ассамблея по стандартизации электросвязи (Хаммамет, 2016 г.),</w:t>
      </w:r>
    </w:p>
    <w:p w:rsidR="00F74E54" w:rsidRPr="00F74E54" w:rsidRDefault="00F74E54" w:rsidP="00F74E54">
      <w:pPr>
        <w:pStyle w:val="Call"/>
        <w:rPr>
          <w:lang w:val="ru-RU"/>
        </w:rPr>
      </w:pPr>
      <w:r w:rsidRPr="00F74E54">
        <w:rPr>
          <w:lang w:val="ru-RU"/>
        </w:rPr>
        <w:t>признавая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/>
        </w:rPr>
        <w:t>a)</w:t>
      </w:r>
      <w:r w:rsidRPr="00F74E54">
        <w:rPr>
          <w:lang w:val="ru-RU"/>
        </w:rPr>
        <w:tab/>
      </w:r>
      <w:r w:rsidRPr="00F74E54">
        <w:rPr>
          <w:lang w:val="ru-RU"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F74E54">
        <w:rPr>
          <w:lang w:val="ru-RU"/>
        </w:rPr>
        <w:t>Глобальный симпозиум по стандартам</w:t>
      </w:r>
      <w:r w:rsidRPr="00F74E54">
        <w:rPr>
          <w:lang w:val="ru-RU" w:eastAsia="en-AU"/>
        </w:rPr>
        <w:t xml:space="preserve"> (ГСС);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b)</w:t>
      </w:r>
      <w:r w:rsidRPr="00F74E54">
        <w:rPr>
          <w:lang w:val="ru-RU" w:eastAsia="en-AU"/>
        </w:rPr>
        <w:tab/>
        <w:t>цель Резолюции 123 (Пересм. Пусан, 2014 г.) Полномочной конференции о преодолении разрыва в стандартизации между развивающимися</w:t>
      </w:r>
      <w:r w:rsidRPr="00F74E54">
        <w:rPr>
          <w:rStyle w:val="FootnoteReference"/>
          <w:lang w:val="ru-RU"/>
        </w:rPr>
        <w:footnoteReference w:customMarkFollows="1" w:id="1"/>
        <w:t>1</w:t>
      </w:r>
      <w:r w:rsidRPr="00F74E54">
        <w:rPr>
          <w:lang w:val="ru-RU" w:eastAsia="en-AU"/>
        </w:rPr>
        <w:t xml:space="preserve"> и развитыми странами;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c)</w:t>
      </w:r>
      <w:r w:rsidRPr="00F74E54">
        <w:rPr>
          <w:lang w:val="ru-RU" w:eastAsia="en-AU"/>
        </w:rPr>
        <w:tab/>
        <w:t>тот факт, что Сектор стандартизации электросвязи МСЭ (МСЭ-T) является уникальной международной организацией по стандартизации, включающей 193 Государства-Члена и более 520 Членов Сектора, Ассоциированных членов и Академ</w:t>
      </w:r>
      <w:bookmarkStart w:id="12" w:name="_GoBack"/>
      <w:bookmarkEnd w:id="12"/>
      <w:r w:rsidRPr="00F74E54">
        <w:rPr>
          <w:lang w:val="ru-RU" w:eastAsia="en-AU"/>
        </w:rPr>
        <w:t>ические организации со всего мира;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d)</w:t>
      </w:r>
      <w:r w:rsidRPr="00F74E54">
        <w:rPr>
          <w:lang w:val="ru-RU" w:eastAsia="en-AU"/>
        </w:rPr>
        <w:tab/>
        <w:t>важные итоги ГСС (Дубай, 2012 г.), учитывающие две вышеупомянутые резолюции, в частности:</w:t>
      </w:r>
    </w:p>
    <w:p w:rsidR="00F74E54" w:rsidRPr="00F74E54" w:rsidRDefault="00F74E54" w:rsidP="00F74E54">
      <w:pPr>
        <w:pStyle w:val="enumlev1"/>
        <w:rPr>
          <w:lang w:val="ru-RU" w:eastAsia="en-AU"/>
        </w:rPr>
      </w:pPr>
      <w:r w:rsidRPr="00F74E54">
        <w:rPr>
          <w:lang w:val="ru-RU" w:eastAsia="en-AU"/>
        </w:rPr>
        <w:t>–</w:t>
      </w:r>
      <w:r w:rsidRPr="00F74E54">
        <w:rPr>
          <w:lang w:val="ru-RU" w:eastAsia="en-AU"/>
        </w:rPr>
        <w:tab/>
        <w: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t>
      </w:r>
    </w:p>
    <w:p w:rsidR="00F74E54" w:rsidRPr="00F74E54" w:rsidRDefault="00F74E54" w:rsidP="00F74E54">
      <w:pPr>
        <w:pStyle w:val="enumlev1"/>
        <w:rPr>
          <w:lang w:val="ru-RU"/>
        </w:rPr>
      </w:pPr>
      <w:r w:rsidRPr="00F74E54">
        <w:rPr>
          <w:lang w:val="ru-RU"/>
        </w:rPr>
        <w:t>–</w:t>
      </w:r>
      <w:r w:rsidRPr="00F74E54">
        <w:rPr>
          <w:lang w:val="ru-RU"/>
        </w:rPr>
        <w:tab/>
        <w: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i/>
          <w:iCs/>
          <w:lang w:val="ru-RU"/>
        </w:rPr>
        <w:t>e)</w:t>
      </w:r>
      <w:r w:rsidRPr="00F74E54">
        <w:rPr>
          <w:lang w:val="ru-RU"/>
        </w:rPr>
        <w:tab/>
        <w:t>что с 2009 года Директор Бюро стандартизации электросвязи (БСЭ) организовал шесть собраний руководителей высокого уровня из частного сектора для обсуждения ситуации в области стандартизации, определяя и координируя приоритеты стандартизации и способы оптимального удовлетворения потребностей частного сектора;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i/>
          <w:iCs/>
          <w:lang w:val="ru-RU"/>
        </w:rPr>
        <w:t>f)</w:t>
      </w:r>
      <w:r w:rsidRPr="00F74E54">
        <w:rPr>
          <w:lang w:val="ru-RU"/>
        </w:rPr>
        <w:tab/>
        <w:t>что выводы собраний главных директоров по технологиям (СТО) отражались в официальных коммюнике МСЭ-Т и в надлежащих случаях были приняты во внимание Консультативной группой по стандартизации электросвязи (КГСЭ),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br w:type="page"/>
      </w:r>
    </w:p>
    <w:p w:rsidR="00F74E54" w:rsidRPr="00F74E54" w:rsidRDefault="00F74E54" w:rsidP="00F74E54">
      <w:pPr>
        <w:pStyle w:val="Call"/>
        <w:rPr>
          <w:lang w:val="ru-RU"/>
        </w:rPr>
      </w:pPr>
      <w:r w:rsidRPr="00F74E54">
        <w:rPr>
          <w:lang w:val="ru-RU"/>
        </w:rPr>
        <w:lastRenderedPageBreak/>
        <w:t>учитывая</w:t>
      </w:r>
      <w:r w:rsidRPr="00F74E54">
        <w:rPr>
          <w:i w:val="0"/>
          <w:iCs/>
          <w:lang w:val="ru-RU"/>
        </w:rPr>
        <w:t>,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a)</w:t>
      </w:r>
      <w:r w:rsidRPr="00F74E54">
        <w:rPr>
          <w:lang w:val="ru-RU" w:eastAsia="en-AU"/>
        </w:rPr>
        <w:tab/>
        <w:t>что развивающиеся страны участвуют фактически только в деятельности по стандартизации, проводимой в рамках МСЭ-T, и могут не иметь возможности участия в деятельности становящихся все более раздробленными международных и/или региональных организаций по разработке стандартов (ОРС), а также отраслевых форумов и консорциумов, или возможности присутствия на их собраниях;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b)</w:t>
      </w:r>
      <w:r w:rsidRPr="00F74E54">
        <w:rPr>
          <w:lang w:val="ru-RU" w:eastAsia="en-AU"/>
        </w:rPr>
        <w:tab/>
        <w:t>что МСЭ-T должен и далее усиливать свою роль и развиваться, как того требует Резолюция 122 (Пересм. Гвадалахара, 2010 г.), и регулярно проводить собрания руководителей предприятий частного сектора, по типу ГСС, но только для представителей частного сектора, с целью усиления роли МСЭ-Т путем принятия соответствующих мер для реагирования на нужды этих руководителей в отношении выявленных ими потребностей и приоритетов в деятельности по разработке стандартов в рамках МСЭ-Т с учетом также потребностей и проблем развивающихся стран;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/>
        </w:rPr>
        <w:t>c)</w:t>
      </w:r>
      <w:r w:rsidRPr="00F74E54">
        <w:rPr>
          <w:sz w:val="24"/>
          <w:lang w:val="ru-RU"/>
        </w:rPr>
        <w:tab/>
      </w:r>
      <w:r w:rsidRPr="00F74E54">
        <w:rPr>
          <w:lang w:val="ru-RU"/>
        </w:rPr>
        <w:t>что МСЭ-T должен также поощрять сотрудничество с другими соответствующими ОРС,</w:t>
      </w:r>
    </w:p>
    <w:p w:rsidR="00F74E54" w:rsidRPr="00F74E54" w:rsidRDefault="00F74E54" w:rsidP="00F74E54">
      <w:pPr>
        <w:pStyle w:val="Call"/>
        <w:keepNext w:val="0"/>
        <w:keepLines w:val="0"/>
        <w:rPr>
          <w:lang w:val="ru-RU"/>
        </w:rPr>
      </w:pPr>
      <w:r w:rsidRPr="00F74E54">
        <w:rPr>
          <w:lang w:val="ru-RU"/>
        </w:rPr>
        <w:t>отмечая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a)</w:t>
      </w:r>
      <w:r w:rsidRPr="00F74E54">
        <w:rPr>
          <w:lang w:val="ru-RU" w:eastAsia="en-AU"/>
        </w:rPr>
        <w:tab/>
        <w:t>что процесс разработки стандартов в МСЭ-Т должен соответствующим образом реагировать на потребности отрасли информационно-коммуникационных технологий на основе координации, с тем чтобы поощрять участие представителей отрасли в МСЭ-Т;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i/>
          <w:iCs/>
          <w:lang w:val="ru-RU"/>
        </w:rPr>
        <w:t>b)</w:t>
      </w:r>
      <w:r w:rsidRPr="00F74E54">
        <w:rPr>
          <w:lang w:val="ru-RU"/>
        </w:rPr>
        <w:tab/>
        <w:t>что существенная часть работы по разработке технических стандартов (Рекомендаций МСЭ-Т) выполняется представителями отрасли;</w:t>
      </w:r>
    </w:p>
    <w:p w:rsidR="00F74E54" w:rsidRPr="00F74E54" w:rsidRDefault="00F74E54" w:rsidP="00F74E54">
      <w:pPr>
        <w:rPr>
          <w:lang w:val="ru-RU" w:eastAsia="en-AU"/>
        </w:rPr>
      </w:pPr>
      <w:r w:rsidRPr="00F74E54">
        <w:rPr>
          <w:i/>
          <w:iCs/>
          <w:lang w:val="ru-RU" w:eastAsia="en-AU"/>
        </w:rPr>
        <w:t>с)</w:t>
      </w:r>
      <w:r w:rsidRPr="00F74E54">
        <w:rPr>
          <w:lang w:val="ru-RU" w:eastAsia="en-AU"/>
        </w:rPr>
        <w:tab/>
        <w:t>что Рекомендации, предложенные в ответ на эти согласованные потребности, повысят авторитет МСЭ-Т и будут отвечать потребностям стран путем внедрения оптимальных технических решений и ограничении быстрого увеличения числа этих решений, что также принесет экономические выгоды развивающимся странам;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i/>
          <w:iCs/>
          <w:lang w:val="ru-RU"/>
        </w:rPr>
        <w:t>d)</w:t>
      </w:r>
      <w:r w:rsidRPr="00F74E54">
        <w:rPr>
          <w:lang w:val="ru-RU"/>
        </w:rPr>
        <w:tab/>
        <w:t>что КГСЭ признала необходимость стратегической функции в МСЭ-Т и высокую потребность во вкладе отрасли в стратегию;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i/>
          <w:iCs/>
          <w:lang w:val="ru-RU"/>
        </w:rPr>
        <w:t>e)</w:t>
      </w:r>
      <w:r w:rsidRPr="00F74E54">
        <w:rPr>
          <w:lang w:val="ru-RU"/>
        </w:rPr>
        <w:tab/>
        <w:t>что БСЭ также организует собрания CxO (собрания руководителей)</w:t>
      </w:r>
      <w:r w:rsidRPr="00F74E54">
        <w:rPr>
          <w:lang w:val="ru-RU" w:eastAsia="en-AU"/>
        </w:rPr>
        <w:t>,</w:t>
      </w:r>
    </w:p>
    <w:p w:rsidR="00F74E54" w:rsidRPr="00F74E54" w:rsidRDefault="00F74E54" w:rsidP="00F74E54">
      <w:pPr>
        <w:pStyle w:val="Call"/>
        <w:rPr>
          <w:lang w:val="ru-RU"/>
        </w:rPr>
      </w:pPr>
      <w:r w:rsidRPr="00F74E54">
        <w:rPr>
          <w:lang w:val="ru-RU"/>
        </w:rPr>
        <w:t>решает поручить Директору Бюро стандартизации электросвязи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1</w:t>
      </w:r>
      <w:r w:rsidRPr="00F74E54">
        <w:rPr>
          <w:lang w:val="ru-RU"/>
        </w:rPr>
        <w:tab/>
        <w:t>продолжать организовывать собрания для руководителей отрасли, например собрания Группы СТО, для оказания им содействия в определении и координировании приоритетов и тем в области стандартизации;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2</w:t>
      </w:r>
      <w:r w:rsidRPr="00F74E54">
        <w:rPr>
          <w:lang w:val="ru-RU"/>
        </w:rPr>
        <w:tab/>
        <w:t>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3</w:t>
      </w:r>
      <w:r w:rsidRPr="00F74E54">
        <w:rPr>
          <w:lang w:val="ru-RU"/>
        </w:rPr>
        <w:tab/>
        <w:t>поощрять участие в Группе СТО широкого круга представителей отрасли из числа Членов Сектора МСЭ-Т из всех регионов</w:t>
      </w:r>
      <w:r w:rsidRPr="00F74E54">
        <w:rPr>
          <w:szCs w:val="24"/>
          <w:lang w:val="ru-RU" w:eastAsia="en-AU"/>
        </w:rPr>
        <w:t>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4</w:t>
      </w:r>
      <w:r w:rsidRPr="00F74E54">
        <w:rPr>
          <w:lang w:val="ru-RU"/>
        </w:rPr>
        <w:tab/>
        <w:t>разработать эффективные механизмы для организации участия представителей отрасли в этих собраниях (например, обеспечив стабильный состав и регулярное участие главных директоров по технологиям или их заместителей в Группе);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5</w:t>
      </w:r>
      <w:r w:rsidRPr="00F74E54">
        <w:rPr>
          <w:lang w:val="ru-RU"/>
        </w:rPr>
        <w:tab/>
        <w:t>продолжать включать выводы собраний Группы СТО в официальные коммюнике МСЭ</w:t>
      </w:r>
      <w:r w:rsidRPr="00F74E54">
        <w:rPr>
          <w:lang w:val="ru-RU"/>
        </w:rPr>
        <w:noBreakHyphen/>
        <w:t>Т;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br w:type="page"/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lastRenderedPageBreak/>
        <w:t>6</w:t>
      </w:r>
      <w:r w:rsidRPr="00F74E54">
        <w:rPr>
          <w:lang w:val="ru-RU"/>
        </w:rPr>
        <w:tab/>
        <w:t>принимать во внимание выводы Группы СТО в работе МСЭ-Т, особенно для стратегической функции КГСЭ, и исследовательских комиссий МСЭ-Т в соответствующих случаях;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7</w:t>
      </w:r>
      <w:r w:rsidRPr="00F74E54">
        <w:rPr>
          <w:lang w:val="ru-RU"/>
        </w:rPr>
        <w:tab/>
        <w:t>представлять КГСЭ на регулярной основе отчеты о последующей деятельности в связи с выводами СТО;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8</w:t>
      </w:r>
      <w:r w:rsidRPr="00F74E54">
        <w:rPr>
          <w:lang w:val="ru-RU"/>
        </w:rPr>
        <w:tab/>
        <w:t>представить следующей ВАСЭ отчет, содержащий оценку результатов работы Группы СТО за прошедший период и анализ необходимости продолжения или совершенствования ее работы,</w:t>
      </w:r>
    </w:p>
    <w:p w:rsidR="00F74E54" w:rsidRPr="00F74E54" w:rsidRDefault="00F74E54" w:rsidP="00F74E54">
      <w:pPr>
        <w:pStyle w:val="Call"/>
        <w:rPr>
          <w:i w:val="0"/>
          <w:iCs/>
          <w:lang w:val="ru-RU"/>
        </w:rPr>
      </w:pPr>
      <w:r w:rsidRPr="00F74E54">
        <w:rPr>
          <w:lang w:val="ru-RU"/>
        </w:rPr>
        <w:t>настоятельно рекомендует Членам Сектора из развивающихся стран</w:t>
      </w:r>
    </w:p>
    <w:p w:rsidR="00F74E54" w:rsidRPr="00F74E54" w:rsidRDefault="00F74E54" w:rsidP="00F74E54">
      <w:pPr>
        <w:rPr>
          <w:lang w:val="ru-RU"/>
        </w:rPr>
      </w:pPr>
      <w:r w:rsidRPr="00F74E54">
        <w:rPr>
          <w:lang w:val="ru-RU"/>
        </w:rPr>
        <w:t>участвовать на уровне своих руководителей в собраниях СТО и вносить свои предложения о приоритетных сферах стандартизации, а также о приоритетах и потребностях развивающихся стран в области стандартизации.</w:t>
      </w:r>
    </w:p>
    <w:p w:rsidR="00F74E54" w:rsidRPr="00F74E54" w:rsidRDefault="00F74E54" w:rsidP="00F74E54">
      <w:pPr>
        <w:pStyle w:val="Reasons"/>
        <w:rPr>
          <w:lang w:val="ru-RU"/>
        </w:rPr>
      </w:pPr>
    </w:p>
    <w:p w:rsidR="00F74E54" w:rsidRPr="00F74E54" w:rsidRDefault="00F74E54" w:rsidP="00F74E54">
      <w:pPr>
        <w:pStyle w:val="Restitle"/>
        <w:rPr>
          <w:lang w:val="ru-RU"/>
        </w:rPr>
      </w:pPr>
    </w:p>
    <w:p w:rsidR="00F74E54" w:rsidRPr="00F74E54" w:rsidRDefault="00F74E54" w:rsidP="00F74E54">
      <w:pPr>
        <w:pStyle w:val="Resref"/>
        <w:rPr>
          <w:lang w:val="ru-RU"/>
        </w:rPr>
      </w:pPr>
    </w:p>
    <w:p w:rsidR="00F74E54" w:rsidRPr="00F74E54" w:rsidRDefault="00F74E54" w:rsidP="00F74E54">
      <w:pPr>
        <w:pStyle w:val="Resdate"/>
        <w:rPr>
          <w:lang w:val="ru-RU"/>
        </w:rPr>
      </w:pPr>
    </w:p>
    <w:p w:rsidR="00F74E54" w:rsidRPr="00F74E54" w:rsidRDefault="00F74E54" w:rsidP="00F74E54">
      <w:pPr>
        <w:pStyle w:val="Normalaftertitle0"/>
        <w:rPr>
          <w:lang w:val="ru-RU"/>
        </w:rPr>
      </w:pPr>
    </w:p>
    <w:p w:rsidR="00F74E54" w:rsidRPr="00F74E54" w:rsidRDefault="00F74E54" w:rsidP="00F74E54">
      <w:pPr>
        <w:pStyle w:val="Resref"/>
        <w:rPr>
          <w:lang w:val="ru-RU"/>
        </w:rPr>
      </w:pPr>
    </w:p>
    <w:p w:rsidR="00F74E54" w:rsidRPr="00F74E54" w:rsidRDefault="00F74E54" w:rsidP="00F74E54">
      <w:pPr>
        <w:pStyle w:val="Resdate"/>
        <w:rPr>
          <w:lang w:val="ru-RU"/>
        </w:rPr>
      </w:pPr>
    </w:p>
    <w:p w:rsidR="00F74E54" w:rsidRPr="00F74E54" w:rsidRDefault="00F74E54" w:rsidP="00F74E54">
      <w:pPr>
        <w:pStyle w:val="Normalaftertitle0"/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p w:rsidR="00F74E54" w:rsidRPr="00F74E54" w:rsidRDefault="00F74E54" w:rsidP="00F74E54">
      <w:pPr>
        <w:rPr>
          <w:lang w:val="ru-RU"/>
        </w:rPr>
      </w:pPr>
    </w:p>
    <w:sectPr w:rsidR="00F74E54" w:rsidRPr="00F74E54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7E" w:rsidRDefault="00814A7E">
      <w:r>
        <w:separator/>
      </w:r>
    </w:p>
  </w:endnote>
  <w:endnote w:type="continuationSeparator" w:id="0">
    <w:p w:rsidR="00814A7E" w:rsidRDefault="008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F74E5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F74E54">
      <w:rPr>
        <w:b/>
        <w:sz w:val="22"/>
        <w:szCs w:val="22"/>
      </w:rPr>
      <w:t>68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F74E54">
      <w:rPr>
        <w:b/>
        <w:bCs/>
        <w:sz w:val="22"/>
        <w:szCs w:val="22"/>
      </w:rPr>
      <w:fldChar w:fldCharType="separate"/>
    </w:r>
    <w:r w:rsidR="00F74E54">
      <w:rPr>
        <w:b/>
        <w:bCs/>
        <w:sz w:val="22"/>
        <w:szCs w:val="22"/>
      </w:rPr>
      <w:t>68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F74E54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7E" w:rsidRDefault="00814A7E">
      <w:r>
        <w:t>____________________</w:t>
      </w:r>
    </w:p>
  </w:footnote>
  <w:footnote w:type="continuationSeparator" w:id="0">
    <w:p w:rsidR="00814A7E" w:rsidRDefault="00814A7E">
      <w:r>
        <w:continuationSeparator/>
      </w:r>
    </w:p>
  </w:footnote>
  <w:footnote w:id="1">
    <w:p w:rsidR="00F74E54" w:rsidRPr="00A24061" w:rsidRDefault="00F74E54" w:rsidP="00F74E5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4E54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6879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2</cp:revision>
  <cp:lastPrinted>2009-01-30T13:07:00Z</cp:lastPrinted>
  <dcterms:created xsi:type="dcterms:W3CDTF">2016-12-14T12:25:00Z</dcterms:created>
  <dcterms:modified xsi:type="dcterms:W3CDTF">2016-12-14T12:25:00Z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