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rsidP="003B3477">
            <w:pPr>
              <w:jc w:val="left"/>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rsidP="003B3477">
            <w:pPr>
              <w:spacing w:before="240"/>
              <w:jc w:val="lef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611F8B" w:rsidRDefault="00311F37" w:rsidP="00611F8B">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p>
          <w:p w:rsidR="004E489E" w:rsidRPr="00EB6BEB" w:rsidRDefault="00AF2D68" w:rsidP="00611F8B">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AF2D68">
            <w:pPr>
              <w:tabs>
                <w:tab w:val="right" w:pos="9639"/>
              </w:tabs>
              <w:jc w:val="left"/>
              <w:rPr>
                <w:rFonts w:ascii="Arial" w:hAnsi="Arial"/>
                <w:b/>
                <w:bCs/>
                <w:sz w:val="36"/>
                <w:lang w:val="fr-CH"/>
              </w:rPr>
            </w:pPr>
            <w:r>
              <w:rPr>
                <w:rFonts w:ascii="Arial" w:hAnsi="Arial"/>
                <w:b/>
                <w:bCs/>
                <w:sz w:val="36"/>
                <w:lang w:val="fr-CH"/>
              </w:rPr>
              <w:t xml:space="preserve">Résolution </w:t>
            </w:r>
            <w:r w:rsidR="00611F8B">
              <w:rPr>
                <w:rFonts w:ascii="Arial" w:hAnsi="Arial"/>
                <w:b/>
                <w:bCs/>
                <w:sz w:val="36"/>
                <w:lang w:val="fr-CH"/>
              </w:rPr>
              <w:t xml:space="preserve">67 – </w:t>
            </w:r>
            <w:r w:rsidR="00611F8B" w:rsidRPr="00611F8B">
              <w:rPr>
                <w:rFonts w:asciiTheme="minorBidi" w:hAnsiTheme="minorBidi" w:cstheme="minorBidi"/>
                <w:b/>
                <w:bCs/>
                <w:sz w:val="36"/>
                <w:szCs w:val="36"/>
              </w:rPr>
              <w:t>Utilisation au sein du Secteur de la normalis</w:t>
            </w:r>
            <w:r w:rsidR="00611F8B">
              <w:rPr>
                <w:rFonts w:asciiTheme="minorBidi" w:hAnsiTheme="minorBidi" w:cstheme="minorBidi"/>
                <w:b/>
                <w:bCs/>
                <w:sz w:val="36"/>
                <w:szCs w:val="36"/>
              </w:rPr>
              <w:t xml:space="preserve">ation des télécommunications de </w:t>
            </w:r>
            <w:r w:rsidR="00611F8B" w:rsidRPr="00611F8B">
              <w:rPr>
                <w:rFonts w:asciiTheme="minorBidi" w:hAnsiTheme="minorBidi" w:cstheme="minorBidi"/>
                <w:b/>
                <w:bCs/>
                <w:sz w:val="36"/>
                <w:szCs w:val="36"/>
              </w:rPr>
              <w:t>l'UIT des langues de l'Union sur un pied d'égalité</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611F8B" w:rsidRPr="00125D54" w:rsidRDefault="00611F8B" w:rsidP="003B3477">
      <w:pPr>
        <w:pStyle w:val="ResNo"/>
        <w:jc w:val="center"/>
        <w:rPr>
          <w:b w:val="0"/>
          <w:bCs/>
        </w:rPr>
      </w:pPr>
      <w:r w:rsidRPr="00125D54">
        <w:rPr>
          <w:b w:val="0"/>
          <w:bCs/>
        </w:rPr>
        <w:lastRenderedPageBreak/>
        <w:t xml:space="preserve">RÉSOLUTION </w:t>
      </w:r>
      <w:r w:rsidRPr="00125D54">
        <w:rPr>
          <w:rStyle w:val="href0"/>
          <w:b w:val="0"/>
          <w:bCs/>
        </w:rPr>
        <w:t>67</w:t>
      </w:r>
      <w:r w:rsidRPr="00125D54">
        <w:rPr>
          <w:b w:val="0"/>
          <w:bCs/>
        </w:rPr>
        <w:t xml:space="preserve"> (Rév. H</w:t>
      </w:r>
      <w:r w:rsidR="00125D54" w:rsidRPr="00125D54">
        <w:rPr>
          <w:b w:val="0"/>
          <w:bCs/>
        </w:rPr>
        <w:t>ammamet</w:t>
      </w:r>
      <w:r w:rsidRPr="00125D54">
        <w:rPr>
          <w:b w:val="0"/>
          <w:bCs/>
        </w:rPr>
        <w:t>, 2016)</w:t>
      </w:r>
    </w:p>
    <w:p w:rsidR="00611F8B" w:rsidRPr="009E47FF" w:rsidRDefault="00611F8B" w:rsidP="00611F8B">
      <w:pPr>
        <w:pStyle w:val="Restitle"/>
      </w:pPr>
      <w:r w:rsidRPr="009E47FF">
        <w:t>Utilisation au sein du Secteur de la normalisation des télécommunications de l'UIT des langues de l'Union sur un pied d'égalité</w:t>
      </w:r>
    </w:p>
    <w:p w:rsidR="00611F8B" w:rsidRPr="009E47FF" w:rsidRDefault="00611F8B" w:rsidP="00611F8B">
      <w:pPr>
        <w:pStyle w:val="Resref"/>
      </w:pPr>
      <w:r w:rsidRPr="009E47FF">
        <w:t>(Johannesburg, 2008; Dubaï, 2012; Hammamet, 2016)</w:t>
      </w:r>
    </w:p>
    <w:p w:rsidR="00611F8B" w:rsidRPr="009E47FF" w:rsidRDefault="00611F8B" w:rsidP="00611F8B">
      <w:pPr>
        <w:pStyle w:val="Normalaftertitle0"/>
        <w:rPr>
          <w:lang w:val="fr-FR"/>
        </w:rPr>
      </w:pPr>
      <w:r w:rsidRPr="009E47FF">
        <w:rPr>
          <w:lang w:val="fr-FR"/>
        </w:rPr>
        <w:t>L'Assemblée mondiale de normalisation des télécommunications (Hammamet, 2016),</w:t>
      </w:r>
    </w:p>
    <w:p w:rsidR="00611F8B" w:rsidRPr="009E47FF" w:rsidRDefault="00611F8B" w:rsidP="00611F8B">
      <w:pPr>
        <w:pStyle w:val="Call"/>
      </w:pPr>
      <w:r w:rsidRPr="009E47FF">
        <w:t>reconnaissant</w:t>
      </w:r>
    </w:p>
    <w:p w:rsidR="00611F8B" w:rsidRPr="009E47FF" w:rsidRDefault="00611F8B" w:rsidP="00611F8B">
      <w:r w:rsidRPr="009E47FF">
        <w:rPr>
          <w:i/>
          <w:iCs/>
        </w:rPr>
        <w:t>a)</w:t>
      </w:r>
      <w:r w:rsidRPr="009E47FF">
        <w:tab/>
        <w:t>l'adoption, par la Conférence de plénipotentiaires, de la Résolution 154 (Rév. Busan, 2014) relative à l'utilisation des six langues officielles de l'Union sur un pied d'égalité, en vertu de laquelle des instructions sont données au Conseil de l'UIT et au Secrétariat général sur la manière de parvenir à l'égalité de traitement des six langues;</w:t>
      </w:r>
    </w:p>
    <w:p w:rsidR="00611F8B" w:rsidRPr="009E47FF" w:rsidRDefault="00611F8B" w:rsidP="00611F8B">
      <w:r w:rsidRPr="009E47FF">
        <w:rPr>
          <w:i/>
          <w:iCs/>
        </w:rPr>
        <w:t>b)</w:t>
      </w:r>
      <w:r w:rsidRPr="009E47FF">
        <w:rPr>
          <w:i/>
          <w:iCs/>
        </w:rPr>
        <w:tab/>
      </w:r>
      <w:r w:rsidRPr="009E47FF">
        <w:t>la Résolution 1372 du Conseil, telle qu'il l'a révisée à sa session de 2016, dans laquelle il est pris note des travaux du Comité de coordination pour le vocabulaire (CCV) du Secteur des radiocommunications de l'UIT (UIT</w:t>
      </w:r>
      <w:r w:rsidRPr="009E47FF">
        <w:noBreakHyphen/>
        <w:t>R) et du Comité de normalisation pour le vocabulaire (SCV) du Secteur de la normalisation des télécommunications de l'UIT (UIT</w:t>
      </w:r>
      <w:r w:rsidRPr="009E47FF">
        <w:noBreakHyphen/>
        <w:t>T) concernant l'adoption et l'approbation de termes et de définitions dans le domaine des télécommunications/technologies de l'information et de la communication (TIC) dans les six langues officielles de l'Union;</w:t>
      </w:r>
    </w:p>
    <w:p w:rsidR="00611F8B" w:rsidRPr="009E47FF" w:rsidRDefault="00611F8B" w:rsidP="00611F8B">
      <w:r w:rsidRPr="009E47FF">
        <w:rPr>
          <w:i/>
          <w:iCs/>
        </w:rPr>
        <w:t>c)</w:t>
      </w:r>
      <w:r w:rsidRPr="009E47FF">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rsidR="00611F8B" w:rsidRPr="009E47FF" w:rsidRDefault="00611F8B" w:rsidP="00611F8B">
      <w:pPr>
        <w:pStyle w:val="Call"/>
      </w:pPr>
      <w:r w:rsidRPr="009E47FF">
        <w:t>considérant</w:t>
      </w:r>
    </w:p>
    <w:p w:rsidR="00611F8B" w:rsidRPr="009E47FF" w:rsidRDefault="00611F8B" w:rsidP="00611F8B">
      <w:r w:rsidRPr="009E47FF">
        <w:rPr>
          <w:i/>
          <w:iCs/>
        </w:rPr>
        <w:t>a)</w:t>
      </w:r>
      <w:r w:rsidRPr="009E47FF">
        <w:tab/>
        <w:t>qu'en vertu de la Résolution 154 (Rév. Busan, 2014), le Conseil est chargé de maintenir le Groupe de travail du Conseil sur l'utilisation des langues (GTC</w:t>
      </w:r>
      <w:r w:rsidRPr="009E47FF">
        <w:noBreakHyphen/>
        <w:t>LANG), afin qu'il suive les progrès accomplis et fasse rapport au Conseil sur la mise en oeuvre de cette Résolution;</w:t>
      </w:r>
    </w:p>
    <w:p w:rsidR="00611F8B" w:rsidRPr="009E47FF" w:rsidRDefault="00611F8B" w:rsidP="00611F8B">
      <w:r w:rsidRPr="009E47FF">
        <w:rPr>
          <w:i/>
          <w:iCs/>
        </w:rPr>
        <w:t>b)</w:t>
      </w:r>
      <w:r w:rsidRPr="009E47FF">
        <w:tab/>
        <w:t>qu'il est important de fournir, sur les pages web de l'UIT-T, des informations dans toutes les langues officielles de l'Union sur un pied d'égalité,</w:t>
      </w:r>
    </w:p>
    <w:p w:rsidR="00611F8B" w:rsidRPr="009E47FF" w:rsidRDefault="00611F8B" w:rsidP="00611F8B">
      <w:pPr>
        <w:pStyle w:val="Call"/>
      </w:pPr>
      <w:r w:rsidRPr="009E47FF">
        <w:t>notant</w:t>
      </w:r>
    </w:p>
    <w:p w:rsidR="00611F8B" w:rsidRDefault="00611F8B" w:rsidP="00611F8B">
      <w:r w:rsidRPr="009E47FF">
        <w:t>que</w:t>
      </w:r>
      <w:r w:rsidRPr="00CD52A4">
        <w:t xml:space="preserve"> </w:t>
      </w:r>
      <w:r w:rsidRPr="009E47FF">
        <w:t xml:space="preserve">le SCV a été institué, conformément à la Résolution 67 (Johannesburg, 2008) de l'Assemblée mondiale de normalisation des télécommunications (AMNT) </w:t>
      </w:r>
      <w:r>
        <w:t xml:space="preserve">relative à </w:t>
      </w:r>
      <w:r w:rsidRPr="00B80F60">
        <w:t>la création d'un SCV</w:t>
      </w:r>
      <w:r>
        <w:t>,</w:t>
      </w:r>
    </w:p>
    <w:p w:rsidR="00611F8B" w:rsidRPr="009E47FF" w:rsidRDefault="00611F8B" w:rsidP="00611F8B">
      <w:pPr>
        <w:pStyle w:val="Call"/>
      </w:pPr>
      <w:r>
        <w:t>décide</w:t>
      </w:r>
    </w:p>
    <w:p w:rsidR="00611F8B" w:rsidRPr="009E47FF" w:rsidRDefault="00611F8B" w:rsidP="00611F8B">
      <w:r w:rsidRPr="009E47FF">
        <w:t>1</w:t>
      </w:r>
      <w:r w:rsidRPr="009E47FF">
        <w:tab/>
        <w:t>que les commissions d'études de l'UIT-T, dans le cadre de leur mandat, doivent poursuivre leurs travaux sur les termes techniques et d'exploitation et leurs définitions en anglais seulement;</w:t>
      </w:r>
    </w:p>
    <w:p w:rsidR="00611F8B" w:rsidRPr="009E47FF" w:rsidRDefault="00611F8B" w:rsidP="00611F8B">
      <w:r w:rsidRPr="009E47FF">
        <w:t>2</w:t>
      </w:r>
      <w:r w:rsidRPr="009E47FF">
        <w:tab/>
        <w:t>que les travaux sur le vocabulaire de normalisation à l'UIT</w:t>
      </w:r>
      <w:r w:rsidRPr="009E47FF">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rsidR="00611F8B" w:rsidRPr="009E47FF" w:rsidRDefault="00611F8B" w:rsidP="00611F8B">
      <w:r w:rsidRPr="009E47FF">
        <w:t>3</w:t>
      </w:r>
      <w:r w:rsidRPr="009E47FF">
        <w:tab/>
        <w:t>que, lorsqu'elles proposent des termes et définitions, les commissions d'études de l'UIT</w:t>
      </w:r>
      <w:r w:rsidRPr="009E47FF">
        <w:noBreakHyphen/>
        <w:t>T appliqueront les lignes directrices données dans l'Annexe B du guide de rédaction des Recommandations UIT</w:t>
      </w:r>
      <w:r>
        <w:noBreakHyphen/>
      </w:r>
      <w:r w:rsidRPr="009E47FF">
        <w:t>T;</w:t>
      </w:r>
    </w:p>
    <w:p w:rsidR="00611F8B" w:rsidRPr="009E47FF" w:rsidRDefault="00611F8B" w:rsidP="00611F8B">
      <w:r w:rsidRPr="009E47FF">
        <w:t>4</w:t>
      </w:r>
      <w:r w:rsidRPr="009E47FF">
        <w:rPr>
          <w:i/>
          <w:iCs/>
        </w:rPr>
        <w:tab/>
      </w:r>
      <w:r w:rsidRPr="009E47FF">
        <w:t>que, lorsque plusieurs commissions d'études de l'UIT-T définissent le même terme ou la même notion, elles doivent s'efforcer de choisir un seul terme et une seule définition qui soient acceptables pour toutes les commissions d'études concernées de l'UIT-T;</w:t>
      </w:r>
    </w:p>
    <w:p w:rsidR="00611F8B" w:rsidRPr="009E47FF" w:rsidRDefault="00611F8B" w:rsidP="00125D54">
      <w:pPr>
        <w:keepNext/>
        <w:keepLines/>
      </w:pPr>
      <w:r w:rsidRPr="009E47FF">
        <w:lastRenderedPageBreak/>
        <w:t>5</w:t>
      </w:r>
      <w:r w:rsidRPr="009E47FF">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rsidR="00611F8B" w:rsidRPr="009E47FF" w:rsidRDefault="00611F8B" w:rsidP="00125D54">
      <w:pPr>
        <w:keepNext/>
        <w:keepLines/>
      </w:pPr>
      <w:r w:rsidRPr="009E47FF">
        <w:t>6</w:t>
      </w:r>
      <w:r w:rsidRPr="009E47FF">
        <w:tab/>
        <w: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t>
      </w:r>
    </w:p>
    <w:p w:rsidR="00611F8B" w:rsidRPr="009E47FF" w:rsidRDefault="00611F8B" w:rsidP="00611F8B">
      <w:pPr>
        <w:rPr>
          <w:szCs w:val="24"/>
        </w:rPr>
      </w:pPr>
      <w:r w:rsidRPr="009E47FF">
        <w:t>7</w:t>
      </w:r>
      <w:r w:rsidRPr="009E47FF">
        <w:tab/>
        <w:t>que le SCV devra coopérer étroitement avec le CCV de l'UIT</w:t>
      </w:r>
      <w:r w:rsidRPr="009E47FF">
        <w:noBreakHyphen/>
        <w:t>R, en organisant si possible des réunions communes, de préférence en ligne;</w:t>
      </w:r>
    </w:p>
    <w:p w:rsidR="00611F8B" w:rsidRPr="009E47FF" w:rsidRDefault="00611F8B" w:rsidP="00611F8B">
      <w:pPr>
        <w:rPr>
          <w:szCs w:val="24"/>
        </w:rPr>
      </w:pPr>
      <w:r w:rsidRPr="009E47FF">
        <w:rPr>
          <w:szCs w:val="24"/>
        </w:rPr>
        <w:t>8</w:t>
      </w:r>
      <w:r w:rsidRPr="009E47FF">
        <w:rPr>
          <w:szCs w:val="24"/>
        </w:rPr>
        <w:tab/>
        <w:t>que, dans le cadre de ses travaux, le SCV devra se fonder sur les dispositions de la Résolution 154 (Rév. Busan, 2014) de la Conférence de plénipotentiaires et collaborer sur ce sujet avec le GTC-LANG;</w:t>
      </w:r>
    </w:p>
    <w:p w:rsidR="00611F8B" w:rsidRPr="009E47FF" w:rsidRDefault="00611F8B" w:rsidP="00611F8B">
      <w:pPr>
        <w:rPr>
          <w:szCs w:val="24"/>
        </w:rPr>
      </w:pPr>
      <w:r w:rsidRPr="009E47FF">
        <w:rPr>
          <w:szCs w:val="24"/>
        </w:rPr>
        <w:t>9</w:t>
      </w:r>
      <w:r w:rsidRPr="009E47FF">
        <w:rPr>
          <w:szCs w:val="24"/>
        </w:rPr>
        <w:tab/>
        <w:t>que le Groupe consultatif de la normalisation des télécommunications (GCNT) et le Groupe consultatif des radiocommunications devront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t>
      </w:r>
    </w:p>
    <w:p w:rsidR="00611F8B" w:rsidRPr="009E47FF" w:rsidRDefault="00611F8B" w:rsidP="00611F8B">
      <w:pPr>
        <w:pStyle w:val="Call"/>
      </w:pPr>
      <w:r w:rsidRPr="009E47FF">
        <w:t>charge le Directeur du Bureau de la normalisation des télécommunications</w:t>
      </w:r>
    </w:p>
    <w:p w:rsidR="00611F8B" w:rsidRPr="009E47FF" w:rsidRDefault="00611F8B" w:rsidP="00611F8B">
      <w:r w:rsidRPr="009E47FF">
        <w:t>1</w:t>
      </w:r>
      <w:r w:rsidRPr="009E47FF">
        <w:tab/>
        <w:t>de continuer de faire traduire toutes les Recommandations approuvées au titre de la procédure d'approbation traditionnelle (TAP) dans toutes les langues de l'Union;</w:t>
      </w:r>
    </w:p>
    <w:p w:rsidR="00611F8B" w:rsidRPr="009E47FF" w:rsidRDefault="00611F8B" w:rsidP="00611F8B">
      <w:r w:rsidRPr="009E47FF">
        <w:t>2</w:t>
      </w:r>
      <w:r w:rsidRPr="009E47FF">
        <w:tab/>
        <w:t>de faire traduire tous les rapports du GCNT dans toutes les langues de l'Union;</w:t>
      </w:r>
    </w:p>
    <w:p w:rsidR="00611F8B" w:rsidRPr="009E47FF" w:rsidRDefault="00611F8B" w:rsidP="00611F8B">
      <w:r w:rsidRPr="009E47FF">
        <w:t>3</w:t>
      </w:r>
      <w:r w:rsidRPr="009E47FF">
        <w:tab/>
        <w:t>d'indiquer dans la Circulaire par laquelle l'approbation d'une Recommandation est annoncée si cette Recommandation sera traduite;</w:t>
      </w:r>
    </w:p>
    <w:p w:rsidR="00611F8B" w:rsidRPr="009E47FF" w:rsidRDefault="00611F8B" w:rsidP="00611F8B">
      <w:r w:rsidRPr="009E47FF">
        <w:t>4</w:t>
      </w:r>
      <w:r w:rsidRPr="009E47FF">
        <w:tab/>
        <w:t>de maintenir la pratique consistant à faire traduire les Recommandations UIT-T approuvées selon la variante de la procédure d'approbation (AAP), avec la possibilité de multiplier par deux le nombre de pages traduites pour ces Recommandations, dans les limites des ressources financières de l'Union;</w:t>
      </w:r>
    </w:p>
    <w:p w:rsidR="00611F8B" w:rsidRPr="009E47FF" w:rsidRDefault="00611F8B" w:rsidP="00611F8B">
      <w:r w:rsidRPr="009E47FF">
        <w:t>5</w:t>
      </w:r>
      <w:r w:rsidRPr="009E47FF">
        <w:tab/>
        <w:t>de suivre la qualité des traductions et les dépenses associées;</w:t>
      </w:r>
    </w:p>
    <w:p w:rsidR="00611F8B" w:rsidRPr="009E47FF" w:rsidRDefault="00611F8B" w:rsidP="00611F8B">
      <w:r w:rsidRPr="009E47FF">
        <w:t>6</w:t>
      </w:r>
      <w:r w:rsidRPr="009E47FF">
        <w:tab/>
        <w:t>de porter la présente Résolution à l'attention du Directeur du Bureau des radiocommunications,</w:t>
      </w:r>
    </w:p>
    <w:p w:rsidR="00611F8B" w:rsidRPr="009E47FF" w:rsidRDefault="00611F8B" w:rsidP="00611F8B">
      <w:pPr>
        <w:pStyle w:val="Call"/>
      </w:pPr>
      <w:r w:rsidRPr="009E47FF">
        <w:t>invite le Conseil</w:t>
      </w:r>
    </w:p>
    <w:p w:rsidR="00611F8B" w:rsidRPr="009E47FF" w:rsidRDefault="00611F8B" w:rsidP="00611F8B">
      <w:r w:rsidRPr="009E47FF">
        <w:t>1</w:t>
      </w:r>
      <w:r w:rsidRPr="009E47FF">
        <w:tab/>
        <w:t>à prendre les mesures appropriées pour veiller à ce que les informations soient publiées sur les sites web de l'UIT dans les six langues officielles de l'Union sur un pied d'égalité, dans les limites du budget, conformément à la Résolution 1372 du Conseil;</w:t>
      </w:r>
    </w:p>
    <w:p w:rsidR="00611F8B" w:rsidRPr="009E47FF" w:rsidRDefault="00611F8B" w:rsidP="00611F8B">
      <w:r w:rsidRPr="009E47FF">
        <w:t>2</w:t>
      </w:r>
      <w:r w:rsidRPr="009E47FF">
        <w:tab/>
        <w:t>à envisager d'examiner la Résolution 154 (Rév. Busan, 2014), pour prévoir la possibilité de créer un groupe de travail unique au sein de l'UIT, chargé d'examiner les questions ayant trait au vocabulaire et à l'utilisation des six langues de</w:t>
      </w:r>
      <w:r>
        <w:t xml:space="preserve"> l'Union sur un pied d'égalité,</w:t>
      </w:r>
    </w:p>
    <w:p w:rsidR="00611F8B" w:rsidRPr="009E47FF" w:rsidRDefault="00611F8B" w:rsidP="00611F8B">
      <w:pPr>
        <w:pStyle w:val="Call"/>
      </w:pPr>
      <w:r w:rsidRPr="009E47FF">
        <w:t>charge le Groupe consultatif de la normalisation des télécommunications</w:t>
      </w:r>
    </w:p>
    <w:p w:rsidR="00611F8B" w:rsidRDefault="00611F8B" w:rsidP="00611F8B">
      <w:r w:rsidRPr="009E47FF">
        <w:t>d'envisager la meilleure méthode pour décider quelles Recommandations approuvées au titre de la procédure AAP seront traduites, compte tenu des décisions du Conseil.</w:t>
      </w:r>
    </w:p>
    <w:p w:rsidR="00125D54" w:rsidRDefault="00125D54">
      <w:pPr>
        <w:tabs>
          <w:tab w:val="clear" w:pos="794"/>
          <w:tab w:val="clear" w:pos="1191"/>
          <w:tab w:val="clear" w:pos="1588"/>
          <w:tab w:val="clear" w:pos="1985"/>
        </w:tabs>
        <w:overflowPunct/>
        <w:autoSpaceDE/>
        <w:autoSpaceDN/>
        <w:adjustRightInd/>
        <w:spacing w:before="0"/>
        <w:jc w:val="left"/>
        <w:textAlignment w:val="auto"/>
        <w:rPr>
          <w:rFonts w:eastAsia="SimSun"/>
          <w:caps/>
          <w:sz w:val="28"/>
        </w:rPr>
      </w:pPr>
      <w:r>
        <w:br w:type="page"/>
      </w:r>
    </w:p>
    <w:p w:rsidR="00611F8B" w:rsidRPr="009E47FF" w:rsidRDefault="00611F8B" w:rsidP="00611F8B">
      <w:pPr>
        <w:pStyle w:val="AnnexNo"/>
        <w:rPr>
          <w:lang w:val="fr-FR"/>
        </w:rPr>
      </w:pPr>
      <w:r w:rsidRPr="009E47FF">
        <w:rPr>
          <w:lang w:val="fr-FR"/>
        </w:rPr>
        <w:lastRenderedPageBreak/>
        <w:t>Annexe</w:t>
      </w:r>
      <w:r w:rsidRPr="009E47FF">
        <w:rPr>
          <w:lang w:val="fr-FR"/>
        </w:rPr>
        <w:br/>
      </w:r>
      <w:r w:rsidRPr="009E47FF">
        <w:rPr>
          <w:caps w:val="0"/>
          <w:lang w:val="fr-FR"/>
        </w:rPr>
        <w:t xml:space="preserve">(de la Résolution </w:t>
      </w:r>
      <w:r w:rsidRPr="009E47FF">
        <w:rPr>
          <w:lang w:val="fr-FR"/>
        </w:rPr>
        <w:t xml:space="preserve">67 </w:t>
      </w:r>
      <w:r w:rsidRPr="009E47FF">
        <w:rPr>
          <w:caps w:val="0"/>
          <w:lang w:val="fr-FR"/>
        </w:rPr>
        <w:t>(Rév. Hammamet, 2016)</w:t>
      </w:r>
      <w:r w:rsidRPr="009E47FF">
        <w:rPr>
          <w:lang w:val="fr-FR"/>
        </w:rPr>
        <w:t>)</w:t>
      </w:r>
    </w:p>
    <w:p w:rsidR="00611F8B" w:rsidRPr="009E47FF" w:rsidRDefault="00611F8B" w:rsidP="00611F8B">
      <w:pPr>
        <w:pStyle w:val="Annextitle"/>
        <w:rPr>
          <w:lang w:val="fr-FR"/>
        </w:rPr>
      </w:pPr>
      <w:r w:rsidRPr="009E47FF">
        <w:rPr>
          <w:lang w:val="fr-FR"/>
        </w:rPr>
        <w:t>Mandat du Comité de normalisation pour le Vocabulaire</w:t>
      </w:r>
    </w:p>
    <w:p w:rsidR="00611F8B" w:rsidRPr="009E47FF" w:rsidRDefault="00611F8B" w:rsidP="00611F8B">
      <w:r w:rsidRPr="009E47FF">
        <w:rPr>
          <w:b/>
          <w:bCs/>
        </w:rPr>
        <w:t>1</w:t>
      </w:r>
      <w:r w:rsidRPr="009E47FF">
        <w:tab/>
        <w:t>Organiser des consultations sur les termes et définitions pour les travaux sur le vocabulaire à l'UIT</w:t>
      </w:r>
      <w:r w:rsidRPr="009E47FF">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rsidR="00611F8B" w:rsidRPr="009E47FF" w:rsidRDefault="00611F8B" w:rsidP="00611F8B">
      <w:r w:rsidRPr="009E47FF">
        <w:rPr>
          <w:b/>
          <w:bCs/>
        </w:rPr>
        <w:t>2</w:t>
      </w:r>
      <w:r w:rsidRPr="009E47FF">
        <w:tab/>
        <w:t>Assurer une liaison avec le CCV et 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 afin d'éliminer les termes et définitions faisant double emploi.</w:t>
      </w:r>
    </w:p>
    <w:p w:rsidR="00611F8B" w:rsidRPr="009E47FF" w:rsidRDefault="00611F8B" w:rsidP="00611F8B">
      <w:r w:rsidRPr="009E47FF">
        <w:rPr>
          <w:b/>
          <w:bCs/>
        </w:rPr>
        <w:t>3</w:t>
      </w:r>
      <w:r w:rsidRPr="009E47FF">
        <w:tab/>
        <w:t>Informer le GCNT au moins une fois par an de ses activités et rendre compte de ses résultats à la prochaine AMNT.</w:t>
      </w:r>
    </w:p>
    <w:p w:rsidR="00EB6BEB" w:rsidRDefault="00EB6BEB"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bookmarkStart w:id="10" w:name="_GoBack"/>
      <w:bookmarkEnd w:id="10"/>
    </w:p>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p w:rsidR="00125D54" w:rsidRDefault="00125D54" w:rsidP="00AF2D68"/>
    <w:sectPr w:rsidR="00125D54" w:rsidSect="00DF61E0">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950107">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950107">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950107">
      <w:rPr>
        <w:lang w:val="en-US"/>
      </w:rPr>
      <w:t>67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950107">
    <w:pPr>
      <w:pStyle w:val="FooterQP"/>
      <w:rPr>
        <w:b w:val="0"/>
        <w:lang w:val="en-US"/>
      </w:rPr>
    </w:pPr>
    <w:r>
      <w:tab/>
    </w:r>
    <w:r>
      <w:tab/>
      <w:t>AMNT</w:t>
    </w:r>
    <w:r>
      <w:rPr>
        <w:lang w:val="en-US"/>
      </w:rPr>
      <w:t>-</w:t>
    </w:r>
    <w:r w:rsidR="00F51075">
      <w:rPr>
        <w:lang w:val="en-US"/>
      </w:rPr>
      <w:t>1</w:t>
    </w:r>
    <w:r w:rsidR="003B3477">
      <w:rPr>
        <w:lang w:val="en-US"/>
      </w:rPr>
      <w:t>6</w:t>
    </w:r>
    <w:r>
      <w:rPr>
        <w:lang w:val="en-US"/>
      </w:rPr>
      <w:t xml:space="preserve"> – Résolution </w:t>
    </w:r>
    <w:r w:rsidR="00950107">
      <w:rPr>
        <w:lang w:val="en-US"/>
      </w:rPr>
      <w:t>67</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50107">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950107">
    <w:pPr>
      <w:pStyle w:val="FooterQP"/>
      <w:rPr>
        <w:b w:val="0"/>
        <w:lang w:val="en-US"/>
      </w:rPr>
    </w:pPr>
    <w:r>
      <w:tab/>
    </w:r>
    <w:r>
      <w:tab/>
      <w:t>AMNT</w:t>
    </w:r>
    <w:r>
      <w:rPr>
        <w:lang w:val="en-US"/>
      </w:rPr>
      <w:t xml:space="preserve">-16 – Résolution </w:t>
    </w:r>
    <w:r w:rsidR="00950107">
      <w:rPr>
        <w:lang w:val="en-US"/>
      </w:rPr>
      <w:t>67</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50107">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25D54"/>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3477"/>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11F8B"/>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0BA"/>
    <w:rsid w:val="008A66E0"/>
    <w:rsid w:val="008B1654"/>
    <w:rsid w:val="008B5637"/>
    <w:rsid w:val="008B7A32"/>
    <w:rsid w:val="009051DF"/>
    <w:rsid w:val="00905B9E"/>
    <w:rsid w:val="00913010"/>
    <w:rsid w:val="00913BDA"/>
    <w:rsid w:val="00925FF7"/>
    <w:rsid w:val="00927BFB"/>
    <w:rsid w:val="00935D28"/>
    <w:rsid w:val="00950107"/>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DF61E0"/>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AnnexNo">
    <w:name w:val="Annex_No"/>
    <w:basedOn w:val="Normal"/>
    <w:next w:val="Normal"/>
    <w:rsid w:val="00611F8B"/>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611F8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4547-18A6-481A-97FB-B8ED8807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29</TotalTime>
  <Pages>5</Pages>
  <Words>1349</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9016</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Brice, Corinne</cp:lastModifiedBy>
  <cp:revision>5</cp:revision>
  <cp:lastPrinted>2007-12-06T12:04:00Z</cp:lastPrinted>
  <dcterms:created xsi:type="dcterms:W3CDTF">2016-12-15T09:20:00Z</dcterms:created>
  <dcterms:modified xsi:type="dcterms:W3CDTF">2016-12-15T10:19:00Z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