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48" w:type="dxa"/>
        <w:tblLayout w:type="fixed"/>
        <w:tblLook w:val="0000"/>
      </w:tblPr>
      <w:tblGrid>
        <w:gridCol w:w="1418"/>
        <w:gridCol w:w="10"/>
        <w:gridCol w:w="2508"/>
        <w:gridCol w:w="2041"/>
        <w:gridCol w:w="3971"/>
      </w:tblGrid>
      <w:tr w:rsidR="00FB6D55" w:rsidRPr="003518D5">
        <w:tblPrEx>
          <w:tblCellMar>
            <w:top w:w="0" w:type="dxa"/>
            <w:bottom w:w="0" w:type="dxa"/>
          </w:tblCellMar>
        </w:tblPrEx>
        <w:trPr>
          <w:trHeight w:hRule="exact" w:val="1418"/>
        </w:trPr>
        <w:tc>
          <w:tcPr>
            <w:tcW w:w="1428" w:type="dxa"/>
            <w:gridSpan w:val="2"/>
          </w:tcPr>
          <w:p w:rsidR="00FB6D55" w:rsidRPr="003518D5" w:rsidRDefault="00FF42E0">
            <w:r>
              <w:rPr>
                <w:noProof/>
                <w:lang w:val="en-US"/>
              </w:rPr>
              <w:drawing>
                <wp:anchor distT="0" distB="0" distL="114300" distR="114300" simplePos="0" relativeHeight="251657728" behindDoc="0" locked="0" layoutInCell="0" allowOverlap="1">
                  <wp:simplePos x="0" y="0"/>
                  <wp:positionH relativeFrom="column">
                    <wp:posOffset>-1009650</wp:posOffset>
                  </wp:positionH>
                  <wp:positionV relativeFrom="paragraph">
                    <wp:posOffset>-681355</wp:posOffset>
                  </wp:positionV>
                  <wp:extent cx="1612900" cy="10828655"/>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612900" cy="10828655"/>
                          </a:xfrm>
                          <a:prstGeom prst="rect">
                            <a:avLst/>
                          </a:prstGeom>
                          <a:noFill/>
                          <a:ln w="9525">
                            <a:noFill/>
                            <a:miter lim="800000"/>
                            <a:headEnd/>
                            <a:tailEnd/>
                          </a:ln>
                        </pic:spPr>
                      </pic:pic>
                    </a:graphicData>
                  </a:graphic>
                </wp:anchor>
              </w:drawing>
            </w:r>
          </w:p>
          <w:p w:rsidR="00FB6D55" w:rsidRPr="003518D5" w:rsidRDefault="00FB6D55">
            <w:pPr>
              <w:spacing w:before="0"/>
              <w:rPr>
                <w:b/>
                <w:sz w:val="16"/>
              </w:rPr>
            </w:pPr>
          </w:p>
        </w:tc>
        <w:tc>
          <w:tcPr>
            <w:tcW w:w="8520" w:type="dxa"/>
            <w:gridSpan w:val="3"/>
          </w:tcPr>
          <w:p w:rsidR="00FB6D55" w:rsidRPr="003518D5" w:rsidRDefault="00FB6D55">
            <w:pPr>
              <w:spacing w:before="0"/>
            </w:pPr>
          </w:p>
          <w:p w:rsidR="00FB6D55" w:rsidRPr="003518D5" w:rsidRDefault="00FB6D55">
            <w:pPr>
              <w:spacing w:before="284"/>
              <w:rPr>
                <w:rFonts w:ascii="Arial" w:hAnsi="Arial" w:cs="Arial"/>
                <w:b/>
                <w:bCs/>
                <w:spacing w:val="80"/>
                <w:sz w:val="18"/>
              </w:rPr>
            </w:pPr>
            <w:r w:rsidRPr="003518D5">
              <w:rPr>
                <w:rFonts w:ascii="Arial" w:hAnsi="Arial" w:cs="Arial"/>
                <w:b/>
                <w:bCs/>
                <w:color w:val="808080"/>
                <w:spacing w:val="80"/>
              </w:rPr>
              <w:t>Unión Internacional de Telecomunicaciones</w:t>
            </w:r>
          </w:p>
        </w:tc>
      </w:tr>
      <w:tr w:rsidR="00FB6D55" w:rsidRPr="003518D5">
        <w:tblPrEx>
          <w:tblCellMar>
            <w:top w:w="0" w:type="dxa"/>
            <w:bottom w:w="0" w:type="dxa"/>
          </w:tblCellMar>
        </w:tblPrEx>
        <w:trPr>
          <w:trHeight w:hRule="exact" w:val="992"/>
        </w:trPr>
        <w:tc>
          <w:tcPr>
            <w:tcW w:w="1428" w:type="dxa"/>
            <w:gridSpan w:val="2"/>
          </w:tcPr>
          <w:p w:rsidR="00FB6D55" w:rsidRPr="003518D5" w:rsidRDefault="00FB6D55">
            <w:pPr>
              <w:spacing w:before="0"/>
            </w:pPr>
          </w:p>
        </w:tc>
        <w:tc>
          <w:tcPr>
            <w:tcW w:w="8520" w:type="dxa"/>
            <w:gridSpan w:val="3"/>
          </w:tcPr>
          <w:p w:rsidR="00FB6D55" w:rsidRPr="003518D5" w:rsidRDefault="00FB6D55"/>
        </w:tc>
      </w:tr>
      <w:tr w:rsidR="00FB6D55" w:rsidRPr="003518D5">
        <w:tblPrEx>
          <w:tblCellMar>
            <w:top w:w="0" w:type="dxa"/>
            <w:left w:w="85" w:type="dxa"/>
            <w:bottom w:w="0" w:type="dxa"/>
            <w:right w:w="85" w:type="dxa"/>
          </w:tblCellMar>
        </w:tblPrEx>
        <w:trPr>
          <w:gridBefore w:val="2"/>
          <w:wBefore w:w="1428" w:type="dxa"/>
        </w:trPr>
        <w:tc>
          <w:tcPr>
            <w:tcW w:w="2508" w:type="dxa"/>
          </w:tcPr>
          <w:p w:rsidR="00FB6D55" w:rsidRPr="003518D5" w:rsidRDefault="00FB6D55">
            <w:pPr>
              <w:rPr>
                <w:b/>
                <w:sz w:val="18"/>
              </w:rPr>
            </w:pPr>
            <w:bookmarkStart w:id="0" w:name="dnums" w:colFirst="1" w:colLast="1"/>
            <w:r w:rsidRPr="003518D5">
              <w:rPr>
                <w:rFonts w:ascii="Arial" w:hAnsi="Arial"/>
                <w:b/>
                <w:spacing w:val="40"/>
                <w:sz w:val="72"/>
              </w:rPr>
              <w:t>UIT-T</w:t>
            </w:r>
          </w:p>
        </w:tc>
        <w:tc>
          <w:tcPr>
            <w:tcW w:w="6012" w:type="dxa"/>
            <w:gridSpan w:val="2"/>
          </w:tcPr>
          <w:p w:rsidR="00FB6D55" w:rsidRPr="003518D5" w:rsidRDefault="00FB6D55">
            <w:pPr>
              <w:spacing w:before="240"/>
              <w:jc w:val="right"/>
              <w:rPr>
                <w:rFonts w:ascii="Arial" w:hAnsi="Arial" w:cs="Arial"/>
                <w:b/>
                <w:sz w:val="60"/>
              </w:rPr>
            </w:pPr>
          </w:p>
        </w:tc>
      </w:tr>
      <w:tr w:rsidR="00FB6D55" w:rsidRPr="003518D5">
        <w:tblPrEx>
          <w:tblCellMar>
            <w:top w:w="0" w:type="dxa"/>
            <w:left w:w="85" w:type="dxa"/>
            <w:bottom w:w="0" w:type="dxa"/>
            <w:right w:w="85" w:type="dxa"/>
          </w:tblCellMar>
        </w:tblPrEx>
        <w:trPr>
          <w:gridBefore w:val="2"/>
          <w:wBefore w:w="1428" w:type="dxa"/>
          <w:trHeight w:val="974"/>
        </w:trPr>
        <w:tc>
          <w:tcPr>
            <w:tcW w:w="4549" w:type="dxa"/>
            <w:gridSpan w:val="2"/>
          </w:tcPr>
          <w:p w:rsidR="00FB6D55" w:rsidRPr="003518D5" w:rsidRDefault="00FB6D55">
            <w:pPr>
              <w:jc w:val="left"/>
              <w:rPr>
                <w:b/>
                <w:sz w:val="18"/>
              </w:rPr>
            </w:pPr>
            <w:bookmarkStart w:id="1" w:name="ddates" w:colFirst="1" w:colLast="1"/>
            <w:bookmarkEnd w:id="0"/>
            <w:r w:rsidRPr="003518D5">
              <w:rPr>
                <w:rFonts w:ascii="Arial" w:hAnsi="Arial"/>
                <w:sz w:val="20"/>
              </w:rPr>
              <w:t>SECTOR  DE  NORMALIZACIÓN</w:t>
            </w:r>
            <w:r w:rsidRPr="003518D5">
              <w:rPr>
                <w:rFonts w:ascii="Arial" w:hAnsi="Arial" w:cs="Arial"/>
                <w:sz w:val="20"/>
              </w:rPr>
              <w:br/>
            </w:r>
            <w:r w:rsidRPr="003518D5">
              <w:rPr>
                <w:rFonts w:ascii="Arial" w:hAnsi="Arial"/>
                <w:sz w:val="20"/>
              </w:rPr>
              <w:t>DE  LAS  TELECOMUNICACIONES</w:t>
            </w:r>
            <w:r w:rsidRPr="003518D5">
              <w:rPr>
                <w:rFonts w:ascii="Arial" w:hAnsi="Arial"/>
                <w:sz w:val="20"/>
              </w:rPr>
              <w:br/>
              <w:t>DE  LA  UIT</w:t>
            </w:r>
          </w:p>
        </w:tc>
        <w:tc>
          <w:tcPr>
            <w:tcW w:w="3971" w:type="dxa"/>
          </w:tcPr>
          <w:p w:rsidR="00FB6D55" w:rsidRPr="003518D5" w:rsidRDefault="00FB6D55" w:rsidP="00FB6D55">
            <w:pPr>
              <w:spacing w:before="0"/>
              <w:jc w:val="right"/>
              <w:rPr>
                <w:rFonts w:ascii="Arial" w:hAnsi="Arial" w:cs="Arial"/>
                <w:sz w:val="28"/>
              </w:rPr>
            </w:pPr>
            <w:r w:rsidRPr="003518D5">
              <w:rPr>
                <w:rFonts w:ascii="Arial" w:hAnsi="Arial" w:cs="Arial"/>
                <w:sz w:val="28"/>
              </w:rPr>
              <w:t xml:space="preserve">   </w:t>
            </w:r>
          </w:p>
        </w:tc>
      </w:tr>
      <w:tr w:rsidR="00FB6D55" w:rsidRPr="003518D5">
        <w:tblPrEx>
          <w:tblCellMar>
            <w:top w:w="0" w:type="dxa"/>
            <w:bottom w:w="0" w:type="dxa"/>
          </w:tblCellMar>
        </w:tblPrEx>
        <w:trPr>
          <w:cantSplit/>
          <w:trHeight w:hRule="exact" w:val="3402"/>
        </w:trPr>
        <w:tc>
          <w:tcPr>
            <w:tcW w:w="1418" w:type="dxa"/>
          </w:tcPr>
          <w:p w:rsidR="00FB6D55" w:rsidRPr="003518D5" w:rsidRDefault="00FB6D55">
            <w:pPr>
              <w:tabs>
                <w:tab w:val="right" w:pos="9639"/>
              </w:tabs>
              <w:rPr>
                <w:rFonts w:ascii="Arial" w:hAnsi="Arial"/>
                <w:sz w:val="18"/>
              </w:rPr>
            </w:pPr>
            <w:bookmarkStart w:id="2" w:name="dsecs" w:colFirst="1" w:colLast="1"/>
            <w:bookmarkEnd w:id="1"/>
          </w:p>
        </w:tc>
        <w:tc>
          <w:tcPr>
            <w:tcW w:w="8530" w:type="dxa"/>
            <w:gridSpan w:val="4"/>
            <w:tcBorders>
              <w:bottom w:val="single" w:sz="12" w:space="0" w:color="auto"/>
            </w:tcBorders>
            <w:vAlign w:val="bottom"/>
          </w:tcPr>
          <w:p w:rsidR="00FB6D55" w:rsidRPr="003518D5" w:rsidRDefault="004F1EA7" w:rsidP="004F1EA7">
            <w:pPr>
              <w:tabs>
                <w:tab w:val="right" w:pos="9639"/>
              </w:tabs>
              <w:jc w:val="left"/>
              <w:rPr>
                <w:rFonts w:ascii="Arial" w:hAnsi="Arial" w:cs="Arial"/>
                <w:sz w:val="32"/>
              </w:rPr>
            </w:pPr>
            <w:r w:rsidRPr="004F1EA7">
              <w:rPr>
                <w:rFonts w:ascii="Arial" w:hAnsi="Arial" w:cs="Arial"/>
                <w:sz w:val="32"/>
              </w:rPr>
              <w:t>ASAMBLEA MUNDIAL DE NORMALIZACIÓN DE LAS TELECOMUNICACIONES</w:t>
            </w:r>
          </w:p>
          <w:p w:rsidR="00FB6D55" w:rsidRPr="003518D5" w:rsidRDefault="006C62D4" w:rsidP="006C62D4">
            <w:pPr>
              <w:tabs>
                <w:tab w:val="right" w:pos="9639"/>
              </w:tabs>
              <w:jc w:val="left"/>
              <w:rPr>
                <w:rFonts w:ascii="Arial" w:hAnsi="Arial" w:cs="Arial"/>
                <w:sz w:val="32"/>
              </w:rPr>
            </w:pPr>
            <w:r w:rsidRPr="006C62D4">
              <w:rPr>
                <w:rFonts w:ascii="Arial" w:hAnsi="Arial" w:cs="Arial"/>
                <w:sz w:val="32"/>
                <w:lang w:val="es-ES"/>
              </w:rPr>
              <w:t>Dubai</w:t>
            </w:r>
            <w:r w:rsidR="004F1EA7" w:rsidRPr="006C62D4">
              <w:rPr>
                <w:rFonts w:ascii="Arial" w:hAnsi="Arial" w:cs="Arial"/>
                <w:sz w:val="32"/>
                <w:lang w:val="es-ES"/>
              </w:rPr>
              <w:t>, 2</w:t>
            </w:r>
            <w:r>
              <w:rPr>
                <w:rFonts w:ascii="Arial" w:hAnsi="Arial" w:cs="Arial"/>
                <w:sz w:val="32"/>
                <w:lang w:val="es-ES"/>
              </w:rPr>
              <w:t>0</w:t>
            </w:r>
            <w:r w:rsidRPr="006C62D4">
              <w:rPr>
                <w:rFonts w:ascii="Arial" w:hAnsi="Arial" w:cs="Arial"/>
                <w:sz w:val="32"/>
                <w:lang w:val="es-ES"/>
              </w:rPr>
              <w:t>-29</w:t>
            </w:r>
            <w:r w:rsidR="004F1EA7" w:rsidRPr="006C62D4">
              <w:rPr>
                <w:rFonts w:ascii="Arial" w:hAnsi="Arial" w:cs="Arial"/>
                <w:sz w:val="32"/>
                <w:lang w:val="es-ES"/>
              </w:rPr>
              <w:t xml:space="preserve"> de </w:t>
            </w:r>
            <w:r>
              <w:rPr>
                <w:rFonts w:ascii="Arial" w:hAnsi="Arial" w:cs="Arial"/>
                <w:sz w:val="32"/>
                <w:lang w:val="es-ES"/>
              </w:rPr>
              <w:t>noviembre de 2012</w:t>
            </w:r>
          </w:p>
          <w:p w:rsidR="00FB6D55" w:rsidRPr="003518D5" w:rsidRDefault="00FB6D55" w:rsidP="00FB6D55">
            <w:pPr>
              <w:tabs>
                <w:tab w:val="right" w:pos="9639"/>
              </w:tabs>
              <w:jc w:val="left"/>
              <w:rPr>
                <w:rFonts w:ascii="Arial" w:hAnsi="Arial" w:cs="Arial"/>
                <w:sz w:val="32"/>
              </w:rPr>
            </w:pPr>
          </w:p>
        </w:tc>
      </w:tr>
      <w:tr w:rsidR="00FB6D55" w:rsidRPr="003518D5">
        <w:tblPrEx>
          <w:tblCellMar>
            <w:top w:w="0" w:type="dxa"/>
            <w:bottom w:w="0" w:type="dxa"/>
          </w:tblCellMar>
        </w:tblPrEx>
        <w:trPr>
          <w:cantSplit/>
          <w:trHeight w:hRule="exact" w:val="4536"/>
        </w:trPr>
        <w:tc>
          <w:tcPr>
            <w:tcW w:w="1418" w:type="dxa"/>
          </w:tcPr>
          <w:p w:rsidR="00FB6D55" w:rsidRPr="003518D5" w:rsidRDefault="00FB6D55">
            <w:pPr>
              <w:tabs>
                <w:tab w:val="right" w:pos="9639"/>
              </w:tabs>
              <w:rPr>
                <w:rFonts w:ascii="Arial" w:hAnsi="Arial"/>
                <w:sz w:val="18"/>
              </w:rPr>
            </w:pPr>
            <w:bookmarkStart w:id="3" w:name="c1tits" w:colFirst="1" w:colLast="1"/>
            <w:bookmarkEnd w:id="2"/>
          </w:p>
        </w:tc>
        <w:tc>
          <w:tcPr>
            <w:tcW w:w="8530" w:type="dxa"/>
            <w:gridSpan w:val="4"/>
          </w:tcPr>
          <w:p w:rsidR="00FB6D55" w:rsidRPr="00427DF1" w:rsidRDefault="004F1EA7" w:rsidP="00FF42E0">
            <w:pPr>
              <w:tabs>
                <w:tab w:val="right" w:pos="9639"/>
              </w:tabs>
              <w:jc w:val="left"/>
              <w:rPr>
                <w:rFonts w:ascii="Arial" w:hAnsi="Arial" w:cs="Arial"/>
                <w:b/>
                <w:bCs/>
                <w:sz w:val="36"/>
                <w:szCs w:val="36"/>
              </w:rPr>
            </w:pPr>
            <w:r w:rsidRPr="00427DF1">
              <w:rPr>
                <w:rFonts w:ascii="Arial" w:hAnsi="Arial" w:cs="Arial"/>
                <w:b/>
                <w:bCs/>
                <w:sz w:val="36"/>
                <w:szCs w:val="36"/>
              </w:rPr>
              <w:t>Resolución</w:t>
            </w:r>
            <w:r w:rsidRPr="00FF42E0">
              <w:rPr>
                <w:rFonts w:ascii="Arial" w:hAnsi="Arial" w:cs="Arial"/>
                <w:b/>
                <w:bCs/>
                <w:sz w:val="36"/>
                <w:szCs w:val="36"/>
              </w:rPr>
              <w:t xml:space="preserve"> </w:t>
            </w:r>
            <w:r w:rsidR="00FF42E0" w:rsidRPr="00FF42E0">
              <w:rPr>
                <w:rFonts w:ascii="Arial" w:hAnsi="Arial" w:cs="Arial"/>
                <w:b/>
                <w:bCs/>
                <w:sz w:val="36"/>
                <w:szCs w:val="36"/>
              </w:rPr>
              <w:t>66</w:t>
            </w:r>
            <w:r w:rsidRPr="00FF42E0">
              <w:rPr>
                <w:rFonts w:ascii="Arial" w:hAnsi="Arial" w:cs="Arial"/>
                <w:b/>
                <w:bCs/>
                <w:sz w:val="36"/>
                <w:szCs w:val="36"/>
              </w:rPr>
              <w:t xml:space="preserve"> – </w:t>
            </w:r>
            <w:r w:rsidR="00FF42E0" w:rsidRPr="00FF42E0">
              <w:rPr>
                <w:rFonts w:ascii="Arial" w:hAnsi="Arial" w:cs="Arial"/>
                <w:b/>
                <w:bCs/>
                <w:sz w:val="36"/>
                <w:szCs w:val="36"/>
              </w:rPr>
              <w:t>Observatorio tecnológico en la Oficina de Normalización</w:t>
            </w:r>
            <w:r w:rsidR="00FF42E0">
              <w:rPr>
                <w:rFonts w:ascii="Arial" w:hAnsi="Arial" w:cs="Arial"/>
                <w:b/>
                <w:bCs/>
                <w:sz w:val="36"/>
                <w:szCs w:val="36"/>
              </w:rPr>
              <w:t xml:space="preserve"> </w:t>
            </w:r>
            <w:r w:rsidR="00FF42E0" w:rsidRPr="00FF42E0">
              <w:rPr>
                <w:rFonts w:ascii="Arial" w:hAnsi="Arial" w:cs="Arial"/>
                <w:b/>
                <w:bCs/>
                <w:sz w:val="36"/>
                <w:szCs w:val="36"/>
              </w:rPr>
              <w:t>de las Telecomunicaciones</w:t>
            </w:r>
          </w:p>
        </w:tc>
      </w:tr>
      <w:bookmarkEnd w:id="3"/>
      <w:tr w:rsidR="00FB6D55" w:rsidRPr="003518D5">
        <w:tblPrEx>
          <w:tblCellMar>
            <w:top w:w="0" w:type="dxa"/>
            <w:bottom w:w="0" w:type="dxa"/>
          </w:tblCellMar>
        </w:tblPrEx>
        <w:trPr>
          <w:cantSplit/>
          <w:trHeight w:hRule="exact" w:val="1418"/>
        </w:trPr>
        <w:tc>
          <w:tcPr>
            <w:tcW w:w="1418" w:type="dxa"/>
          </w:tcPr>
          <w:p w:rsidR="00FB6D55" w:rsidRPr="003518D5" w:rsidRDefault="00FB6D55">
            <w:pPr>
              <w:tabs>
                <w:tab w:val="right" w:pos="9639"/>
              </w:tabs>
              <w:rPr>
                <w:rFonts w:ascii="Arial" w:hAnsi="Arial"/>
                <w:sz w:val="18"/>
              </w:rPr>
            </w:pPr>
          </w:p>
        </w:tc>
        <w:tc>
          <w:tcPr>
            <w:tcW w:w="8530" w:type="dxa"/>
            <w:gridSpan w:val="4"/>
            <w:vAlign w:val="bottom"/>
          </w:tcPr>
          <w:p w:rsidR="00FB6D55" w:rsidRPr="003518D5" w:rsidRDefault="00FB6D55" w:rsidP="004F1EA7">
            <w:pPr>
              <w:tabs>
                <w:tab w:val="right" w:pos="9639"/>
              </w:tabs>
              <w:spacing w:before="60" w:after="240"/>
              <w:jc w:val="left"/>
              <w:rPr>
                <w:rFonts w:ascii="Arial" w:hAnsi="Arial" w:cs="Arial"/>
                <w:sz w:val="32"/>
              </w:rPr>
            </w:pPr>
            <w:bookmarkStart w:id="4" w:name="dnum2s"/>
            <w:bookmarkEnd w:id="4"/>
          </w:p>
        </w:tc>
      </w:tr>
    </w:tbl>
    <w:p w:rsidR="00FB6D55" w:rsidRPr="003518D5" w:rsidRDefault="00FF42E0">
      <w:pPr>
        <w:spacing w:before="240"/>
        <w:jc w:val="right"/>
      </w:pPr>
      <w:r>
        <w:rPr>
          <w:noProof/>
          <w:lang w:val="en-US"/>
        </w:rPr>
        <w:drawing>
          <wp:inline distT="0" distB="0" distL="0" distR="0">
            <wp:extent cx="668020" cy="747395"/>
            <wp:effectExtent l="19050" t="0" r="0" b="0"/>
            <wp:docPr id="1"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srcRect/>
                    <a:stretch>
                      <a:fillRect/>
                    </a:stretch>
                  </pic:blipFill>
                  <pic:spPr bwMode="auto">
                    <a:xfrm>
                      <a:off x="0" y="0"/>
                      <a:ext cx="668020" cy="747395"/>
                    </a:xfrm>
                    <a:prstGeom prst="rect">
                      <a:avLst/>
                    </a:prstGeom>
                    <a:noFill/>
                    <a:ln w="9525">
                      <a:noFill/>
                      <a:miter lim="800000"/>
                      <a:headEnd/>
                      <a:tailEnd/>
                    </a:ln>
                  </pic:spPr>
                </pic:pic>
              </a:graphicData>
            </a:graphic>
          </wp:inline>
        </w:drawing>
      </w:r>
    </w:p>
    <w:p w:rsidR="006C62D4" w:rsidRPr="00AC4414" w:rsidRDefault="00FB6D55" w:rsidP="006C62D4">
      <w:pPr>
        <w:spacing w:before="480" w:line="240" w:lineRule="exact"/>
        <w:jc w:val="center"/>
        <w:rPr>
          <w:szCs w:val="22"/>
        </w:rPr>
      </w:pPr>
      <w:r w:rsidRPr="003518D5">
        <w:rPr>
          <w:sz w:val="20"/>
        </w:rPr>
        <w:br w:type="page"/>
      </w:r>
      <w:bookmarkStart w:id="5" w:name="c2tops"/>
      <w:bookmarkEnd w:id="5"/>
      <w:r w:rsidR="006C62D4" w:rsidRPr="00AC4414">
        <w:rPr>
          <w:szCs w:val="22"/>
        </w:rPr>
        <w:lastRenderedPageBreak/>
        <w:t>PREFACIO</w:t>
      </w:r>
    </w:p>
    <w:p w:rsidR="006C62D4" w:rsidRDefault="006C62D4" w:rsidP="006C62D4">
      <w:pPr>
        <w:pStyle w:val="Normalaftertitle"/>
        <w:spacing w:line="240" w:lineRule="exact"/>
        <w:rPr>
          <w:sz w:val="20"/>
        </w:rPr>
      </w:pPr>
      <w:r>
        <w:rPr>
          <w:sz w:val="20"/>
        </w:rPr>
        <w:t>La UIT (Unión Internacional de Telecomunicaciones) es el organismo especializado de las Naciones Unidas en el campo de las telecomunicaciones. El UIT-T (Sector de Normalización de las Telecomunicaciones de la UIT) es un órgano permanente de la UIT. Este órgano estudia los aspectos técnicos, de explotación y tarifarios y publica Recomendaciones sobre los mismos, con miras a la normalización de las telecomunicaciones en el plano mundial.</w:t>
      </w:r>
    </w:p>
    <w:p w:rsidR="006C62D4" w:rsidRDefault="006C62D4" w:rsidP="006C62D4">
      <w:pPr>
        <w:spacing w:line="240" w:lineRule="exact"/>
        <w:rPr>
          <w:sz w:val="20"/>
        </w:rPr>
      </w:pPr>
      <w:bookmarkStart w:id="6" w:name="iitexts"/>
      <w:r>
        <w:rPr>
          <w:sz w:val="20"/>
        </w:rPr>
        <w:t>La Asamblea Mundial de Normalización de las Telecomunicaciones (AMNT), que se celebra cada cuatro años, establece los temas que han de estudiar las Comisiones de Estudio del UIT</w:t>
      </w:r>
      <w:r>
        <w:rPr>
          <w:sz w:val="20"/>
        </w:rPr>
        <w:noBreakHyphen/>
        <w:t>T, que a su vez producen Recomendaciones sobre dichos temas.</w:t>
      </w:r>
    </w:p>
    <w:p w:rsidR="006C62D4" w:rsidRDefault="006C62D4" w:rsidP="006C62D4">
      <w:pPr>
        <w:spacing w:line="240" w:lineRule="exact"/>
        <w:rPr>
          <w:sz w:val="20"/>
        </w:rPr>
      </w:pPr>
      <w:r>
        <w:rPr>
          <w:sz w:val="20"/>
        </w:rPr>
        <w:t>La aprobación de Recomendaciones por los Miembros del UIT</w:t>
      </w:r>
      <w:r>
        <w:rPr>
          <w:sz w:val="20"/>
        </w:rPr>
        <w:noBreakHyphen/>
        <w:t>T es el objeto del procedimiento establecido en la Resolución 1 de la AMNT</w:t>
      </w:r>
      <w:bookmarkEnd w:id="6"/>
      <w:r>
        <w:rPr>
          <w:sz w:val="20"/>
        </w:rPr>
        <w:t>.</w:t>
      </w:r>
    </w:p>
    <w:p w:rsidR="006C62D4" w:rsidRPr="00143DCC" w:rsidRDefault="006C62D4" w:rsidP="006C62D4">
      <w:pPr>
        <w:spacing w:line="240" w:lineRule="exact"/>
        <w:rPr>
          <w:sz w:val="20"/>
        </w:rPr>
      </w:pPr>
      <w:r>
        <w:rPr>
          <w:sz w:val="20"/>
        </w:rPr>
        <w:t>En ciertos sectores de la tecnología de la información que corresponden a la esfera de competencia del UIT</w:t>
      </w:r>
      <w:r>
        <w:rPr>
          <w:sz w:val="20"/>
        </w:rPr>
        <w:noBreakHyphen/>
        <w:t>T, se preparan las normas necesarias en colaboración con la ISO y la CEI.</w:t>
      </w:r>
    </w:p>
    <w:p w:rsidR="006C62D4" w:rsidRPr="00143DCC" w:rsidRDefault="006C62D4" w:rsidP="006C62D4">
      <w:pPr>
        <w:spacing w:line="240" w:lineRule="exact"/>
        <w:jc w:val="center"/>
        <w:rPr>
          <w:sz w:val="20"/>
        </w:rPr>
      </w:pPr>
    </w:p>
    <w:p w:rsidR="00A5430F" w:rsidRDefault="00A5430F" w:rsidP="006C62D4">
      <w:pPr>
        <w:spacing w:before="480"/>
        <w:jc w:val="center"/>
        <w:rPr>
          <w:sz w:val="18"/>
        </w:rPr>
      </w:pPr>
    </w:p>
    <w:p w:rsidR="00A5430F" w:rsidRDefault="00A5430F"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C2286E" w:rsidRDefault="00C2286E" w:rsidP="00FB6D55">
      <w:pPr>
        <w:spacing w:before="80" w:after="80"/>
        <w:jc w:val="left"/>
        <w:rPr>
          <w:sz w:val="18"/>
        </w:rPr>
      </w:pPr>
    </w:p>
    <w:p w:rsidR="00A5430F" w:rsidRDefault="00A5430F" w:rsidP="00FB6D55">
      <w:pPr>
        <w:spacing w:before="80" w:after="80"/>
        <w:jc w:val="left"/>
        <w:rPr>
          <w:sz w:val="18"/>
        </w:rPr>
      </w:pPr>
    </w:p>
    <w:p w:rsidR="00C2286E" w:rsidRDefault="00C2286E" w:rsidP="00FB6D55">
      <w:pPr>
        <w:spacing w:before="80" w:after="80"/>
        <w:jc w:val="left"/>
        <w:rPr>
          <w:sz w:val="18"/>
        </w:rPr>
      </w:pPr>
    </w:p>
    <w:p w:rsidR="00C2286E" w:rsidRPr="003518D5" w:rsidRDefault="00C2286E" w:rsidP="00C2286E">
      <w:pPr>
        <w:jc w:val="center"/>
      </w:pPr>
      <w:r w:rsidRPr="003518D5">
        <w:rPr>
          <w:rFonts w:ascii="Symbol" w:hAnsi="Symbol"/>
        </w:rPr>
        <w:t></w:t>
      </w:r>
      <w:r w:rsidRPr="003518D5">
        <w:t>  UIT  </w:t>
      </w:r>
      <w:bookmarkStart w:id="7" w:name="iiannes"/>
      <w:bookmarkEnd w:id="7"/>
      <w:r w:rsidR="006C62D4">
        <w:t>2013</w:t>
      </w:r>
    </w:p>
    <w:p w:rsidR="00C2286E" w:rsidRPr="003518D5" w:rsidRDefault="00C2286E" w:rsidP="00C2286E">
      <w:pPr>
        <w:tabs>
          <w:tab w:val="clear" w:pos="794"/>
          <w:tab w:val="clear" w:pos="1191"/>
          <w:tab w:val="clear" w:pos="1588"/>
          <w:tab w:val="clear" w:pos="1985"/>
        </w:tabs>
        <w:overflowPunct/>
        <w:textAlignment w:val="auto"/>
      </w:pPr>
      <w:r w:rsidRPr="003518D5">
        <w:t>Reservados todos los derechos. Ninguna parte de esta publicación puede reproducirse por ningún procedimiento sin previa autorización escrita por parte de la UIT.</w:t>
      </w:r>
    </w:p>
    <w:p w:rsidR="00FB6D55" w:rsidRPr="003518D5" w:rsidRDefault="00FB6D55">
      <w:pPr>
        <w:sectPr w:rsidR="00FB6D55" w:rsidRPr="003518D5" w:rsidSect="00862C3A">
          <w:pgSz w:w="11907" w:h="16840" w:code="9"/>
          <w:pgMar w:top="1077" w:right="1077" w:bottom="284" w:left="1077" w:header="284" w:footer="567" w:gutter="0"/>
          <w:paperSrc w:first="15" w:other="15"/>
          <w:pgNumType w:start="1"/>
          <w:cols w:space="720"/>
        </w:sectPr>
      </w:pPr>
    </w:p>
    <w:p w:rsidR="002A4E5E" w:rsidRDefault="002A4E5E" w:rsidP="002A4E5E">
      <w:bookmarkStart w:id="8" w:name="irecnos"/>
      <w:bookmarkEnd w:id="8"/>
    </w:p>
    <w:p w:rsidR="00FF42E0" w:rsidRPr="00FF42E0" w:rsidRDefault="00FF42E0" w:rsidP="00FF42E0">
      <w:pPr>
        <w:pStyle w:val="ResNo"/>
        <w:jc w:val="center"/>
        <w:rPr>
          <w:b w:val="0"/>
        </w:rPr>
      </w:pPr>
      <w:r w:rsidRPr="00FF42E0">
        <w:rPr>
          <w:b w:val="0"/>
        </w:rPr>
        <w:t xml:space="preserve">RESOLUCIÓN </w:t>
      </w:r>
      <w:r w:rsidRPr="00FF42E0">
        <w:rPr>
          <w:rStyle w:val="href"/>
          <w:b w:val="0"/>
        </w:rPr>
        <w:t>66</w:t>
      </w:r>
      <w:r w:rsidRPr="00FF42E0">
        <w:rPr>
          <w:b w:val="0"/>
        </w:rPr>
        <w:t xml:space="preserve"> (</w:t>
      </w:r>
      <w:r w:rsidRPr="00FF42E0">
        <w:rPr>
          <w:b w:val="0"/>
          <w:caps/>
        </w:rPr>
        <w:t>Rev</w:t>
      </w:r>
      <w:r w:rsidRPr="00FF42E0">
        <w:rPr>
          <w:b w:val="0"/>
        </w:rPr>
        <w:t xml:space="preserve">. </w:t>
      </w:r>
      <w:r w:rsidRPr="00FF42E0">
        <w:rPr>
          <w:b w:val="0"/>
          <w:caps/>
        </w:rPr>
        <w:t>Dubai</w:t>
      </w:r>
      <w:r w:rsidRPr="00FF42E0">
        <w:rPr>
          <w:b w:val="0"/>
        </w:rPr>
        <w:t>, 2012)</w:t>
      </w:r>
    </w:p>
    <w:p w:rsidR="00FF42E0" w:rsidRPr="009B7146" w:rsidRDefault="00FF42E0" w:rsidP="00FF42E0">
      <w:pPr>
        <w:pStyle w:val="Restitle"/>
        <w:spacing w:before="120"/>
      </w:pPr>
      <w:r w:rsidRPr="009B7146">
        <w:t>Observatorio tecnológico en la Oficina de Normalización</w:t>
      </w:r>
      <w:r w:rsidRPr="009B7146">
        <w:br/>
        <w:t xml:space="preserve">de las Telecomunicaciones </w:t>
      </w:r>
    </w:p>
    <w:p w:rsidR="00FF42E0" w:rsidRPr="009B7146" w:rsidRDefault="00FF42E0" w:rsidP="00FF42E0">
      <w:pPr>
        <w:pStyle w:val="Resref"/>
        <w:rPr>
          <w:i w:val="0"/>
          <w:iCs/>
        </w:rPr>
      </w:pPr>
      <w:r w:rsidRPr="009B7146">
        <w:rPr>
          <w:iCs/>
        </w:rPr>
        <w:t>(Johannesburgo, 2008; Dubai, 2012)</w:t>
      </w:r>
    </w:p>
    <w:p w:rsidR="00FF42E0" w:rsidRPr="009B7146" w:rsidRDefault="00FF42E0" w:rsidP="00FF42E0">
      <w:pPr>
        <w:pStyle w:val="Normalaftertitle0"/>
        <w:rPr>
          <w:lang w:val="es-ES_tradnl"/>
        </w:rPr>
      </w:pPr>
      <w:r w:rsidRPr="009B7146">
        <w:rPr>
          <w:lang w:val="es-ES_tradnl"/>
        </w:rPr>
        <w:t>La Asamblea Mundial de Normalización de las Telecomunicaciones (Dubai, 2012),</w:t>
      </w:r>
    </w:p>
    <w:p w:rsidR="00FF42E0" w:rsidRPr="009B7146" w:rsidRDefault="00FF42E0" w:rsidP="00FF42E0">
      <w:pPr>
        <w:pStyle w:val="Call"/>
        <w:spacing w:before="120"/>
      </w:pPr>
      <w:r w:rsidRPr="009B7146">
        <w:t>considerando</w:t>
      </w:r>
    </w:p>
    <w:p w:rsidR="00FF42E0" w:rsidRPr="009B7146" w:rsidRDefault="00FF42E0" w:rsidP="00FF42E0">
      <w:r w:rsidRPr="009B7146">
        <w:rPr>
          <w:i/>
          <w:iCs/>
        </w:rPr>
        <w:t>a)</w:t>
      </w:r>
      <w:r w:rsidRPr="009B7146">
        <w:tab/>
        <w:t>que convendría que la Oficina de Normalización de las Telecomunicaciones (TSB)  pasara revista a las nuevas tecnologías con miras a posibles nuevas actividades de normalización en la UIT, y estudiara la manera de incluir dichas nuevas tecnologías en el programa de trabajo del Sector de Normalización de las Telecomunicaciones de la UIT (UIT-T);</w:t>
      </w:r>
    </w:p>
    <w:p w:rsidR="00FF42E0" w:rsidRPr="009B7146" w:rsidRDefault="00FF42E0" w:rsidP="00FF42E0">
      <w:r w:rsidRPr="009B7146">
        <w:rPr>
          <w:i/>
          <w:iCs/>
        </w:rPr>
        <w:t>b)</w:t>
      </w:r>
      <w:r w:rsidRPr="009B7146">
        <w:tab/>
        <w:t>que el Observatorio tecnológico determina cuáles son las tecnologías incipientes, así como su probable repercusión sobre la futura labor de normalización tanto para los países desarrollados como para los países en desarrollo</w:t>
      </w:r>
      <w:r w:rsidRPr="009B7146">
        <w:rPr>
          <w:rStyle w:val="FootnoteReference"/>
        </w:rPr>
        <w:footnoteReference w:customMarkFollows="1" w:id="1"/>
        <w:t>1</w:t>
      </w:r>
      <w:r w:rsidRPr="009B7146">
        <w:t>, con el fin de definir temas de trabajo para posibles</w:t>
      </w:r>
      <w:r>
        <w:t xml:space="preserve"> nuevas Recomendaciones del UIT</w:t>
      </w:r>
      <w:r>
        <w:noBreakHyphen/>
      </w:r>
      <w:r w:rsidRPr="009B7146">
        <w:t>T;</w:t>
      </w:r>
    </w:p>
    <w:p w:rsidR="00FF42E0" w:rsidRPr="009B7146" w:rsidRDefault="00FF42E0" w:rsidP="00FF42E0">
      <w:r w:rsidRPr="009B7146">
        <w:rPr>
          <w:i/>
          <w:iCs/>
        </w:rPr>
        <w:t>c)</w:t>
      </w:r>
      <w:r w:rsidRPr="009B7146">
        <w:tab/>
        <w:t xml:space="preserve">que la rápida transformación del entorno de las telecomunicaciones/tecnologías de la información y la comunicación (TIC) exige un seguimiento de la evolución de las tecnologías y una reacción inmediata, a fin de poder proponer sin dilación posibles actividades de normalización del UIT-T; </w:t>
      </w:r>
    </w:p>
    <w:p w:rsidR="00FF42E0" w:rsidRPr="009B7146" w:rsidRDefault="00FF42E0" w:rsidP="00FF42E0">
      <w:r w:rsidRPr="009B7146">
        <w:rPr>
          <w:i/>
          <w:iCs/>
        </w:rPr>
        <w:t>d</w:t>
      </w:r>
      <w:r w:rsidRPr="009B7146">
        <w:t>)</w:t>
      </w:r>
      <w:r w:rsidRPr="009B7146">
        <w:tab/>
        <w:t>que las telecomunicaciones/TIC propician la creación de aplicaciones y servicios en otros sectores económicos;</w:t>
      </w:r>
    </w:p>
    <w:p w:rsidR="00FF42E0" w:rsidRPr="009B7146" w:rsidRDefault="00FF42E0" w:rsidP="00FF42E0">
      <w:r w:rsidRPr="009B7146">
        <w:rPr>
          <w:i/>
          <w:iCs/>
        </w:rPr>
        <w:t>e)</w:t>
      </w:r>
      <w:r w:rsidRPr="009B7146">
        <w:tab/>
        <w:t>que se debe efectuar el seguimiento y evaluación de esa evolución y de la manera en que guarda relación con el programa de trabajo del UIT-T;</w:t>
      </w:r>
    </w:p>
    <w:p w:rsidR="00FF42E0" w:rsidRPr="009B7146" w:rsidRDefault="00FF42E0" w:rsidP="00FF42E0">
      <w:r w:rsidRPr="009B7146">
        <w:rPr>
          <w:i/>
          <w:iCs/>
        </w:rPr>
        <w:t>f)</w:t>
      </w:r>
      <w:r w:rsidRPr="009B7146">
        <w:tab/>
        <w:t>que el Observatorio tecnológico colabora con los Miembros de la UIT, organizaciones de normalización reconocidas por la UIT, universidades, instituciones académicas y otros organismos conexos,</w:t>
      </w:r>
    </w:p>
    <w:p w:rsidR="00FF42E0" w:rsidRPr="00933B8D" w:rsidRDefault="00FF42E0" w:rsidP="00FF42E0">
      <w:pPr>
        <w:pStyle w:val="Call"/>
        <w:spacing w:before="120"/>
        <w:rPr>
          <w:rtl/>
        </w:rPr>
      </w:pPr>
      <w:r w:rsidRPr="009B7146">
        <w:t>reconociendo</w:t>
      </w:r>
    </w:p>
    <w:p w:rsidR="00FF42E0" w:rsidRPr="009B7146" w:rsidRDefault="00FF42E0" w:rsidP="00FF42E0">
      <w:r w:rsidRPr="009B7146">
        <w:t>los resultados alentadores del Observatorio tecnológico durante los últimos ciclos,</w:t>
      </w:r>
    </w:p>
    <w:p w:rsidR="00FF42E0" w:rsidRPr="009B7146" w:rsidRDefault="00FF42E0" w:rsidP="00FF42E0">
      <w:pPr>
        <w:pStyle w:val="Call"/>
        <w:spacing w:before="120"/>
      </w:pPr>
      <w:r w:rsidRPr="009B7146">
        <w:t>resuelve encargar al Director de la Oficina de Normalización de las Telecomunicaciones</w:t>
      </w:r>
    </w:p>
    <w:p w:rsidR="00FF42E0" w:rsidRPr="009B7146" w:rsidRDefault="00FF42E0" w:rsidP="00FF42E0">
      <w:r w:rsidRPr="009B7146">
        <w:t>1</w:t>
      </w:r>
      <w:r w:rsidRPr="009B7146">
        <w:tab/>
        <w:t>que el Observatorio tecnológico realice sus actividades en el seno de la Oficina de Normalización de las Telecomunicaciones y presente sus conclusiones con miras a contribuir a la elaboración de Recomendaciones UIT-T pertinentes;</w:t>
      </w:r>
    </w:p>
    <w:p w:rsidR="00FF42E0" w:rsidRPr="009B7146" w:rsidRDefault="00FF42E0" w:rsidP="00FF42E0">
      <w:r w:rsidRPr="009B7146">
        <w:t>2</w:t>
      </w:r>
      <w:r w:rsidRPr="009B7146">
        <w:tab/>
        <w:t>que continúe comunicando sin dilación los resultados del  Observatorio tecnológico, junto con las conclusiones y análisis pertinentes, a las Comisiones de Estudio correspondientes y al Grupo Asesor de Normalización de las Telecomunicaciones (GANT) para que los examinen y adopten las medidas oportunas con arreglo a sus mandatos;</w:t>
      </w:r>
    </w:p>
    <w:p w:rsidR="00FF42E0" w:rsidRPr="009B7146" w:rsidRDefault="00FF42E0" w:rsidP="00FF42E0">
      <w:r w:rsidRPr="009B7146">
        <w:t>3</w:t>
      </w:r>
      <w:r w:rsidRPr="009B7146">
        <w:tab/>
        <w:t>que siga publicando breves resúmenes de los principales resultados del  Observatorio tecnológico,</w:t>
      </w:r>
    </w:p>
    <w:p w:rsidR="00FF42E0" w:rsidRPr="009B7146" w:rsidRDefault="00FF42E0" w:rsidP="00FF42E0">
      <w:pPr>
        <w:pStyle w:val="Call"/>
        <w:keepNext w:val="0"/>
        <w:keepLines w:val="0"/>
      </w:pPr>
      <w:r w:rsidRPr="009B7146">
        <w:t>alienta a los Estados Miembros y a los Miembros de Sector</w:t>
      </w:r>
    </w:p>
    <w:p w:rsidR="00FF42E0" w:rsidRDefault="00FF42E0" w:rsidP="00FF42E0">
      <w:r w:rsidRPr="009B7146">
        <w:t>a contribuir activamente al Observatorio tecnológico a través de la presentación de propuestas y resúmenes de temas para futuras actividades y del examen y debate de las conc</w:t>
      </w:r>
      <w:r>
        <w:t>lusiones de dicho Observatorio.</w:t>
      </w:r>
    </w:p>
    <w:p w:rsidR="006C62D4" w:rsidRPr="00C87C51" w:rsidRDefault="006C62D4" w:rsidP="00C87C51">
      <w:pPr>
        <w:spacing w:before="160" w:line="280" w:lineRule="exact"/>
      </w:pPr>
    </w:p>
    <w:sectPr w:rsidR="006C62D4" w:rsidRPr="00C87C51" w:rsidSect="00DB1EE7">
      <w:headerReference w:type="even" r:id="rId10"/>
      <w:headerReference w:type="default" r:id="rId11"/>
      <w:footerReference w:type="even" r:id="rId12"/>
      <w:footerReference w:type="default" r:id="rId13"/>
      <w:pgSz w:w="11907" w:h="16840" w:code="9"/>
      <w:pgMar w:top="1134" w:right="1134" w:bottom="1134" w:left="1134" w:header="567" w:footer="567" w:gutter="0"/>
      <w:paperSrc w:first="15" w:other="15"/>
      <w:pgNumType w:start="1"/>
      <w:cols w:space="720"/>
      <w:vAlign w:val="both"/>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12C" w:rsidRDefault="004B312C">
      <w:r>
        <w:separator/>
      </w:r>
    </w:p>
  </w:endnote>
  <w:endnote w:type="continuationSeparator" w:id="0">
    <w:p w:rsidR="004B312C" w:rsidRDefault="004B3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Default="00877E7D" w:rsidP="00877E7D">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FF42E0">
      <w:rPr>
        <w:b w:val="0"/>
        <w:noProof/>
        <w:lang w:val="es-ES"/>
      </w:rPr>
      <w:t>2</w:t>
    </w:r>
    <w:r w:rsidRPr="002D6EB1">
      <w:rPr>
        <w:b w:val="0"/>
      </w:rPr>
      <w:fldChar w:fldCharType="end"/>
    </w:r>
    <w:r w:rsidRPr="00877E7D">
      <w:rPr>
        <w:lang w:val="es-ES"/>
      </w:rPr>
      <w:tab/>
    </w:r>
    <w:r>
      <w:t>AMNT</w:t>
    </w:r>
    <w:r w:rsidRPr="00877E7D">
      <w:rPr>
        <w:lang w:val="es-ES"/>
      </w:rPr>
      <w:t>-12 –</w:t>
    </w:r>
    <w:r>
      <w:rPr>
        <w:lang w:val="es-ES"/>
      </w:rPr>
      <w:t xml:space="preserve"> </w:t>
    </w:r>
    <w:r w:rsidRPr="00877E7D">
      <w:rPr>
        <w:lang w:val="es-ES"/>
      </w:rPr>
      <w:t xml:space="preserve">Resolución </w:t>
    </w:r>
    <w:r w:rsidR="00427DF1">
      <w:rPr>
        <w:lang w:val="en-US"/>
      </w:rPr>
      <w:t>31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7D" w:rsidRPr="00877E7D" w:rsidRDefault="00877E7D" w:rsidP="00877E7D">
    <w:pPr>
      <w:pStyle w:val="FooterQP"/>
      <w:rPr>
        <w:b w:val="0"/>
        <w:lang w:val="en-US"/>
      </w:rPr>
    </w:pPr>
    <w:r>
      <w:tab/>
    </w:r>
    <w:r>
      <w:tab/>
      <w:t>AMNT</w:t>
    </w:r>
    <w:r>
      <w:rPr>
        <w:lang w:val="en-US"/>
      </w:rPr>
      <w:t xml:space="preserve">-12 – Resolución </w:t>
    </w:r>
    <w:r w:rsidR="00FF42E0">
      <w:rPr>
        <w:lang w:val="en-US"/>
      </w:rPr>
      <w:t>66</w:t>
    </w:r>
    <w:r>
      <w:rPr>
        <w:lang w:val="en-US"/>
      </w:rPr>
      <w:tab/>
    </w:r>
    <w:r>
      <w:rPr>
        <w:b w:val="0"/>
      </w:rPr>
      <w:fldChar w:fldCharType="begin"/>
    </w:r>
    <w:r>
      <w:rPr>
        <w:b w:val="0"/>
        <w:lang w:val="en-US"/>
      </w:rPr>
      <w:instrText xml:space="preserve"> PAGE  \* MERGEFORMAT </w:instrText>
    </w:r>
    <w:r>
      <w:rPr>
        <w:b w:val="0"/>
      </w:rPr>
      <w:fldChar w:fldCharType="separate"/>
    </w:r>
    <w:r w:rsidR="00FF42E0">
      <w:rPr>
        <w:b w:val="0"/>
        <w:noProof/>
        <w:lang w:val="en-US"/>
      </w:rPr>
      <w:t>1</w:t>
    </w:r>
    <w:r>
      <w:rP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12C" w:rsidRDefault="004B312C">
      <w:r>
        <w:t>____________________</w:t>
      </w:r>
    </w:p>
  </w:footnote>
  <w:footnote w:type="continuationSeparator" w:id="0">
    <w:p w:rsidR="004B312C" w:rsidRDefault="004B312C">
      <w:r>
        <w:continuationSeparator/>
      </w:r>
    </w:p>
  </w:footnote>
  <w:footnote w:id="1">
    <w:p w:rsidR="00FF42E0" w:rsidRPr="009B7146" w:rsidRDefault="00FF42E0" w:rsidP="00FF42E0">
      <w:pPr>
        <w:pStyle w:val="FootnoteText"/>
        <w:tabs>
          <w:tab w:val="left" w:pos="284"/>
        </w:tabs>
      </w:pPr>
      <w:r w:rsidRPr="009B7146">
        <w:rPr>
          <w:rStyle w:val="FootnoteReference"/>
        </w:rPr>
        <w:t>1</w:t>
      </w:r>
      <w:r w:rsidRPr="009B7146">
        <w:t xml:space="preserve"> </w:t>
      </w:r>
      <w:r w:rsidRPr="009B7146">
        <w:tab/>
        <w:t>Este término incluye también a los países menos adelantados, los pequeños Estados insulares en desarrollo, los países en desarrollo sin litoral y los países con economías en transición.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F26" w:rsidRPr="00D075E1" w:rsidRDefault="006D0F26" w:rsidP="00D075E1">
    <w:pPr>
      <w:pStyle w:val="Header"/>
      <w:rPr>
        <w:rStyle w:val="PageNumbe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rsids>
    <w:rsidRoot w:val="00FB6D55"/>
    <w:rsid w:val="000040EB"/>
    <w:rsid w:val="00011D16"/>
    <w:rsid w:val="00021556"/>
    <w:rsid w:val="00044B4D"/>
    <w:rsid w:val="00065BE4"/>
    <w:rsid w:val="00082EA6"/>
    <w:rsid w:val="000B08A1"/>
    <w:rsid w:val="000B3B7D"/>
    <w:rsid w:val="000E0592"/>
    <w:rsid w:val="000E0C3D"/>
    <w:rsid w:val="000E6A10"/>
    <w:rsid w:val="00104176"/>
    <w:rsid w:val="00104723"/>
    <w:rsid w:val="00115F55"/>
    <w:rsid w:val="001166BD"/>
    <w:rsid w:val="00153A2F"/>
    <w:rsid w:val="00160F88"/>
    <w:rsid w:val="00164FB0"/>
    <w:rsid w:val="001958EC"/>
    <w:rsid w:val="001C4D78"/>
    <w:rsid w:val="001E3C05"/>
    <w:rsid w:val="001E47B2"/>
    <w:rsid w:val="001F5708"/>
    <w:rsid w:val="001F7101"/>
    <w:rsid w:val="00212260"/>
    <w:rsid w:val="0021547F"/>
    <w:rsid w:val="00217CDB"/>
    <w:rsid w:val="00241D6F"/>
    <w:rsid w:val="00245661"/>
    <w:rsid w:val="00256525"/>
    <w:rsid w:val="00256F54"/>
    <w:rsid w:val="0029052C"/>
    <w:rsid w:val="00295585"/>
    <w:rsid w:val="002A4E5E"/>
    <w:rsid w:val="00315C1E"/>
    <w:rsid w:val="003518D5"/>
    <w:rsid w:val="00372B66"/>
    <w:rsid w:val="00377687"/>
    <w:rsid w:val="003C2D00"/>
    <w:rsid w:val="003E33A8"/>
    <w:rsid w:val="003F0680"/>
    <w:rsid w:val="00400600"/>
    <w:rsid w:val="00427DF1"/>
    <w:rsid w:val="004442F6"/>
    <w:rsid w:val="00466E41"/>
    <w:rsid w:val="004B312C"/>
    <w:rsid w:val="004F1EA7"/>
    <w:rsid w:val="0052251F"/>
    <w:rsid w:val="005330B1"/>
    <w:rsid w:val="005428C5"/>
    <w:rsid w:val="005435AA"/>
    <w:rsid w:val="0055021E"/>
    <w:rsid w:val="00585ED1"/>
    <w:rsid w:val="005A4F08"/>
    <w:rsid w:val="006349BE"/>
    <w:rsid w:val="00642735"/>
    <w:rsid w:val="00643BC7"/>
    <w:rsid w:val="00671751"/>
    <w:rsid w:val="006A2304"/>
    <w:rsid w:val="006C1E98"/>
    <w:rsid w:val="006C5ED6"/>
    <w:rsid w:val="006C62D4"/>
    <w:rsid w:val="006D0F26"/>
    <w:rsid w:val="006E43AB"/>
    <w:rsid w:val="006F5455"/>
    <w:rsid w:val="007057EE"/>
    <w:rsid w:val="00712378"/>
    <w:rsid w:val="00743611"/>
    <w:rsid w:val="0079215F"/>
    <w:rsid w:val="007A0BE3"/>
    <w:rsid w:val="007B0D90"/>
    <w:rsid w:val="007C64E7"/>
    <w:rsid w:val="007C7F35"/>
    <w:rsid w:val="008222EF"/>
    <w:rsid w:val="00831A21"/>
    <w:rsid w:val="00841271"/>
    <w:rsid w:val="00862C3A"/>
    <w:rsid w:val="00877E7D"/>
    <w:rsid w:val="00892A35"/>
    <w:rsid w:val="00896AAF"/>
    <w:rsid w:val="008B2002"/>
    <w:rsid w:val="008C6F85"/>
    <w:rsid w:val="008D5D1B"/>
    <w:rsid w:val="008D6B1E"/>
    <w:rsid w:val="008F7079"/>
    <w:rsid w:val="00906FCA"/>
    <w:rsid w:val="00917AD8"/>
    <w:rsid w:val="009215A0"/>
    <w:rsid w:val="009242C6"/>
    <w:rsid w:val="00946DF2"/>
    <w:rsid w:val="009560C3"/>
    <w:rsid w:val="009B4B48"/>
    <w:rsid w:val="009C06D6"/>
    <w:rsid w:val="009E4ACC"/>
    <w:rsid w:val="00A048CE"/>
    <w:rsid w:val="00A054FD"/>
    <w:rsid w:val="00A16E12"/>
    <w:rsid w:val="00A23640"/>
    <w:rsid w:val="00A300F8"/>
    <w:rsid w:val="00A31A3C"/>
    <w:rsid w:val="00A428C4"/>
    <w:rsid w:val="00A5029E"/>
    <w:rsid w:val="00A5430F"/>
    <w:rsid w:val="00A64176"/>
    <w:rsid w:val="00A762C1"/>
    <w:rsid w:val="00A7749A"/>
    <w:rsid w:val="00AD62D4"/>
    <w:rsid w:val="00AE5D2B"/>
    <w:rsid w:val="00B122C8"/>
    <w:rsid w:val="00B24C2D"/>
    <w:rsid w:val="00B31246"/>
    <w:rsid w:val="00B450BE"/>
    <w:rsid w:val="00B57627"/>
    <w:rsid w:val="00B61661"/>
    <w:rsid w:val="00B96F52"/>
    <w:rsid w:val="00BD5BF5"/>
    <w:rsid w:val="00BE0A5C"/>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74EFE"/>
    <w:rsid w:val="00D9465C"/>
    <w:rsid w:val="00D962F2"/>
    <w:rsid w:val="00DB1EE7"/>
    <w:rsid w:val="00DC4B81"/>
    <w:rsid w:val="00DD71D5"/>
    <w:rsid w:val="00E16169"/>
    <w:rsid w:val="00E26A91"/>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F23D8"/>
    <w:rsid w:val="00FF4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rPr>
  </w:style>
  <w:style w:type="paragraph" w:styleId="Heading1">
    <w:name w:val="heading 1"/>
    <w:basedOn w:val="Normal"/>
    <w:next w:val="Normal"/>
    <w:qFormat/>
    <w:rsid w:val="00082EA6"/>
    <w:pPr>
      <w:keepNext/>
      <w:keepLines/>
      <w:spacing w:before="360"/>
      <w:ind w:left="794" w:hanging="794"/>
      <w:jc w:val="left"/>
      <w:outlineLvl w:val="0"/>
    </w:pPr>
    <w:rPr>
      <w:b/>
    </w:rPr>
  </w:style>
  <w:style w:type="paragraph" w:styleId="Heading2">
    <w:name w:val="heading 2"/>
    <w:basedOn w:val="Heading1"/>
    <w:next w:val="Normal"/>
    <w:link w:val="Heading2Char"/>
    <w:qFormat/>
    <w:rsid w:val="00082EA6"/>
    <w:pPr>
      <w:spacing w:before="240"/>
      <w:outlineLvl w:val="1"/>
    </w:pPr>
    <w:rPr>
      <w:rFonts w:ascii="CG Times" w:hAnsi="CG Times"/>
      <w:sz w:val="24"/>
    </w:r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semiHidden/>
    <w:rsid w:val="00082EA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C3111E"/>
    <w:pPr>
      <w:keepLines/>
      <w:tabs>
        <w:tab w:val="left" w:pos="255"/>
      </w:tabs>
      <w:spacing w:before="80"/>
      <w:ind w:left="255" w:hanging="255"/>
    </w:pPr>
    <w:rPr>
      <w:sz w:val="20"/>
    </w:rPr>
  </w:style>
  <w:style w:type="paragraph" w:customStyle="1" w:styleId="Note">
    <w:name w:val="Note"/>
    <w:basedOn w:val="Normal"/>
    <w:rsid w:val="00082EA6"/>
    <w:pPr>
      <w:spacing w:before="80"/>
    </w:p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uiPriority w:val="99"/>
    <w:rsid w:val="00082EA6"/>
    <w:pPr>
      <w:spacing w:before="80"/>
      <w:ind w:left="794" w:hanging="794"/>
    </w:pPr>
    <w:rPr>
      <w:rFonts w:ascii="CG Times" w:hAnsi="CG Times"/>
      <w:sz w:val="24"/>
    </w:r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sz w:val="24"/>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rPr>
      <w:rFonts w:ascii="CG Times" w:hAnsi="CG Times"/>
      <w:sz w:val="24"/>
    </w:r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rFonts w:ascii="CG Times" w:hAnsi="CG Times"/>
      <w:b/>
    </w:rPr>
  </w:style>
  <w:style w:type="paragraph" w:customStyle="1" w:styleId="Headingb">
    <w:name w:val="Heading_b"/>
    <w:basedOn w:val="Normal"/>
    <w:next w:val="Normal"/>
    <w:qFormat/>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082EA6"/>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rFonts w:ascii="CG Times" w:hAnsi="CG Times"/>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uiPriority w:val="99"/>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6F5455"/>
    <w:rPr>
      <w:rFonts w:ascii="Times New Roman" w:hAnsi="Times New Roman"/>
      <w:b/>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AnnexNo">
    <w:name w:val="Annex_No"/>
    <w:basedOn w:val="Normal"/>
    <w:next w:val="Normal"/>
    <w:rsid w:val="002A4E5E"/>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2A4E5E"/>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Reasons">
    <w:name w:val="Reasons"/>
    <w:basedOn w:val="Normal"/>
    <w:qFormat/>
    <w:rsid w:val="00427DF1"/>
    <w:pPr>
      <w:tabs>
        <w:tab w:val="clear" w:pos="794"/>
        <w:tab w:val="clear" w:pos="1191"/>
        <w:tab w:val="left" w:pos="1134"/>
      </w:tabs>
      <w:jc w:val="left"/>
    </w:pPr>
    <w:rPr>
      <w:sz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854BA-97B7-4246-BAD0-4BE55DBA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QPUBS</Template>
  <TotalTime>3</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UIT-T Rec. E.802 (02/2007) Marco y metodología para la determinación y la aplicación de parámetros de calidad de servicio </vt:lpstr>
    </vt:vector>
  </TitlesOfParts>
  <Company>ITU</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Marco y metodología para la determinación y la aplicación de parámetros de calidad de servicio </dc:title>
  <dc:subject>SERIE E: EXPLOTACIÓN GENERAL DE LA RED, SERVICIO TELEFÓNICO, EXPLOTACIÓN DEL SERVICIO Y FACTORES HUMANOS - Calidad de los servicios de telecomunicación: conceptos, modelos, objetivos, planificación de la seguridad de funcionamiento – Términos y definicion</dc:subject>
  <dc:creator>Comisión de Estudio 2 del UIT-T</dc:creator>
  <cp:keywords>E.802,E,802</cp:keywords>
  <dc:description>Saved by MRG106308 at 10:22:31 on 06.12.2007</dc:description>
  <cp:lastModifiedBy>Brian</cp:lastModifiedBy>
  <cp:revision>2</cp:revision>
  <cp:lastPrinted>2007-10-18T07:42:00Z</cp:lastPrinted>
  <dcterms:created xsi:type="dcterms:W3CDTF">2013-04-25T15:18:00Z</dcterms:created>
  <dcterms:modified xsi:type="dcterms:W3CDTF">2013-04-25T15:18:00Z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