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 w14:paraId="6D5FF25C" w14:textId="77777777">
        <w:trPr>
          <w:trHeight w:hRule="exact" w:val="1418"/>
        </w:trPr>
        <w:tc>
          <w:tcPr>
            <w:tcW w:w="1428" w:type="dxa"/>
            <w:gridSpan w:val="2"/>
          </w:tcPr>
          <w:p w14:paraId="31646A51" w14:textId="77777777" w:rsidR="00FB6D55" w:rsidRPr="003518D5" w:rsidRDefault="00E5178C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 wp14:anchorId="5C59629E" wp14:editId="6C291C5D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F717A" w14:textId="77777777"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6C13D2C" w14:textId="77777777" w:rsidR="00FB6D55" w:rsidRPr="003518D5" w:rsidRDefault="00FB6D55">
            <w:pPr>
              <w:spacing w:before="0"/>
            </w:pPr>
          </w:p>
          <w:p w14:paraId="5E549188" w14:textId="77777777"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 w14:paraId="03AC2814" w14:textId="77777777">
        <w:trPr>
          <w:trHeight w:hRule="exact" w:val="992"/>
        </w:trPr>
        <w:tc>
          <w:tcPr>
            <w:tcW w:w="1428" w:type="dxa"/>
            <w:gridSpan w:val="2"/>
          </w:tcPr>
          <w:p w14:paraId="14E1991A" w14:textId="77777777"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DBB40A8" w14:textId="77777777" w:rsidR="00FB6D55" w:rsidRPr="003518D5" w:rsidRDefault="00FB6D55"/>
        </w:tc>
      </w:tr>
      <w:tr w:rsidR="00FB6D55" w:rsidRPr="003518D5" w14:paraId="123112C6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14:paraId="7E8A3FD5" w14:textId="77777777"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14:paraId="18BFD3E7" w14:textId="77777777"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 w14:paraId="735E4505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FA9DED6" w14:textId="77777777"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proofErr w:type="gramStart"/>
            <w:r w:rsidRPr="003518D5">
              <w:rPr>
                <w:rFonts w:ascii="Arial" w:hAnsi="Arial"/>
                <w:sz w:val="20"/>
              </w:rPr>
              <w:t>SECTOR  DE</w:t>
            </w:r>
            <w:proofErr w:type="gramEnd"/>
            <w:r w:rsidRPr="003518D5">
              <w:rPr>
                <w:rFonts w:ascii="Arial" w:hAnsi="Arial"/>
                <w:sz w:val="20"/>
              </w:rPr>
              <w:t xml:space="preserve">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14:paraId="32D6BEB0" w14:textId="77777777"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 w14:paraId="121DE7FC" w14:textId="77777777">
        <w:trPr>
          <w:cantSplit/>
          <w:trHeight w:hRule="exact" w:val="3402"/>
        </w:trPr>
        <w:tc>
          <w:tcPr>
            <w:tcW w:w="1418" w:type="dxa"/>
          </w:tcPr>
          <w:p w14:paraId="028ABDEB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1FA47F78" w14:textId="77777777"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14:paraId="04BAE0B0" w14:textId="021939E7" w:rsidR="00FB6D55" w:rsidRPr="003518D5" w:rsidRDefault="00100C95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s-ES"/>
              </w:rPr>
              <w:t>Ginebra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, </w:t>
            </w:r>
            <w:r w:rsidRPr="00100C95">
              <w:rPr>
                <w:rFonts w:ascii="Arial" w:hAnsi="Arial" w:cs="Arial"/>
                <w:sz w:val="32"/>
                <w:lang w:val="es-ES"/>
              </w:rPr>
              <w:t>1-9 de marzo de 2022</w:t>
            </w:r>
          </w:p>
          <w:p w14:paraId="104A6C00" w14:textId="77777777"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 w14:paraId="6398E4B4" w14:textId="77777777">
        <w:trPr>
          <w:cantSplit/>
          <w:trHeight w:hRule="exact" w:val="4536"/>
        </w:trPr>
        <w:tc>
          <w:tcPr>
            <w:tcW w:w="1418" w:type="dxa"/>
          </w:tcPr>
          <w:p w14:paraId="205979ED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14:paraId="23A74899" w14:textId="17B97897" w:rsidR="00FB6D55" w:rsidRPr="003518D5" w:rsidRDefault="004F1EA7" w:rsidP="0028582D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7F3FD5">
              <w:rPr>
                <w:rFonts w:ascii="Arial" w:hAnsi="Arial" w:cs="Arial"/>
                <w:b/>
                <w:bCs/>
                <w:sz w:val="36"/>
                <w:szCs w:val="36"/>
              </w:rPr>
              <w:t>65</w:t>
            </w:r>
            <w:r w:rsidR="002858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DC0FE1" w:rsidRPr="00DC0FE1">
              <w:rPr>
                <w:rFonts w:ascii="Arial" w:hAnsi="Arial" w:cs="Arial"/>
                <w:b/>
                <w:bCs/>
                <w:sz w:val="36"/>
                <w:szCs w:val="36"/>
              </w:rPr>
              <w:t>Comunicación del número de la parte llamante, identificación de la línea llamante e información sobre la identificación del origen</w:t>
            </w:r>
          </w:p>
        </w:tc>
      </w:tr>
      <w:bookmarkEnd w:id="3"/>
      <w:tr w:rsidR="008028AE" w:rsidRPr="00F4281C" w14:paraId="51997BDD" w14:textId="77777777" w:rsidTr="00F431E4">
        <w:trPr>
          <w:cantSplit/>
          <w:trHeight w:hRule="exact" w:val="1418"/>
        </w:trPr>
        <w:tc>
          <w:tcPr>
            <w:tcW w:w="1418" w:type="dxa"/>
          </w:tcPr>
          <w:p w14:paraId="7B8AC666" w14:textId="77777777" w:rsidR="008028AE" w:rsidRPr="0028582D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5EA1E4F" w14:textId="77777777" w:rsidR="00FD6CCF" w:rsidRPr="0028582D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14:paraId="749A6025" w14:textId="07EFCB99" w:rsidR="008028AE" w:rsidRPr="0028582D" w:rsidRDefault="00100C95" w:rsidP="008028AE">
      <w:pPr>
        <w:tabs>
          <w:tab w:val="right" w:pos="9639"/>
        </w:tabs>
        <w:spacing w:before="240"/>
        <w:jc w:val="right"/>
        <w:rPr>
          <w:sz w:val="20"/>
        </w:rPr>
      </w:pPr>
      <w:bookmarkStart w:id="5" w:name="c2tope"/>
      <w:bookmarkEnd w:id="5"/>
      <w:r>
        <w:rPr>
          <w:noProof/>
        </w:rPr>
        <w:drawing>
          <wp:inline distT="0" distB="0" distL="0" distR="0" wp14:anchorId="0F884233" wp14:editId="79606315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41C" w14:textId="77777777"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DC0FE1">
          <w:pgSz w:w="11907" w:h="16840" w:code="9"/>
          <w:pgMar w:top="1089" w:right="1089" w:bottom="284" w:left="1089" w:header="284" w:footer="284" w:gutter="0"/>
          <w:pgNumType w:start="1"/>
          <w:cols w:space="720"/>
        </w:sectPr>
      </w:pPr>
      <w:bookmarkStart w:id="6" w:name="c2tops"/>
      <w:bookmarkEnd w:id="6"/>
    </w:p>
    <w:p w14:paraId="58DE3C00" w14:textId="77777777"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14:paraId="60B0A011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2F9A4BC" w14:textId="77777777"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14:paraId="6E31A419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14:paraId="01715131" w14:textId="77777777"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14:paraId="73446CE2" w14:textId="77777777"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14:paraId="23122120" w14:textId="77777777" w:rsidR="00A5430F" w:rsidRDefault="00A5430F" w:rsidP="006C62D4">
      <w:pPr>
        <w:spacing w:before="480"/>
        <w:jc w:val="center"/>
        <w:rPr>
          <w:sz w:val="18"/>
        </w:rPr>
      </w:pPr>
    </w:p>
    <w:p w14:paraId="098D93C8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176B1A41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02DAE4B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85F82F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88EEE8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E619E83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20AEFE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8A1D1A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F5972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42B409E2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FEBF9B9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AD7E0C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76D749C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C36FBBD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4645967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8C692C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4FA4F70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01C63F6D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2D7BF3D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7475921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57330A6C" w14:textId="77777777" w:rsidR="00885482" w:rsidRDefault="00885482" w:rsidP="00FB6D55">
      <w:pPr>
        <w:spacing w:before="80" w:after="80"/>
        <w:jc w:val="left"/>
        <w:rPr>
          <w:sz w:val="18"/>
        </w:rPr>
      </w:pPr>
    </w:p>
    <w:p w14:paraId="5C23BD5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2242A0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06CD31E" w14:textId="198EA8BC" w:rsidR="00C2286E" w:rsidRPr="008028AE" w:rsidRDefault="00C2286E" w:rsidP="00A922AD">
      <w:pPr>
        <w:jc w:val="center"/>
        <w:rPr>
          <w:sz w:val="20"/>
        </w:rPr>
      </w:pPr>
      <w:proofErr w:type="gramStart"/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</w:t>
      </w:r>
      <w:proofErr w:type="gramEnd"/>
      <w:r w:rsidRPr="008028AE">
        <w:rPr>
          <w:sz w:val="20"/>
        </w:rPr>
        <w:t>  </w:t>
      </w:r>
      <w:bookmarkStart w:id="8" w:name="iiannes"/>
      <w:bookmarkEnd w:id="8"/>
      <w:r w:rsidR="006C62D4" w:rsidRPr="008028AE">
        <w:rPr>
          <w:sz w:val="20"/>
        </w:rPr>
        <w:t>20</w:t>
      </w:r>
      <w:r w:rsidR="00100C95">
        <w:rPr>
          <w:sz w:val="20"/>
        </w:rPr>
        <w:t>22</w:t>
      </w:r>
    </w:p>
    <w:p w14:paraId="09EBDC73" w14:textId="77777777"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3874E43F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7650EC3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F452C9" w14:textId="7AF19627" w:rsidR="006F5455" w:rsidRPr="00100C95" w:rsidRDefault="006F5455" w:rsidP="00100C95">
      <w:pPr>
        <w:pStyle w:val="ResNo"/>
      </w:pPr>
      <w:bookmarkStart w:id="9" w:name="irecnos"/>
      <w:bookmarkEnd w:id="9"/>
      <w:r w:rsidRPr="00A922AD">
        <w:lastRenderedPageBreak/>
        <w:t xml:space="preserve">RESOLUCIÓN </w:t>
      </w:r>
      <w:r w:rsidR="00DC0FE1">
        <w:rPr>
          <w:rStyle w:val="href"/>
        </w:rPr>
        <w:t>65</w:t>
      </w:r>
      <w:r w:rsidR="0028582D" w:rsidRPr="00100C95">
        <w:t xml:space="preserve"> </w:t>
      </w:r>
      <w:r w:rsidR="00DC0FE1">
        <w:t>(Rev. Ginebra, 2022)</w:t>
      </w:r>
    </w:p>
    <w:p w14:paraId="01999313" w14:textId="77777777" w:rsidR="00DC0FE1" w:rsidRPr="00A9398A" w:rsidRDefault="00DC0FE1" w:rsidP="00DC0FE1">
      <w:pPr>
        <w:pStyle w:val="Restitle"/>
      </w:pPr>
      <w:r w:rsidRPr="00A9398A">
        <w:t>Comunicación del número de la parte llamante, identificación</w:t>
      </w:r>
      <w:r>
        <w:t xml:space="preserve"> </w:t>
      </w:r>
      <w:r w:rsidRPr="00A9398A">
        <w:t>de la línea llamante e información sobre</w:t>
      </w:r>
      <w:r>
        <w:t xml:space="preserve"> </w:t>
      </w:r>
      <w:r w:rsidRPr="00A9398A">
        <w:t>la identificación del origen</w:t>
      </w:r>
    </w:p>
    <w:p w14:paraId="7BABFEE9" w14:textId="77777777" w:rsidR="00DC0FE1" w:rsidRPr="00A9398A" w:rsidRDefault="00DC0FE1" w:rsidP="00DC0FE1">
      <w:pPr>
        <w:pStyle w:val="Resref"/>
      </w:pPr>
      <w:r w:rsidRPr="00A9398A">
        <w:t>(Johannesburgo, 2008; Dubái, 2012; Hammamet, 2016; Ginebra, 2022)</w:t>
      </w:r>
    </w:p>
    <w:p w14:paraId="105F2002" w14:textId="77777777" w:rsidR="00DC0FE1" w:rsidRPr="00DC0FE1" w:rsidRDefault="00DC0FE1" w:rsidP="00DC0FE1">
      <w:pPr>
        <w:pStyle w:val="Normalaftertitle0"/>
        <w:rPr>
          <w:lang w:val="es-ES"/>
        </w:rPr>
      </w:pPr>
      <w:r w:rsidRPr="00DC0FE1">
        <w:rPr>
          <w:lang w:val="es-ES"/>
        </w:rPr>
        <w:t>La Asamblea Mundial de Normalización de las Telecomunicaciones (Ginebra, 2022),</w:t>
      </w:r>
    </w:p>
    <w:p w14:paraId="2C5B9929" w14:textId="77777777" w:rsidR="00DC0FE1" w:rsidRPr="00A9398A" w:rsidRDefault="00DC0FE1" w:rsidP="00DC0FE1">
      <w:pPr>
        <w:pStyle w:val="Call"/>
        <w:rPr>
          <w:rtl/>
        </w:rPr>
      </w:pPr>
      <w:r w:rsidRPr="00A9398A">
        <w:t>preocupada</w:t>
      </w:r>
    </w:p>
    <w:p w14:paraId="510F88B8" w14:textId="77777777" w:rsidR="00DC0FE1" w:rsidRPr="00A9398A" w:rsidRDefault="00DC0FE1" w:rsidP="00DC0FE1">
      <w:r w:rsidRPr="00A9398A">
        <w:rPr>
          <w:i/>
          <w:iCs/>
        </w:rPr>
        <w:t>a)</w:t>
      </w:r>
      <w:r w:rsidRPr="00A9398A">
        <w:tab/>
        <w:t>porque parece existir una tendencia ya sea a suprimir o a modificar la transmisión de la información de identificación del número de la parte llamante (CPN), la identificación de la línea llamante (CLI) y la identificación del origen (OI) a través de las fronteras internacionales, en particular el indicativo de país y el indicativo nacional de destino;</w:t>
      </w:r>
    </w:p>
    <w:p w14:paraId="5BFCD7FA" w14:textId="77777777" w:rsidR="00DC0FE1" w:rsidRPr="00A9398A" w:rsidRDefault="00DC0FE1" w:rsidP="00DC0FE1">
      <w:r w:rsidRPr="00A9398A">
        <w:rPr>
          <w:i/>
          <w:iCs/>
        </w:rPr>
        <w:t>b)</w:t>
      </w:r>
      <w:r w:rsidRPr="00A9398A">
        <w:tab/>
        <w:t>porque dichas prácticas tienen una repercusión desfavorable sobre cuestiones de seguridad y económicas, en particular en los países en desarrollo</w:t>
      </w:r>
      <w:r w:rsidRPr="00A9398A">
        <w:rPr>
          <w:rStyle w:val="FootnoteReference"/>
        </w:rPr>
        <w:footnoteReference w:customMarkFollows="1" w:id="1"/>
        <w:t>1</w:t>
      </w:r>
      <w:r w:rsidRPr="00A9398A">
        <w:t>;</w:t>
      </w:r>
    </w:p>
    <w:p w14:paraId="0DF6898F" w14:textId="77777777" w:rsidR="00DC0FE1" w:rsidRPr="00A9398A" w:rsidRDefault="00DC0FE1" w:rsidP="00DC0FE1">
      <w:pPr>
        <w:rPr>
          <w:i/>
          <w:iCs/>
        </w:rPr>
      </w:pPr>
      <w:r w:rsidRPr="00A9398A">
        <w:rPr>
          <w:i/>
          <w:iCs/>
        </w:rPr>
        <w:t>c)</w:t>
      </w:r>
      <w:r w:rsidRPr="00A9398A">
        <w:tab/>
        <w:t xml:space="preserve">por el número de casos comunicados hasta la fecha al </w:t>
      </w:r>
      <w:proofErr w:type="gramStart"/>
      <w:r w:rsidRPr="00A9398A">
        <w:t>Director</w:t>
      </w:r>
      <w:proofErr w:type="gramEnd"/>
      <w:r w:rsidRPr="00A9398A">
        <w:t xml:space="preserve"> de la Oficina de Normalización de las Telecomunicaciones de la UIT (TSB) sobre apropiación y uso indebidos de números UIT</w:t>
      </w:r>
      <w:r w:rsidRPr="00A9398A">
        <w:noBreakHyphen/>
        <w:t>T E.164 que guardan relación con la falta de indicación o falsificación del CPN;</w:t>
      </w:r>
    </w:p>
    <w:p w14:paraId="4607F077" w14:textId="77777777" w:rsidR="00DC0FE1" w:rsidRPr="00A9398A" w:rsidRDefault="00DC0FE1" w:rsidP="00DC0FE1">
      <w:r w:rsidRPr="00A9398A">
        <w:rPr>
          <w:i/>
          <w:iCs/>
        </w:rPr>
        <w:t>d)</w:t>
      </w:r>
      <w:r w:rsidRPr="00A9398A">
        <w:tab/>
        <w:t>porque la labor sobre este tema debe avanzar con mayor rapidez y ampliarse en la Comisión de Estudio 2 del Sector de Normalización de las Telecomunicaciones de la UIT (UIT-T) para tener presente el entorno cambiante de la prestación de servicios y de las infraestructuras de red, incluidas las telecomunicaciones/tecnologías de la información y la comunicación y los servicios incipientes, en particular las redes de próxima generación y las redes futuras,</w:t>
      </w:r>
    </w:p>
    <w:p w14:paraId="39A0E3F1" w14:textId="77777777" w:rsidR="00DC0FE1" w:rsidRPr="00A9398A" w:rsidRDefault="00DC0FE1" w:rsidP="00DC0FE1">
      <w:pPr>
        <w:pStyle w:val="Call"/>
      </w:pPr>
      <w:r w:rsidRPr="00A9398A">
        <w:t>observando</w:t>
      </w:r>
    </w:p>
    <w:p w14:paraId="6C555ECD" w14:textId="77777777" w:rsidR="00DC0FE1" w:rsidRPr="00A9398A" w:rsidRDefault="00DC0FE1" w:rsidP="00DC0FE1">
      <w:r w:rsidRPr="00A9398A">
        <w:rPr>
          <w:i/>
          <w:iCs/>
        </w:rPr>
        <w:t>a)</w:t>
      </w:r>
      <w:r w:rsidRPr="00A9398A">
        <w:rPr>
          <w:i/>
          <w:iCs/>
        </w:rPr>
        <w:tab/>
      </w:r>
      <w:r w:rsidRPr="00A9398A">
        <w:t>las correspondientes Recomendaciones UIT</w:t>
      </w:r>
      <w:r w:rsidRPr="00A9398A">
        <w:noBreakHyphen/>
        <w:t>T y, en particular:</w:t>
      </w:r>
    </w:p>
    <w:p w14:paraId="2222DEE7" w14:textId="77777777" w:rsidR="00DC0FE1" w:rsidRPr="00A9398A" w:rsidRDefault="00DC0FE1" w:rsidP="00DC0FE1">
      <w:pPr>
        <w:pStyle w:val="enumlev1"/>
      </w:pPr>
      <w:r w:rsidRPr="00A9398A">
        <w:t>i)</w:t>
      </w:r>
      <w:r w:rsidRPr="00A9398A">
        <w:tab/>
        <w:t>la UIT-T E.156, Directrices para la actuación del UIT-T cuando se le notifique una utilización indebida de recursos de numeración E.164;</w:t>
      </w:r>
    </w:p>
    <w:p w14:paraId="2ECE0448" w14:textId="77777777" w:rsidR="00DC0FE1" w:rsidRPr="00A9398A" w:rsidRDefault="00DC0FE1" w:rsidP="00DC0FE1">
      <w:pPr>
        <w:pStyle w:val="enumlev1"/>
      </w:pPr>
      <w:r w:rsidRPr="00A9398A">
        <w:t>ii)</w:t>
      </w:r>
      <w:r w:rsidRPr="00A9398A">
        <w:tab/>
        <w:t>la UIT-T E.157, Comunicación internacional del número de la parte llamante;</w:t>
      </w:r>
    </w:p>
    <w:p w14:paraId="3087191F" w14:textId="77777777" w:rsidR="00DC0FE1" w:rsidRPr="00A9398A" w:rsidRDefault="00DC0FE1" w:rsidP="00DC0FE1">
      <w:pPr>
        <w:pStyle w:val="enumlev1"/>
      </w:pPr>
      <w:r w:rsidRPr="00A9398A">
        <w:t>iii)</w:t>
      </w:r>
      <w:r w:rsidRPr="00A9398A">
        <w:tab/>
        <w:t xml:space="preserve">la </w:t>
      </w:r>
      <w:r w:rsidRPr="00A9398A">
        <w:rPr>
          <w:color w:val="000000"/>
        </w:rPr>
        <w:t>UIT-T E.370, Principios de servicio aplicables al interfuncionamiento entre las redes públicas de telecomunicaciones internacionales con conmutación de circuitos y las redes basadas en el protocolo Internet;</w:t>
      </w:r>
    </w:p>
    <w:p w14:paraId="49DB815E" w14:textId="77777777" w:rsidR="00DC0FE1" w:rsidRPr="00A9398A" w:rsidRDefault="00DC0FE1" w:rsidP="00DC0FE1">
      <w:pPr>
        <w:pStyle w:val="enumlev1"/>
      </w:pPr>
      <w:r w:rsidRPr="00A9398A">
        <w:t>iv)</w:t>
      </w:r>
      <w:r w:rsidRPr="00A9398A">
        <w:tab/>
        <w:t>la UIT-T E.164, Plan internacional de numeración de telecomunicaciones públicas;</w:t>
      </w:r>
    </w:p>
    <w:p w14:paraId="04FEDB74" w14:textId="77777777" w:rsidR="00DC0FE1" w:rsidRPr="00A9398A" w:rsidRDefault="00DC0FE1" w:rsidP="00DC0FE1">
      <w:pPr>
        <w:pStyle w:val="enumlev1"/>
      </w:pPr>
      <w:r w:rsidRPr="00A9398A">
        <w:t>v)</w:t>
      </w:r>
      <w:r w:rsidRPr="00A9398A">
        <w:tab/>
        <w:t>la UIT-T I.251.3, Servicios suplementarios de identificación de números: Presentación de la identificación de la línea llamante;</w:t>
      </w:r>
    </w:p>
    <w:p w14:paraId="40359E9F" w14:textId="77777777" w:rsidR="00DC0FE1" w:rsidRPr="00A9398A" w:rsidRDefault="00DC0FE1" w:rsidP="00DC0FE1">
      <w:pPr>
        <w:pStyle w:val="enumlev1"/>
      </w:pPr>
      <w:r w:rsidRPr="00A9398A">
        <w:t>vi)</w:t>
      </w:r>
      <w:r w:rsidRPr="00A9398A">
        <w:tab/>
        <w:t>la UIT-T I.251.4, Servicios suplementarios de identificación de números: Restricción de la identificación de la línea llamante;</w:t>
      </w:r>
    </w:p>
    <w:p w14:paraId="64131D6A" w14:textId="77777777" w:rsidR="00DC0FE1" w:rsidRPr="00A9398A" w:rsidRDefault="00DC0FE1" w:rsidP="00DC0FE1">
      <w:pPr>
        <w:pStyle w:val="enumlev1"/>
      </w:pPr>
      <w:r w:rsidRPr="00A9398A">
        <w:t>vii)</w:t>
      </w:r>
      <w:r w:rsidRPr="00A9398A">
        <w:tab/>
        <w:t>la UIT-T I.251.7, Servicios suplementarios de identificación de números: Identificación de llamadas malintencionadas (maliciosas);</w:t>
      </w:r>
    </w:p>
    <w:p w14:paraId="4C5C5BAD" w14:textId="77777777" w:rsidR="00DC0FE1" w:rsidRPr="00A9398A" w:rsidRDefault="00DC0FE1" w:rsidP="00DC0FE1">
      <w:pPr>
        <w:pStyle w:val="enumlev1"/>
      </w:pPr>
      <w:r w:rsidRPr="00A9398A">
        <w:t>viii)</w:t>
      </w:r>
      <w:r w:rsidRPr="00A9398A">
        <w:tab/>
        <w:t>las de la serie UIT-T Q.731.x, relativas a las descripciones de la etapa 3 para los servicios suplementarios de identificación de número que utilizan el sistema de señalización N</w:t>
      </w:r>
      <w:r>
        <w:t>º</w:t>
      </w:r>
      <w:r w:rsidRPr="00A9398A">
        <w:t xml:space="preserve"> 7;</w:t>
      </w:r>
    </w:p>
    <w:p w14:paraId="7C3B379A" w14:textId="77777777" w:rsidR="00620DD0" w:rsidRDefault="00620DD0" w:rsidP="00DC0FE1">
      <w:pPr>
        <w:pStyle w:val="enumlev1"/>
      </w:pPr>
      <w:r>
        <w:br w:type="page"/>
      </w:r>
    </w:p>
    <w:p w14:paraId="0E35D278" w14:textId="619069E4" w:rsidR="00DC0FE1" w:rsidRPr="00A9398A" w:rsidRDefault="00DC0FE1" w:rsidP="00DC0FE1">
      <w:pPr>
        <w:pStyle w:val="enumlev1"/>
      </w:pPr>
      <w:r w:rsidRPr="00A9398A">
        <w:lastRenderedPageBreak/>
        <w:t>ix)</w:t>
      </w:r>
      <w:r w:rsidRPr="00A9398A">
        <w:tab/>
        <w:t>la UIT-T Q.731.7, Descripción de la etapa 3 para los servicios suplementarios de identificación de número que utilizan el sistema de señalización N</w:t>
      </w:r>
      <w:r>
        <w:t>º</w:t>
      </w:r>
      <w:r w:rsidRPr="00A9398A">
        <w:t xml:space="preserve"> 7: Identificación de llamadas malintencionadas;</w:t>
      </w:r>
    </w:p>
    <w:p w14:paraId="41D7F82C" w14:textId="77777777" w:rsidR="00DC0FE1" w:rsidRPr="00A9398A" w:rsidRDefault="00DC0FE1" w:rsidP="00DC0FE1">
      <w:pPr>
        <w:pStyle w:val="enumlev1"/>
      </w:pPr>
      <w:r w:rsidRPr="00A9398A">
        <w:t>x)</w:t>
      </w:r>
      <w:r w:rsidRPr="00A9398A">
        <w:tab/>
        <w:t>la UIT-T Q.764, Sistema de señalización N</w:t>
      </w:r>
      <w:r>
        <w:t>º</w:t>
      </w:r>
      <w:r w:rsidRPr="00A9398A">
        <w:t xml:space="preserve"> 7 – Procedimientos de señalización de la parte usuario de la RDSI;</w:t>
      </w:r>
    </w:p>
    <w:p w14:paraId="15587AC4" w14:textId="77777777" w:rsidR="00DC0FE1" w:rsidRPr="00A9398A" w:rsidRDefault="00DC0FE1" w:rsidP="00DC0FE1">
      <w:pPr>
        <w:pStyle w:val="enumlev1"/>
      </w:pPr>
      <w:r w:rsidRPr="00A9398A">
        <w:t>xi)</w:t>
      </w:r>
      <w:r w:rsidRPr="00A9398A">
        <w:tab/>
        <w:t>la UIT-T Q.1912.5, Interfuncionamiento entre el protocolo de iniciación de sesión (SIP) y el protocolo de control de llamada independiente</w:t>
      </w:r>
      <w:r w:rsidRPr="00D03761">
        <w:t xml:space="preserve"> </w:t>
      </w:r>
      <w:r w:rsidRPr="00A9398A">
        <w:t xml:space="preserve">del portador o </w:t>
      </w:r>
      <w:proofErr w:type="gramStart"/>
      <w:r w:rsidRPr="00A9398A">
        <w:t>la parte usuario</w:t>
      </w:r>
      <w:proofErr w:type="gramEnd"/>
      <w:r w:rsidRPr="00A9398A">
        <w:t xml:space="preserve"> RDSI;</w:t>
      </w:r>
    </w:p>
    <w:p w14:paraId="7E6A6F51" w14:textId="77777777" w:rsidR="00DC0FE1" w:rsidRPr="00A9398A" w:rsidRDefault="00DC0FE1" w:rsidP="00DC0FE1">
      <w:pPr>
        <w:pStyle w:val="enumlev1"/>
      </w:pPr>
      <w:r w:rsidRPr="00A9398A">
        <w:t>xii)</w:t>
      </w:r>
      <w:r w:rsidRPr="00A9398A">
        <w:tab/>
        <w:t xml:space="preserve">la </w:t>
      </w:r>
      <w:r w:rsidRPr="00A9398A">
        <w:rPr>
          <w:color w:val="000000"/>
        </w:rPr>
        <w:t>UIT-T Q.3057, Requisitos de señalización y arquitectura para la interconexión entre entidades de red fiables;</w:t>
      </w:r>
    </w:p>
    <w:p w14:paraId="543D6685" w14:textId="77777777" w:rsidR="00DC0FE1" w:rsidRPr="00A9398A" w:rsidRDefault="00DC0FE1" w:rsidP="00DC0FE1">
      <w:r w:rsidRPr="00A9398A">
        <w:rPr>
          <w:i/>
          <w:iCs/>
        </w:rPr>
        <w:t>b)</w:t>
      </w:r>
      <w:r w:rsidRPr="00A9398A">
        <w:rPr>
          <w:i/>
          <w:iCs/>
        </w:rPr>
        <w:tab/>
      </w:r>
      <w:r w:rsidRPr="00A9398A">
        <w:t>las Resoluciones pertinentes:</w:t>
      </w:r>
    </w:p>
    <w:p w14:paraId="5292CBF7" w14:textId="77777777" w:rsidR="00DC0FE1" w:rsidRPr="00A9398A" w:rsidRDefault="00DC0FE1" w:rsidP="00DC0FE1">
      <w:pPr>
        <w:pStyle w:val="enumlev1"/>
      </w:pPr>
      <w:r w:rsidRPr="00A9398A">
        <w:t>i)</w:t>
      </w:r>
      <w:r w:rsidRPr="00A9398A">
        <w:tab/>
        <w:t>la Resolución 61 (Rev. Ginebra, 2022) de la presente Asamblea, relativa a la apropiación y el uso indebidos de recursos internacionales de numeración para las telecomunicaciones;</w:t>
      </w:r>
    </w:p>
    <w:p w14:paraId="64A79FCA" w14:textId="77777777" w:rsidR="00DC0FE1" w:rsidRPr="00A9398A" w:rsidRDefault="00DC0FE1" w:rsidP="00DC0FE1">
      <w:pPr>
        <w:pStyle w:val="enumlev1"/>
      </w:pPr>
      <w:r w:rsidRPr="00A9398A">
        <w:t>ii)</w:t>
      </w:r>
      <w:r w:rsidRPr="00A9398A">
        <w:tab/>
        <w:t>la Resolución 21 (Rev. Dubái, 2018) de la Conferencia de Plenipotenciarios, relativa a las medidas sobre los procedimientos alternativos de llamada en las redes internacionales de telecomunicaciones;</w:t>
      </w:r>
    </w:p>
    <w:p w14:paraId="0DA9F927" w14:textId="77777777" w:rsidR="00DC0FE1" w:rsidRPr="00A9398A" w:rsidRDefault="00DC0FE1" w:rsidP="00DC0FE1">
      <w:pPr>
        <w:pStyle w:val="enumlev1"/>
      </w:pPr>
      <w:r w:rsidRPr="00A9398A">
        <w:t>iii)</w:t>
      </w:r>
      <w:r w:rsidRPr="00A9398A">
        <w:tab/>
        <w:t>la Resolución 29 (Rev. Ginebra, 2022) de la presente Asamblea, relativa a los procedimientos alternativos de llamada en las redes internacionales de telecomunicación;</w:t>
      </w:r>
    </w:p>
    <w:p w14:paraId="4CC80ECE" w14:textId="77777777" w:rsidR="00DC0FE1" w:rsidRPr="00A9398A" w:rsidRDefault="00DC0FE1" w:rsidP="00DC0FE1">
      <w:r w:rsidRPr="00A9398A">
        <w:rPr>
          <w:i/>
          <w:iCs/>
        </w:rPr>
        <w:t>c)</w:t>
      </w:r>
      <w:r w:rsidRPr="00A9398A">
        <w:tab/>
        <w:t>la cláusula 32 (Artículo 3.6) del Reglamento de las Telecomunicaciones Internacionales (RTI) (Dubái, 2012), relativa a la comunicación de la CLI internacional por los Estados Miembros signatarios de dicho RTI,</w:t>
      </w:r>
    </w:p>
    <w:p w14:paraId="31ECD32C" w14:textId="77777777" w:rsidR="00DC0FE1" w:rsidRPr="00A9398A" w:rsidRDefault="00DC0FE1" w:rsidP="00DC0FE1">
      <w:pPr>
        <w:pStyle w:val="Call"/>
      </w:pPr>
      <w:proofErr w:type="gramStart"/>
      <w:r w:rsidRPr="00A9398A">
        <w:t>observando</w:t>
      </w:r>
      <w:proofErr w:type="gramEnd"/>
      <w:r w:rsidRPr="00A9398A">
        <w:t xml:space="preserve"> además</w:t>
      </w:r>
    </w:p>
    <w:p w14:paraId="656E0CC2" w14:textId="77777777" w:rsidR="00DC0FE1" w:rsidRPr="00A9398A" w:rsidRDefault="00DC0FE1" w:rsidP="00DC0FE1">
      <w:r w:rsidRPr="005533DE">
        <w:rPr>
          <w:i/>
          <w:iCs/>
        </w:rPr>
        <w:t>a)</w:t>
      </w:r>
      <w:r w:rsidRPr="005533DE">
        <w:tab/>
      </w:r>
      <w:r w:rsidRPr="00A9398A">
        <w:t>que algunos países y regiones han adoptado recomendaciones, directivas y leyes nacionales relativas a la falta de indicación o falsificación del CPN, y/o para garantizar la confianza en la OI; y que algunos países disponen de recomendaciones, directivas y leyes nacionales para la protección y privacidad de los datos;</w:t>
      </w:r>
    </w:p>
    <w:p w14:paraId="49EC5D25" w14:textId="77777777" w:rsidR="00DC0FE1" w:rsidRPr="00A9398A" w:rsidRDefault="00DC0FE1" w:rsidP="00DC0FE1">
      <w:r w:rsidRPr="005533DE">
        <w:rPr>
          <w:i/>
          <w:iCs/>
        </w:rPr>
        <w:t>b)</w:t>
      </w:r>
      <w:r w:rsidRPr="005533DE">
        <w:tab/>
        <w:t>que el CPN posibilita la identificación de la parte que realiza la llamada;</w:t>
      </w:r>
    </w:p>
    <w:p w14:paraId="0BBE3926" w14:textId="77777777" w:rsidR="00DC0FE1" w:rsidRPr="00A9398A" w:rsidRDefault="00DC0FE1" w:rsidP="00DC0FE1">
      <w:r w:rsidRPr="005533DE">
        <w:rPr>
          <w:i/>
          <w:iCs/>
        </w:rPr>
        <w:t>c)</w:t>
      </w:r>
      <w:r w:rsidRPr="005533DE">
        <w:tab/>
        <w:t>que la existencia de mecanismos de verificación de los distintos identificadores de la parte llamante puede aumentar considerablemente la fiabilidad de la información transmitida,</w:t>
      </w:r>
    </w:p>
    <w:p w14:paraId="1BA31F14" w14:textId="77777777" w:rsidR="00DC0FE1" w:rsidRPr="00A9398A" w:rsidRDefault="00DC0FE1" w:rsidP="00DC0FE1">
      <w:pPr>
        <w:pStyle w:val="Call"/>
      </w:pPr>
      <w:r w:rsidRPr="00A9398A">
        <w:t>reafirmando</w:t>
      </w:r>
    </w:p>
    <w:p w14:paraId="5BEC058D" w14:textId="77777777" w:rsidR="00DC0FE1" w:rsidRPr="00A9398A" w:rsidRDefault="00DC0FE1" w:rsidP="00DC0FE1">
      <w:r w:rsidRPr="00A9398A">
        <w:t>que es el derecho soberano de cada país regular sus telecomunicaciones y, como tal, regular la comunicación de la CLI, la comunicación del CPN y la información sobre la OI, teniendo en cuenta el Preámbulo de la Constitución de la UIT y las disposiciones pertinentes del RTI sobre la comunicación de la información relativa a la CLI,</w:t>
      </w:r>
    </w:p>
    <w:p w14:paraId="089DD069" w14:textId="77777777" w:rsidR="00DC0FE1" w:rsidRPr="00A9398A" w:rsidRDefault="00DC0FE1" w:rsidP="00DC0FE1">
      <w:pPr>
        <w:pStyle w:val="Call"/>
      </w:pPr>
      <w:r w:rsidRPr="00A9398A">
        <w:t>resuelve</w:t>
      </w:r>
    </w:p>
    <w:p w14:paraId="29510BFC" w14:textId="77777777" w:rsidR="00DC0FE1" w:rsidRPr="00A9398A" w:rsidRDefault="00DC0FE1" w:rsidP="00DC0FE1">
      <w:r w:rsidRPr="00A9398A">
        <w:t>1</w:t>
      </w:r>
      <w:r w:rsidRPr="00A9398A">
        <w:tab/>
        <w:t xml:space="preserve">que la comunicación </w:t>
      </w:r>
      <w:r w:rsidRPr="00A9398A">
        <w:rPr>
          <w:color w:val="000000"/>
        </w:rPr>
        <w:t>internacional</w:t>
      </w:r>
      <w:r w:rsidRPr="00A9398A">
        <w:t xml:space="preserve"> del CPN se facilitará sobre la base de las Recomendaciones pertinentes del UIT-T;</w:t>
      </w:r>
    </w:p>
    <w:p w14:paraId="25459319" w14:textId="77777777" w:rsidR="00DC0FE1" w:rsidRPr="00A9398A" w:rsidRDefault="00DC0FE1" w:rsidP="00DC0FE1">
      <w:r w:rsidRPr="00A9398A">
        <w:t>2</w:t>
      </w:r>
      <w:r w:rsidRPr="00A9398A">
        <w:tab/>
        <w:t xml:space="preserve">que </w:t>
      </w:r>
      <w:r w:rsidRPr="00A9398A">
        <w:rPr>
          <w:color w:val="000000"/>
        </w:rPr>
        <w:t>la comunicación internacional de la CLI y la OI se facilitará sobre la base de las Recomendaciones pertinentes del UIT-T, en la medida en que sea técnicamente posible;</w:t>
      </w:r>
      <w:r w:rsidRPr="00A9398A">
        <w:t xml:space="preserve"> </w:t>
      </w:r>
    </w:p>
    <w:p w14:paraId="7928E3AC" w14:textId="77777777" w:rsidR="00DC0FE1" w:rsidRPr="00A9398A" w:rsidRDefault="00DC0FE1" w:rsidP="00DC0FE1">
      <w:r w:rsidRPr="00A9398A">
        <w:t>3</w:t>
      </w:r>
      <w:r w:rsidRPr="00A9398A">
        <w:tab/>
        <w:t xml:space="preserve">que los CPN comunicados deberían incluir, como mínimo, </w:t>
      </w:r>
      <w:r w:rsidRPr="00A9398A">
        <w:rPr>
          <w:color w:val="000000"/>
        </w:rPr>
        <w:t>sea el número de la parte llamante o el número especialmente asignado del operador/proveedor de servicios responsable de realizar la llamada,</w:t>
      </w:r>
      <w:r w:rsidRPr="00A9398A">
        <w:t xml:space="preserve"> de modo que el país de destino pueda identificar </w:t>
      </w:r>
      <w:r w:rsidRPr="00A9398A">
        <w:rPr>
          <w:color w:val="000000"/>
        </w:rPr>
        <w:t>al operador/proveedor de servicios de la llamada saliente</w:t>
      </w:r>
      <w:r w:rsidRPr="00A9398A">
        <w:t xml:space="preserve">, o identificar el terminal del que procede la llamada, antes de que se transmita del país de origen </w:t>
      </w:r>
      <w:r w:rsidRPr="00A9398A">
        <w:rPr>
          <w:color w:val="000000"/>
        </w:rPr>
        <w:t>a ese país de destino;</w:t>
      </w:r>
    </w:p>
    <w:p w14:paraId="37AB5F20" w14:textId="77777777" w:rsidR="00620DD0" w:rsidRDefault="00620DD0" w:rsidP="00DC0FE1">
      <w:r>
        <w:br w:type="page"/>
      </w:r>
    </w:p>
    <w:p w14:paraId="30B3232A" w14:textId="505DC069" w:rsidR="00DC0FE1" w:rsidRPr="00A9398A" w:rsidRDefault="00DC0FE1" w:rsidP="00DC0FE1">
      <w:r w:rsidRPr="00A9398A">
        <w:lastRenderedPageBreak/>
        <w:t>4</w:t>
      </w:r>
      <w:r w:rsidRPr="00A9398A">
        <w:tab/>
        <w:t>que el CPN y la CLI comunicados, en caso de ser comunicados, incluirán información suficiente para permitir la debida facturación y contabilización de cada llamada internacional;</w:t>
      </w:r>
    </w:p>
    <w:p w14:paraId="6358C877" w14:textId="77777777" w:rsidR="00DC0FE1" w:rsidRPr="00A9398A" w:rsidRDefault="00DC0FE1" w:rsidP="00DC0FE1">
      <w:r w:rsidRPr="00A9398A">
        <w:t>5</w:t>
      </w:r>
      <w:r w:rsidRPr="00A9398A">
        <w:tab/>
        <w:t xml:space="preserve">que la información sobre la OI en un entorno de red heterogéneo será, en la medida en que sea técnicamente posible, un identificador asignado a un abonado por el proveedor de servicios de origen, o un identificador por defecto asignado por el proveedor de origen para identificar el origen de la llamada, </w:t>
      </w:r>
      <w:r w:rsidRPr="00A9398A">
        <w:rPr>
          <w:color w:val="000000"/>
        </w:rPr>
        <w:t>si la Administración lo hubiese especificado</w:t>
      </w:r>
      <w:r w:rsidRPr="00A9398A">
        <w:t>;</w:t>
      </w:r>
    </w:p>
    <w:p w14:paraId="600F5EA3" w14:textId="77777777" w:rsidR="00DC0FE1" w:rsidRPr="00A9398A" w:rsidRDefault="00DC0FE1" w:rsidP="00DC0FE1">
      <w:r w:rsidRPr="00A9398A">
        <w:t>6</w:t>
      </w:r>
      <w:r w:rsidRPr="00A9398A">
        <w:tab/>
        <w:t>que el CPN, la CLI y la información de OI se transmitirán de manera transparente por las redes de tránsito (incluidos los nodos centralizados);</w:t>
      </w:r>
    </w:p>
    <w:p w14:paraId="48AE7226" w14:textId="77777777" w:rsidR="00DC0FE1" w:rsidRPr="00A9398A" w:rsidRDefault="00DC0FE1" w:rsidP="00DC0FE1">
      <w:r w:rsidRPr="00A9398A">
        <w:t>7</w:t>
      </w:r>
      <w:r w:rsidRPr="00A9398A">
        <w:tab/>
        <w:t>alentar a los operadores a asegurar que la información sobre la OI, cuando proceda, el CPN y la CLI sea fiable y verificable, con objeto de luchar contra la falsificación y otras formas de uso indebido de la numeración,</w:t>
      </w:r>
    </w:p>
    <w:p w14:paraId="675DFAF6" w14:textId="77777777" w:rsidR="00DC0FE1" w:rsidRPr="00A9398A" w:rsidRDefault="00DC0FE1" w:rsidP="00DC0FE1">
      <w:pPr>
        <w:pStyle w:val="Call"/>
      </w:pPr>
      <w:r w:rsidRPr="00A9398A">
        <w:t>encarga</w:t>
      </w:r>
    </w:p>
    <w:p w14:paraId="1B71A36F" w14:textId="77777777" w:rsidR="00DC0FE1" w:rsidRPr="00A9398A" w:rsidRDefault="00DC0FE1" w:rsidP="00DC0FE1">
      <w:r w:rsidRPr="00A9398A">
        <w:t>1</w:t>
      </w:r>
      <w:r w:rsidRPr="00A9398A">
        <w:tab/>
        <w:t>a la Comisión de Estudio 2 del UIT-T, a la Comisión de Estudio 3 del UIT-T y, llegado el caso, a las Comisiones de Estudio 11 y 17 del UIT</w:t>
      </w:r>
      <w:r w:rsidRPr="00A9398A">
        <w:noBreakHyphen/>
        <w:t>T, que sigan estudiando las cuestiones incipientes de la información sobre la comunicación del CPN, la CLI y la OI, en particular en entornos de red heterogéneos, incluyendo métodos de seguridad y las posibles técnicas de validación;</w:t>
      </w:r>
    </w:p>
    <w:p w14:paraId="71979AA9" w14:textId="77777777" w:rsidR="00DC0FE1" w:rsidRPr="00A9398A" w:rsidRDefault="00DC0FE1" w:rsidP="00DC0FE1">
      <w:r w:rsidRPr="00A9398A">
        <w:t>2</w:t>
      </w:r>
      <w:r w:rsidRPr="00A9398A">
        <w:tab/>
        <w:t>a las Comisiones de Estudio implicadas que aceleren los trabajos relativos a las Recomendaciones que facilitarían detalles y orientaciones adicionales para la aplicación de la presente Resolución;</w:t>
      </w:r>
    </w:p>
    <w:p w14:paraId="60152E38" w14:textId="77777777" w:rsidR="00DC0FE1" w:rsidRPr="00A9398A" w:rsidRDefault="00DC0FE1" w:rsidP="00DC0FE1">
      <w:r w:rsidRPr="00A9398A">
        <w:t>3</w:t>
      </w:r>
      <w:r w:rsidRPr="00A9398A">
        <w:tab/>
        <w:t xml:space="preserve">al </w:t>
      </w:r>
      <w:proofErr w:type="gramStart"/>
      <w:r w:rsidRPr="00A9398A">
        <w:t>Director</w:t>
      </w:r>
      <w:proofErr w:type="gramEnd"/>
      <w:r w:rsidRPr="00A9398A">
        <w:t xml:space="preserve"> de la TSB que informe de los avances logrados por las Comisiones de Estudio en la aplicación de la presente Resolución, cuya finalidad es aumentar la seguridad y reducir al mínimo el fraude y, según lo dispuesto en el Artículo 42 de la Constitución, los perjuicios técnicos;</w:t>
      </w:r>
    </w:p>
    <w:p w14:paraId="279AF8AE" w14:textId="77777777" w:rsidR="00DC0FE1" w:rsidRPr="00A9398A" w:rsidRDefault="00DC0FE1" w:rsidP="00DC0FE1">
      <w:r w:rsidRPr="00A9398A">
        <w:t>4</w:t>
      </w:r>
      <w:r w:rsidRPr="00A9398A">
        <w:tab/>
        <w:t xml:space="preserve">al </w:t>
      </w:r>
      <w:proofErr w:type="gramStart"/>
      <w:r w:rsidRPr="00A9398A">
        <w:t>Director</w:t>
      </w:r>
      <w:proofErr w:type="gramEnd"/>
      <w:r w:rsidRPr="00A9398A">
        <w:t xml:space="preserve"> de la TSB que difunda, desde un lugar centralizado, información sobre las experiencias de los países en relación con la aplicación de esta Resolución,</w:t>
      </w:r>
    </w:p>
    <w:p w14:paraId="7F42F8FC" w14:textId="77777777" w:rsidR="00DC0FE1" w:rsidRPr="00A9398A" w:rsidRDefault="00DC0FE1" w:rsidP="00DC0FE1">
      <w:pPr>
        <w:pStyle w:val="Call"/>
      </w:pPr>
      <w:r w:rsidRPr="00A9398A">
        <w:t>invita a los Estados Miembros</w:t>
      </w:r>
    </w:p>
    <w:p w14:paraId="4756CA37" w14:textId="77777777" w:rsidR="00DC0FE1" w:rsidRPr="00A9398A" w:rsidRDefault="00DC0FE1" w:rsidP="00DC0FE1">
      <w:r w:rsidRPr="00A9398A">
        <w:t>1</w:t>
      </w:r>
      <w:r w:rsidRPr="00A9398A">
        <w:tab/>
        <w:t>a contribuir a estos trabajos, a difundir información sobre sus experiencias en la aplicación de esta Resolución y a cooperar en la aplicación de la presente Resolución;</w:t>
      </w:r>
    </w:p>
    <w:p w14:paraId="679884C2" w14:textId="77777777" w:rsidR="00DC0FE1" w:rsidRPr="00A9398A" w:rsidRDefault="00DC0FE1" w:rsidP="00DC0FE1">
      <w:r w:rsidRPr="00A9398A">
        <w:t>2</w:t>
      </w:r>
      <w:r w:rsidRPr="00A9398A">
        <w:tab/>
        <w:t>a considerar la posibilidad de elaborar, dentro de sus marcos jurídico y reglamentario nacionales, directrices u otro tipo de instrumentos para la aplicación de la presente Resolución.</w:t>
      </w:r>
    </w:p>
    <w:p w14:paraId="6129EC14" w14:textId="77777777" w:rsidR="00DC0FE1" w:rsidRPr="00A9398A" w:rsidRDefault="00DC0FE1" w:rsidP="00DC0FE1">
      <w:pPr>
        <w:pStyle w:val="Reasons"/>
      </w:pPr>
    </w:p>
    <w:p w14:paraId="041FEA60" w14:textId="55CF57C6" w:rsidR="00664F8D" w:rsidRDefault="00664F8D" w:rsidP="00664F8D"/>
    <w:p w14:paraId="0E6734DA" w14:textId="620DBDCA" w:rsidR="00620DD0" w:rsidRDefault="00620DD0" w:rsidP="00664F8D"/>
    <w:p w14:paraId="4436C96C" w14:textId="5F6BAFF5" w:rsidR="00620DD0" w:rsidRDefault="00620DD0" w:rsidP="00664F8D"/>
    <w:p w14:paraId="414A2A23" w14:textId="48B2FFDA" w:rsidR="00620DD0" w:rsidRDefault="00620DD0" w:rsidP="00664F8D"/>
    <w:p w14:paraId="160E250A" w14:textId="3B3983AA" w:rsidR="00620DD0" w:rsidRDefault="00620DD0" w:rsidP="00664F8D"/>
    <w:p w14:paraId="287CF64A" w14:textId="42813838" w:rsidR="00620DD0" w:rsidRDefault="00620DD0" w:rsidP="00664F8D"/>
    <w:p w14:paraId="7256A22B" w14:textId="77777777" w:rsidR="00620DD0" w:rsidRDefault="00620DD0" w:rsidP="00664F8D"/>
    <w:p w14:paraId="576F1A86" w14:textId="77777777" w:rsidR="00664F8D" w:rsidRPr="006F5DC8" w:rsidRDefault="00664F8D" w:rsidP="00664F8D"/>
    <w:sectPr w:rsidR="00664F8D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649" w14:textId="77777777" w:rsidR="0052251F" w:rsidRDefault="0052251F">
      <w:r>
        <w:separator/>
      </w:r>
    </w:p>
  </w:endnote>
  <w:endnote w:type="continuationSeparator" w:id="0">
    <w:p w14:paraId="3A6F79BF" w14:textId="77777777"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9542" w14:textId="19B8D283"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4533B9">
      <w:rPr>
        <w:b w:val="0"/>
        <w:noProof/>
        <w:lang w:val="es-ES"/>
      </w:rPr>
      <w:t>6</w:t>
    </w:r>
    <w:r w:rsidRPr="002D6EB1">
      <w:rPr>
        <w:b w:val="0"/>
      </w:rPr>
      <w:fldChar w:fldCharType="end"/>
    </w:r>
    <w:r w:rsidRPr="00877E7D">
      <w:rPr>
        <w:lang w:val="es-ES"/>
      </w:rPr>
      <w:tab/>
    </w:r>
    <w:r w:rsidR="00620DD0">
      <w:rPr>
        <w:lang w:val="en-US"/>
      </w:rPr>
      <w:t xml:space="preserve">AMNT-20 – Resolución </w:t>
    </w:r>
    <w:r w:rsidR="00620DD0">
      <w:fldChar w:fldCharType="begin"/>
    </w:r>
    <w:r w:rsidR="00620DD0">
      <w:rPr>
        <w:lang w:val="en-US"/>
      </w:rPr>
      <w:instrText>styleref href</w:instrText>
    </w:r>
    <w:r w:rsidR="00620DD0">
      <w:fldChar w:fldCharType="separate"/>
    </w:r>
    <w:r w:rsidR="00620DD0">
      <w:rPr>
        <w:noProof/>
        <w:lang w:val="en-US"/>
      </w:rPr>
      <w:t>65</w:t>
    </w:r>
    <w:r w:rsidR="00620D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98F" w14:textId="79888EC4" w:rsidR="00877E7D" w:rsidRPr="00877E7D" w:rsidRDefault="00877E7D" w:rsidP="0028582D">
    <w:pPr>
      <w:pStyle w:val="FooterQP"/>
      <w:rPr>
        <w:b w:val="0"/>
        <w:lang w:val="en-US"/>
      </w:rPr>
    </w:pPr>
    <w:r>
      <w:tab/>
    </w:r>
    <w:r>
      <w:tab/>
    </w:r>
    <w:r w:rsidR="00620DD0">
      <w:rPr>
        <w:lang w:val="en-US"/>
      </w:rPr>
      <w:t xml:space="preserve">AMNT-20 – Resolución </w:t>
    </w:r>
    <w:r w:rsidR="00620DD0">
      <w:fldChar w:fldCharType="begin"/>
    </w:r>
    <w:r w:rsidR="00620DD0">
      <w:rPr>
        <w:lang w:val="en-US"/>
      </w:rPr>
      <w:instrText>styleref href</w:instrText>
    </w:r>
    <w:r w:rsidR="00620DD0">
      <w:fldChar w:fldCharType="separate"/>
    </w:r>
    <w:r w:rsidR="00FE7B4D">
      <w:rPr>
        <w:noProof/>
        <w:lang w:val="en-US"/>
      </w:rPr>
      <w:t>65</w:t>
    </w:r>
    <w:r w:rsidR="00620DD0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533B9">
      <w:rPr>
        <w:b w:val="0"/>
        <w:noProof/>
        <w:lang w:val="en-US"/>
      </w:rPr>
      <w:t>7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D90E" w14:textId="3FA3498F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20DD0">
      <w:rPr>
        <w:noProof/>
        <w:lang w:val="en-US"/>
      </w:rPr>
      <w:t>65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0C7B" w14:textId="77777777" w:rsidR="0052251F" w:rsidRDefault="0052251F">
      <w:r>
        <w:t>____________________</w:t>
      </w:r>
    </w:p>
  </w:footnote>
  <w:footnote w:type="continuationSeparator" w:id="0">
    <w:p w14:paraId="6BCBC101" w14:textId="77777777" w:rsidR="0052251F" w:rsidRDefault="0052251F">
      <w:r>
        <w:continuationSeparator/>
      </w:r>
    </w:p>
  </w:footnote>
  <w:footnote w:id="1">
    <w:p w14:paraId="2052A0CC" w14:textId="77777777" w:rsidR="00DC0FE1" w:rsidRPr="001E6B98" w:rsidRDefault="00DC0FE1" w:rsidP="00DC0FE1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57A" w14:textId="77777777"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0C95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3127C"/>
    <w:rsid w:val="00241D6F"/>
    <w:rsid w:val="00245661"/>
    <w:rsid w:val="00256525"/>
    <w:rsid w:val="00256F54"/>
    <w:rsid w:val="0028582D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533B9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20DD0"/>
    <w:rsid w:val="006349BE"/>
    <w:rsid w:val="00642735"/>
    <w:rsid w:val="00643BC7"/>
    <w:rsid w:val="00664F8D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7F3FD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0CE3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2E9"/>
    <w:rsid w:val="00D976F2"/>
    <w:rsid w:val="00DC0FE1"/>
    <w:rsid w:val="00DC4B81"/>
    <w:rsid w:val="00DD71D5"/>
    <w:rsid w:val="00DE4D43"/>
    <w:rsid w:val="00E16169"/>
    <w:rsid w:val="00E26A91"/>
    <w:rsid w:val="00E461D8"/>
    <w:rsid w:val="00E5178C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E7B4D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qFormat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  <w:style w:type="paragraph" w:customStyle="1" w:styleId="Reasons">
    <w:name w:val="Reasons"/>
    <w:basedOn w:val="Normal"/>
    <w:qFormat/>
    <w:rsid w:val="00DC0FE1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3</TotalTime>
  <Pages>5</Pages>
  <Words>1505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65 – Comunicación del número de la parte llamante, identificación de la línea llamante e información sobre la identificación del origen</vt:lpstr>
    </vt:vector>
  </TitlesOfParts>
  <Company>International Telecommunication Union (ITU)</Company>
  <LinksUpToDate>false</LinksUpToDate>
  <CharactersWithSpaces>9800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65 – Comunicación del número de la parte llamante, identificación de la línea llamante e información sobre la identificación del origen</dc:title>
  <dc:subject>World Telecommunication Standardization Assembly</dc:subject>
  <dc:creator>ITU-T</dc:creator>
  <cp:keywords/>
  <dc:description/>
  <cp:lastModifiedBy>Catalano Moreira, Rossana</cp:lastModifiedBy>
  <cp:revision>7</cp:revision>
  <cp:lastPrinted>2016-12-13T15:23:00Z</cp:lastPrinted>
  <dcterms:created xsi:type="dcterms:W3CDTF">2022-04-20T06:38:00Z</dcterms:created>
  <dcterms:modified xsi:type="dcterms:W3CDTF">2022-04-20T06:44:00Z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