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4018A1" w:rsidRPr="00C015A3" w14:paraId="7DE30F93" w14:textId="77777777" w:rsidTr="00F960A1">
        <w:trPr>
          <w:trHeight w:hRule="exact" w:val="1418"/>
        </w:trPr>
        <w:tc>
          <w:tcPr>
            <w:tcW w:w="1428" w:type="dxa"/>
            <w:gridSpan w:val="2"/>
          </w:tcPr>
          <w:p w14:paraId="13EF1140" w14:textId="77777777" w:rsidR="004018A1" w:rsidRPr="00C015A3" w:rsidRDefault="004018A1" w:rsidP="00F960A1">
            <w:pPr>
              <w:rPr>
                <w:sz w:val="24"/>
                <w:lang w:val="fr-FR"/>
              </w:rPr>
            </w:pPr>
            <w:bookmarkStart w:id="0" w:name="_Toc475539605"/>
            <w:bookmarkStart w:id="1" w:name="_Toc475542314"/>
            <w:bookmarkStart w:id="2" w:name="_Toc476211418"/>
            <w:bookmarkStart w:id="3" w:name="_Toc476213355"/>
            <w:r w:rsidRPr="00C015A3">
              <w:rPr>
                <w:lang w:val="fr-FR" w:eastAsia="zh-CN"/>
              </w:rPr>
              <w:drawing>
                <wp:anchor distT="0" distB="0" distL="114300" distR="114300" simplePos="0" relativeHeight="251659264" behindDoc="0" locked="0" layoutInCell="0" allowOverlap="1" wp14:anchorId="21926729" wp14:editId="088C4D0A">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570D5" w14:textId="77777777" w:rsidR="004018A1" w:rsidRPr="00C015A3" w:rsidRDefault="004018A1" w:rsidP="00F960A1">
            <w:pPr>
              <w:spacing w:before="0"/>
              <w:rPr>
                <w:b/>
                <w:sz w:val="16"/>
                <w:lang w:val="fr-FR"/>
              </w:rPr>
            </w:pPr>
          </w:p>
        </w:tc>
        <w:tc>
          <w:tcPr>
            <w:tcW w:w="8520" w:type="dxa"/>
            <w:gridSpan w:val="3"/>
          </w:tcPr>
          <w:p w14:paraId="15767825" w14:textId="77777777" w:rsidR="004018A1" w:rsidRPr="00C015A3" w:rsidRDefault="004018A1" w:rsidP="00F960A1">
            <w:pPr>
              <w:spacing w:before="0"/>
              <w:rPr>
                <w:rFonts w:ascii="Arial" w:hAnsi="Arial" w:cs="Arial"/>
                <w:sz w:val="24"/>
                <w:lang w:val="fr-FR"/>
              </w:rPr>
            </w:pPr>
          </w:p>
          <w:p w14:paraId="7CEBD1F8" w14:textId="77777777" w:rsidR="004018A1" w:rsidRPr="00C015A3" w:rsidRDefault="004018A1" w:rsidP="00F960A1">
            <w:pPr>
              <w:spacing w:before="284"/>
              <w:rPr>
                <w:rFonts w:ascii="Arial" w:hAnsi="Arial" w:cs="Arial"/>
                <w:b/>
                <w:bCs/>
                <w:szCs w:val="22"/>
                <w:lang w:val="fr-FR"/>
              </w:rPr>
            </w:pPr>
            <w:r w:rsidRPr="00C015A3">
              <w:rPr>
                <w:rFonts w:ascii="Arial" w:hAnsi="Arial" w:cs="Arial"/>
                <w:b/>
                <w:bCs/>
                <w:color w:val="808080"/>
                <w:spacing w:val="72"/>
                <w:lang w:val="fr-FR"/>
              </w:rPr>
              <w:t>Union internationale des télécommunications</w:t>
            </w:r>
          </w:p>
        </w:tc>
      </w:tr>
      <w:tr w:rsidR="004018A1" w:rsidRPr="00C015A3" w14:paraId="25C2AB12" w14:textId="77777777" w:rsidTr="00F960A1">
        <w:trPr>
          <w:trHeight w:hRule="exact" w:val="992"/>
        </w:trPr>
        <w:tc>
          <w:tcPr>
            <w:tcW w:w="1428" w:type="dxa"/>
            <w:gridSpan w:val="2"/>
          </w:tcPr>
          <w:p w14:paraId="0AD97D9B" w14:textId="77777777" w:rsidR="004018A1" w:rsidRPr="00C015A3" w:rsidRDefault="004018A1" w:rsidP="00F960A1">
            <w:pPr>
              <w:spacing w:before="0"/>
              <w:rPr>
                <w:sz w:val="24"/>
                <w:lang w:val="fr-FR"/>
              </w:rPr>
            </w:pPr>
          </w:p>
        </w:tc>
        <w:tc>
          <w:tcPr>
            <w:tcW w:w="8520" w:type="dxa"/>
            <w:gridSpan w:val="3"/>
          </w:tcPr>
          <w:p w14:paraId="54B458E2" w14:textId="77777777" w:rsidR="004018A1" w:rsidRPr="00C015A3" w:rsidRDefault="004018A1" w:rsidP="00F960A1">
            <w:pPr>
              <w:rPr>
                <w:sz w:val="24"/>
                <w:lang w:val="fr-FR"/>
              </w:rPr>
            </w:pPr>
          </w:p>
        </w:tc>
      </w:tr>
      <w:tr w:rsidR="004018A1" w:rsidRPr="00C015A3" w14:paraId="25B19621" w14:textId="77777777" w:rsidTr="00F960A1">
        <w:tblPrEx>
          <w:tblCellMar>
            <w:left w:w="85" w:type="dxa"/>
            <w:right w:w="85" w:type="dxa"/>
          </w:tblCellMar>
        </w:tblPrEx>
        <w:trPr>
          <w:gridBefore w:val="2"/>
          <w:wBefore w:w="1428" w:type="dxa"/>
        </w:trPr>
        <w:tc>
          <w:tcPr>
            <w:tcW w:w="2520" w:type="dxa"/>
          </w:tcPr>
          <w:p w14:paraId="3829AAA1" w14:textId="77777777" w:rsidR="004018A1" w:rsidRPr="00C015A3" w:rsidRDefault="004018A1" w:rsidP="00F960A1">
            <w:pPr>
              <w:rPr>
                <w:b/>
                <w:sz w:val="18"/>
                <w:lang w:val="fr-FR"/>
              </w:rPr>
            </w:pPr>
            <w:bookmarkStart w:id="4" w:name="dnume" w:colFirst="1" w:colLast="1"/>
            <w:r w:rsidRPr="00C015A3">
              <w:rPr>
                <w:rFonts w:ascii="Arial" w:hAnsi="Arial"/>
                <w:b/>
                <w:spacing w:val="40"/>
                <w:sz w:val="72"/>
                <w:lang w:val="fr-FR"/>
              </w:rPr>
              <w:t>UIT-T</w:t>
            </w:r>
          </w:p>
        </w:tc>
        <w:tc>
          <w:tcPr>
            <w:tcW w:w="6000" w:type="dxa"/>
            <w:gridSpan w:val="2"/>
          </w:tcPr>
          <w:p w14:paraId="3183BB34" w14:textId="77777777" w:rsidR="004018A1" w:rsidRPr="00C015A3" w:rsidRDefault="004018A1" w:rsidP="00F960A1">
            <w:pPr>
              <w:spacing w:before="240"/>
              <w:jc w:val="right"/>
              <w:rPr>
                <w:b/>
                <w:sz w:val="18"/>
                <w:lang w:val="fr-FR"/>
              </w:rPr>
            </w:pPr>
          </w:p>
        </w:tc>
      </w:tr>
      <w:tr w:rsidR="004018A1" w:rsidRPr="00C015A3" w14:paraId="3EBA3CBE" w14:textId="77777777" w:rsidTr="00F960A1">
        <w:tblPrEx>
          <w:tblCellMar>
            <w:left w:w="85" w:type="dxa"/>
            <w:right w:w="85" w:type="dxa"/>
          </w:tblCellMar>
        </w:tblPrEx>
        <w:trPr>
          <w:gridBefore w:val="2"/>
          <w:wBefore w:w="1428" w:type="dxa"/>
          <w:trHeight w:val="974"/>
        </w:trPr>
        <w:tc>
          <w:tcPr>
            <w:tcW w:w="4549" w:type="dxa"/>
            <w:gridSpan w:val="2"/>
          </w:tcPr>
          <w:p w14:paraId="28D93A78" w14:textId="77777777" w:rsidR="004018A1" w:rsidRPr="00C015A3" w:rsidRDefault="004018A1" w:rsidP="00F960A1">
            <w:pPr>
              <w:jc w:val="left"/>
              <w:rPr>
                <w:b/>
                <w:sz w:val="20"/>
                <w:lang w:val="fr-FR"/>
              </w:rPr>
            </w:pPr>
            <w:bookmarkStart w:id="5" w:name="ddatee" w:colFirst="1" w:colLast="1"/>
            <w:bookmarkEnd w:id="4"/>
            <w:proofErr w:type="gramStart"/>
            <w:r w:rsidRPr="00C015A3">
              <w:rPr>
                <w:rFonts w:ascii="Arial" w:hAnsi="Arial"/>
                <w:sz w:val="20"/>
                <w:lang w:val="fr-FR"/>
              </w:rPr>
              <w:t>SECTEUR  DE</w:t>
            </w:r>
            <w:proofErr w:type="gramEnd"/>
            <w:r w:rsidRPr="00C015A3">
              <w:rPr>
                <w:rFonts w:ascii="Arial" w:hAnsi="Arial"/>
                <w:sz w:val="20"/>
                <w:lang w:val="fr-FR"/>
              </w:rPr>
              <w:t xml:space="preserve">  LA  NORMALISATION</w:t>
            </w:r>
            <w:r w:rsidRPr="00C015A3">
              <w:rPr>
                <w:rFonts w:ascii="Arial" w:hAnsi="Arial" w:cs="Arial"/>
                <w:sz w:val="20"/>
                <w:lang w:val="fr-FR"/>
              </w:rPr>
              <w:br/>
            </w:r>
            <w:r w:rsidRPr="00C015A3">
              <w:rPr>
                <w:rFonts w:ascii="Arial" w:hAnsi="Arial"/>
                <w:sz w:val="20"/>
                <w:lang w:val="fr-FR"/>
              </w:rPr>
              <w:t>DES  TÉLÉCOMMUNICATIONS</w:t>
            </w:r>
            <w:r w:rsidRPr="00C015A3">
              <w:rPr>
                <w:rFonts w:ascii="Arial" w:hAnsi="Arial"/>
                <w:sz w:val="20"/>
                <w:lang w:val="fr-FR"/>
              </w:rPr>
              <w:br/>
              <w:t>DE  L'UIT</w:t>
            </w:r>
          </w:p>
        </w:tc>
        <w:tc>
          <w:tcPr>
            <w:tcW w:w="3971" w:type="dxa"/>
          </w:tcPr>
          <w:p w14:paraId="30A4D633" w14:textId="77777777" w:rsidR="004018A1" w:rsidRPr="00C015A3" w:rsidRDefault="004018A1" w:rsidP="00F960A1">
            <w:pPr>
              <w:spacing w:before="0"/>
              <w:jc w:val="right"/>
              <w:rPr>
                <w:b/>
                <w:sz w:val="18"/>
                <w:lang w:val="fr-FR"/>
              </w:rPr>
            </w:pPr>
          </w:p>
        </w:tc>
      </w:tr>
      <w:tr w:rsidR="004018A1" w:rsidRPr="00C015A3" w14:paraId="708D9E48" w14:textId="77777777" w:rsidTr="00F960A1">
        <w:trPr>
          <w:cantSplit/>
          <w:trHeight w:hRule="exact" w:val="3402"/>
        </w:trPr>
        <w:tc>
          <w:tcPr>
            <w:tcW w:w="1418" w:type="dxa"/>
          </w:tcPr>
          <w:p w14:paraId="09B9132D" w14:textId="77777777" w:rsidR="004018A1" w:rsidRPr="00C015A3" w:rsidRDefault="004018A1"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1C216A22" w14:textId="77777777" w:rsidR="004018A1" w:rsidRPr="00C015A3" w:rsidRDefault="004018A1" w:rsidP="00F960A1">
            <w:pPr>
              <w:tabs>
                <w:tab w:val="right" w:pos="9639"/>
              </w:tabs>
              <w:jc w:val="left"/>
              <w:rPr>
                <w:rFonts w:ascii="Arial" w:hAnsi="Arial"/>
                <w:sz w:val="32"/>
                <w:lang w:val="fr-FR"/>
              </w:rPr>
            </w:pPr>
            <w:r w:rsidRPr="00C015A3">
              <w:rPr>
                <w:rFonts w:ascii="Arial" w:hAnsi="Arial"/>
                <w:sz w:val="32"/>
                <w:lang w:val="fr-FR"/>
              </w:rPr>
              <w:t>ASSEMBLÉE MONDIALE DE NORMALISATION DES TÉLÉCOMMUNICATIONS</w:t>
            </w:r>
            <w:r w:rsidRPr="00C015A3">
              <w:rPr>
                <w:rFonts w:ascii="Arial" w:hAnsi="Arial"/>
                <w:sz w:val="32"/>
                <w:lang w:val="fr-FR"/>
              </w:rPr>
              <w:br/>
              <w:t>Genève, 1-9 mars 2022</w:t>
            </w:r>
          </w:p>
          <w:p w14:paraId="48F16A73" w14:textId="77777777" w:rsidR="004018A1" w:rsidRPr="00C015A3" w:rsidRDefault="004018A1" w:rsidP="00F960A1">
            <w:pPr>
              <w:tabs>
                <w:tab w:val="right" w:pos="9639"/>
              </w:tabs>
              <w:jc w:val="left"/>
              <w:rPr>
                <w:rFonts w:ascii="Arial" w:hAnsi="Arial"/>
                <w:sz w:val="32"/>
                <w:lang w:val="fr-FR"/>
              </w:rPr>
            </w:pPr>
          </w:p>
        </w:tc>
      </w:tr>
      <w:tr w:rsidR="004018A1" w:rsidRPr="00C015A3" w14:paraId="2C29639B" w14:textId="77777777" w:rsidTr="00F960A1">
        <w:trPr>
          <w:cantSplit/>
          <w:trHeight w:hRule="exact" w:val="3912"/>
        </w:trPr>
        <w:tc>
          <w:tcPr>
            <w:tcW w:w="1418" w:type="dxa"/>
          </w:tcPr>
          <w:p w14:paraId="03FE2E90" w14:textId="77777777" w:rsidR="004018A1" w:rsidRPr="00C015A3" w:rsidRDefault="004018A1" w:rsidP="00F960A1">
            <w:pPr>
              <w:tabs>
                <w:tab w:val="right" w:pos="9639"/>
              </w:tabs>
              <w:rPr>
                <w:rFonts w:ascii="Arial" w:hAnsi="Arial"/>
                <w:sz w:val="18"/>
                <w:lang w:val="fr-FR"/>
              </w:rPr>
            </w:pPr>
            <w:bookmarkStart w:id="7" w:name="c1tite" w:colFirst="1" w:colLast="1"/>
            <w:bookmarkEnd w:id="6"/>
          </w:p>
        </w:tc>
        <w:tc>
          <w:tcPr>
            <w:tcW w:w="8530" w:type="dxa"/>
            <w:gridSpan w:val="4"/>
          </w:tcPr>
          <w:p w14:paraId="494D0E46" w14:textId="40D764B1" w:rsidR="004018A1" w:rsidRPr="00C015A3" w:rsidRDefault="004018A1" w:rsidP="004018A1">
            <w:pPr>
              <w:tabs>
                <w:tab w:val="right" w:pos="9639"/>
              </w:tabs>
              <w:jc w:val="left"/>
              <w:rPr>
                <w:rFonts w:ascii="Arial" w:hAnsi="Arial"/>
                <w:b/>
                <w:bCs/>
                <w:sz w:val="36"/>
                <w:lang w:val="fr-FR"/>
              </w:rPr>
            </w:pPr>
            <w:r w:rsidRPr="00C015A3">
              <w:rPr>
                <w:rFonts w:ascii="Arial" w:hAnsi="Arial"/>
                <w:b/>
                <w:bCs/>
                <w:sz w:val="36"/>
                <w:lang w:val="fr-FR"/>
              </w:rPr>
              <w:t>Résolution 65 – Acheminement des informations relatives au numéro de l'appelant, à l'identification de la ligne appelante et à l'identification de l'origine</w:t>
            </w:r>
          </w:p>
        </w:tc>
      </w:tr>
      <w:bookmarkEnd w:id="7"/>
      <w:tr w:rsidR="004018A1" w:rsidRPr="00C015A3" w14:paraId="32C4DBCB" w14:textId="77777777" w:rsidTr="00F960A1">
        <w:trPr>
          <w:cantSplit/>
          <w:trHeight w:hRule="exact" w:val="1418"/>
        </w:trPr>
        <w:tc>
          <w:tcPr>
            <w:tcW w:w="1418" w:type="dxa"/>
          </w:tcPr>
          <w:p w14:paraId="4ADEF26C" w14:textId="77777777" w:rsidR="004018A1" w:rsidRPr="00C015A3" w:rsidRDefault="004018A1" w:rsidP="00F960A1">
            <w:pPr>
              <w:tabs>
                <w:tab w:val="right" w:pos="9639"/>
              </w:tabs>
              <w:rPr>
                <w:rFonts w:ascii="Arial" w:hAnsi="Arial"/>
                <w:sz w:val="18"/>
                <w:lang w:val="fr-FR"/>
              </w:rPr>
            </w:pPr>
          </w:p>
        </w:tc>
        <w:tc>
          <w:tcPr>
            <w:tcW w:w="8530" w:type="dxa"/>
            <w:gridSpan w:val="4"/>
            <w:vAlign w:val="bottom"/>
          </w:tcPr>
          <w:p w14:paraId="6606ED27" w14:textId="77777777" w:rsidR="004018A1" w:rsidRPr="00C015A3" w:rsidRDefault="004018A1" w:rsidP="00F960A1">
            <w:pPr>
              <w:tabs>
                <w:tab w:val="right" w:pos="9639"/>
              </w:tabs>
              <w:spacing w:before="0"/>
              <w:jc w:val="left"/>
              <w:rPr>
                <w:rFonts w:ascii="Arial" w:hAnsi="Arial"/>
                <w:sz w:val="18"/>
                <w:lang w:val="fr-FR"/>
              </w:rPr>
            </w:pPr>
            <w:bookmarkStart w:id="8" w:name="dnum2e"/>
            <w:bookmarkEnd w:id="8"/>
          </w:p>
        </w:tc>
      </w:tr>
    </w:tbl>
    <w:p w14:paraId="4530C06E" w14:textId="77777777" w:rsidR="004018A1" w:rsidRPr="00C015A3" w:rsidRDefault="004018A1" w:rsidP="004018A1">
      <w:pPr>
        <w:tabs>
          <w:tab w:val="right" w:pos="9639"/>
        </w:tabs>
        <w:spacing w:before="240"/>
        <w:jc w:val="right"/>
        <w:rPr>
          <w:sz w:val="20"/>
          <w:lang w:val="fr-FR"/>
        </w:rPr>
      </w:pPr>
      <w:bookmarkStart w:id="9" w:name="c2tope"/>
      <w:bookmarkEnd w:id="9"/>
      <w:r w:rsidRPr="00C015A3">
        <w:rPr>
          <w:lang w:val="fr-FR"/>
        </w:rPr>
        <w:drawing>
          <wp:inline distT="0" distB="0" distL="0" distR="0" wp14:anchorId="09743481" wp14:editId="4A0EF15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7A5312F3" w14:textId="77777777" w:rsidR="004018A1" w:rsidRPr="00C015A3" w:rsidRDefault="004018A1" w:rsidP="004018A1">
      <w:pPr>
        <w:spacing w:before="80"/>
        <w:jc w:val="left"/>
        <w:rPr>
          <w:i/>
          <w:sz w:val="20"/>
          <w:lang w:val="fr-FR"/>
        </w:rPr>
      </w:pPr>
    </w:p>
    <w:p w14:paraId="600AF00F" w14:textId="77777777" w:rsidR="004018A1" w:rsidRPr="00C015A3" w:rsidRDefault="004018A1" w:rsidP="004018A1">
      <w:pPr>
        <w:jc w:val="left"/>
        <w:rPr>
          <w:sz w:val="24"/>
          <w:lang w:val="fr-FR"/>
        </w:rPr>
        <w:sectPr w:rsidR="004018A1" w:rsidRPr="00C015A3" w:rsidSect="004018A1">
          <w:headerReference w:type="even" r:id="rId13"/>
          <w:headerReference w:type="default" r:id="rId14"/>
          <w:type w:val="nextColumn"/>
          <w:pgSz w:w="11907" w:h="16840" w:code="9"/>
          <w:pgMar w:top="1089" w:right="1089" w:bottom="284" w:left="1089" w:header="567" w:footer="284" w:gutter="0"/>
          <w:pgNumType w:start="1"/>
          <w:cols w:space="720"/>
        </w:sectPr>
      </w:pPr>
    </w:p>
    <w:p w14:paraId="1EA84BFD" w14:textId="77777777" w:rsidR="004018A1" w:rsidRPr="00C015A3" w:rsidRDefault="004018A1" w:rsidP="004018A1">
      <w:pPr>
        <w:spacing w:before="480"/>
        <w:jc w:val="center"/>
        <w:rPr>
          <w:lang w:val="fr-FR"/>
        </w:rPr>
      </w:pPr>
      <w:bookmarkStart w:id="10" w:name="irecnoe"/>
      <w:bookmarkEnd w:id="10"/>
      <w:r w:rsidRPr="00C015A3">
        <w:rPr>
          <w:lang w:val="fr-FR"/>
        </w:rPr>
        <w:lastRenderedPageBreak/>
        <w:t>AVANT-PROPOS</w:t>
      </w:r>
    </w:p>
    <w:p w14:paraId="3977E8E6" w14:textId="77777777" w:rsidR="004018A1" w:rsidRPr="00C015A3" w:rsidRDefault="004018A1" w:rsidP="004018A1">
      <w:pPr>
        <w:rPr>
          <w:sz w:val="20"/>
          <w:lang w:val="fr-FR"/>
        </w:rPr>
      </w:pPr>
      <w:bookmarkStart w:id="11" w:name="iitextf"/>
      <w:r w:rsidRPr="00C015A3">
        <w:rPr>
          <w:sz w:val="20"/>
          <w:lang w:val="fr-FR"/>
        </w:rPr>
        <w:t>L'Union internationale des télécommunications (UIT) est une institution spécialisée des Nations Unies dans le domaine des télé</w:t>
      </w:r>
      <w:r w:rsidRPr="00C015A3">
        <w:rPr>
          <w:sz w:val="20"/>
          <w:lang w:val="fr-FR"/>
        </w:rPr>
        <w:softHyphen/>
        <w:t>com</w:t>
      </w:r>
      <w:r w:rsidRPr="00C015A3">
        <w:rPr>
          <w:sz w:val="20"/>
          <w:lang w:val="fr-FR"/>
        </w:rPr>
        <w:softHyphen/>
        <w:t>mu</w:t>
      </w:r>
      <w:r w:rsidRPr="00C015A3">
        <w:rPr>
          <w:sz w:val="20"/>
          <w:lang w:val="fr-FR"/>
        </w:rPr>
        <w:softHyphen/>
        <w:t>ni</w:t>
      </w:r>
      <w:r w:rsidRPr="00C015A3">
        <w:rPr>
          <w:sz w:val="20"/>
          <w:lang w:val="fr-FR"/>
        </w:rPr>
        <w:softHyphen/>
        <w:t>ca</w:t>
      </w:r>
      <w:r w:rsidRPr="00C015A3">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C015A3">
        <w:rPr>
          <w:sz w:val="20"/>
          <w:lang w:val="fr-FR"/>
        </w:rPr>
        <w:softHyphen/>
        <w:t>com</w:t>
      </w:r>
      <w:r w:rsidRPr="00C015A3">
        <w:rPr>
          <w:sz w:val="20"/>
          <w:lang w:val="fr-FR"/>
        </w:rPr>
        <w:softHyphen/>
        <w:t>mu</w:t>
      </w:r>
      <w:r w:rsidRPr="00C015A3">
        <w:rPr>
          <w:sz w:val="20"/>
          <w:lang w:val="fr-FR"/>
        </w:rPr>
        <w:softHyphen/>
        <w:t>ni</w:t>
      </w:r>
      <w:r w:rsidRPr="00C015A3">
        <w:rPr>
          <w:sz w:val="20"/>
          <w:lang w:val="fr-FR"/>
        </w:rPr>
        <w:softHyphen/>
        <w:t>ca</w:t>
      </w:r>
      <w:r w:rsidRPr="00C015A3">
        <w:rPr>
          <w:sz w:val="20"/>
          <w:lang w:val="fr-FR"/>
        </w:rPr>
        <w:softHyphen/>
        <w:t>tions à l'échelle mondiale.</w:t>
      </w:r>
    </w:p>
    <w:p w14:paraId="482E9E0A" w14:textId="77777777" w:rsidR="004018A1" w:rsidRPr="00C015A3" w:rsidRDefault="004018A1" w:rsidP="004018A1">
      <w:pPr>
        <w:rPr>
          <w:sz w:val="20"/>
          <w:lang w:val="fr-FR"/>
        </w:rPr>
      </w:pPr>
      <w:r w:rsidRPr="00C015A3">
        <w:rPr>
          <w:sz w:val="20"/>
          <w:lang w:val="fr-FR"/>
        </w:rPr>
        <w:t>L'Assemblée mondiale de normalisation des télécommunications (AMNT), qui se réunit tous les quatre ans, détermine les thèmes d'étude à traiter par les Commissions d'études de l'UIT</w:t>
      </w:r>
      <w:r w:rsidRPr="00C015A3">
        <w:rPr>
          <w:sz w:val="20"/>
          <w:lang w:val="fr-FR"/>
        </w:rPr>
        <w:noBreakHyphen/>
        <w:t>T, lesquelles élaborent en retour des Recommandations sur ces thèmes.</w:t>
      </w:r>
    </w:p>
    <w:p w14:paraId="3F71C158" w14:textId="77777777" w:rsidR="004018A1" w:rsidRPr="00C015A3" w:rsidRDefault="004018A1" w:rsidP="004018A1">
      <w:pPr>
        <w:rPr>
          <w:sz w:val="20"/>
          <w:lang w:val="fr-FR"/>
        </w:rPr>
      </w:pPr>
      <w:r w:rsidRPr="00C015A3">
        <w:rPr>
          <w:sz w:val="20"/>
          <w:lang w:val="fr-FR"/>
        </w:rPr>
        <w:t>L'approbation des Recommandations par les Membres de l'UIT</w:t>
      </w:r>
      <w:r w:rsidRPr="00C015A3">
        <w:rPr>
          <w:sz w:val="20"/>
          <w:lang w:val="fr-FR"/>
        </w:rPr>
        <w:noBreakHyphen/>
        <w:t>T s'effectue selon la procédure définie dans la Résolution 1 de l'AMNT.</w:t>
      </w:r>
    </w:p>
    <w:p w14:paraId="0A133366" w14:textId="77777777" w:rsidR="004018A1" w:rsidRPr="00C015A3" w:rsidRDefault="004018A1" w:rsidP="004018A1">
      <w:pPr>
        <w:rPr>
          <w:lang w:val="fr-FR"/>
        </w:rPr>
      </w:pPr>
      <w:r w:rsidRPr="00C015A3">
        <w:rPr>
          <w:sz w:val="20"/>
          <w:lang w:val="fr-FR"/>
        </w:rPr>
        <w:t>Dans certains secteurs des technologies de l'information qui correspondent à la sphère de compétence de l'UIT-T, les normes nécessaires se préparent en collaboration avec l'ISO et la CEI.</w:t>
      </w:r>
    </w:p>
    <w:bookmarkEnd w:id="11"/>
    <w:p w14:paraId="1DA78F26" w14:textId="77777777" w:rsidR="004018A1" w:rsidRPr="00C015A3" w:rsidRDefault="004018A1" w:rsidP="004018A1">
      <w:pPr>
        <w:jc w:val="center"/>
        <w:rPr>
          <w:lang w:val="fr-FR"/>
        </w:rPr>
      </w:pPr>
    </w:p>
    <w:p w14:paraId="402B5608" w14:textId="77777777" w:rsidR="004018A1" w:rsidRPr="00C015A3" w:rsidRDefault="004018A1" w:rsidP="004018A1">
      <w:pPr>
        <w:jc w:val="center"/>
        <w:rPr>
          <w:lang w:val="fr-FR"/>
        </w:rPr>
      </w:pPr>
    </w:p>
    <w:p w14:paraId="599057B5" w14:textId="77777777" w:rsidR="004018A1" w:rsidRPr="00C015A3" w:rsidRDefault="004018A1" w:rsidP="004018A1">
      <w:pPr>
        <w:jc w:val="center"/>
        <w:rPr>
          <w:lang w:val="fr-FR"/>
        </w:rPr>
      </w:pPr>
    </w:p>
    <w:p w14:paraId="11819CB0" w14:textId="77777777" w:rsidR="004018A1" w:rsidRPr="00C015A3" w:rsidRDefault="004018A1" w:rsidP="004018A1">
      <w:pPr>
        <w:jc w:val="center"/>
        <w:rPr>
          <w:lang w:val="fr-FR"/>
        </w:rPr>
      </w:pPr>
    </w:p>
    <w:p w14:paraId="3464CEED" w14:textId="77777777" w:rsidR="004018A1" w:rsidRPr="00C015A3" w:rsidRDefault="004018A1" w:rsidP="004018A1">
      <w:pPr>
        <w:jc w:val="center"/>
        <w:rPr>
          <w:lang w:val="fr-FR"/>
        </w:rPr>
      </w:pPr>
    </w:p>
    <w:p w14:paraId="1A631C69" w14:textId="77777777" w:rsidR="004018A1" w:rsidRPr="00C015A3" w:rsidRDefault="004018A1" w:rsidP="004018A1">
      <w:pPr>
        <w:jc w:val="center"/>
        <w:rPr>
          <w:lang w:val="fr-FR"/>
        </w:rPr>
      </w:pPr>
    </w:p>
    <w:p w14:paraId="6745B877" w14:textId="77777777" w:rsidR="004018A1" w:rsidRPr="00C015A3" w:rsidRDefault="004018A1" w:rsidP="004018A1">
      <w:pPr>
        <w:jc w:val="center"/>
        <w:rPr>
          <w:lang w:val="fr-FR"/>
        </w:rPr>
      </w:pPr>
    </w:p>
    <w:p w14:paraId="78C2A2A4" w14:textId="77777777" w:rsidR="004018A1" w:rsidRPr="00C015A3" w:rsidRDefault="004018A1" w:rsidP="004018A1">
      <w:pPr>
        <w:jc w:val="center"/>
        <w:rPr>
          <w:lang w:val="fr-FR"/>
        </w:rPr>
      </w:pPr>
    </w:p>
    <w:p w14:paraId="5DE65F9E" w14:textId="77777777" w:rsidR="004018A1" w:rsidRPr="00C015A3" w:rsidRDefault="004018A1" w:rsidP="004018A1">
      <w:pPr>
        <w:jc w:val="center"/>
        <w:rPr>
          <w:lang w:val="fr-FR"/>
        </w:rPr>
      </w:pPr>
    </w:p>
    <w:p w14:paraId="69EF1BEB" w14:textId="77777777" w:rsidR="004018A1" w:rsidRPr="00C015A3" w:rsidRDefault="004018A1" w:rsidP="004018A1">
      <w:pPr>
        <w:jc w:val="center"/>
        <w:rPr>
          <w:lang w:val="fr-FR"/>
        </w:rPr>
      </w:pPr>
    </w:p>
    <w:p w14:paraId="150EF950" w14:textId="77777777" w:rsidR="004018A1" w:rsidRPr="00C015A3" w:rsidRDefault="004018A1" w:rsidP="004018A1">
      <w:pPr>
        <w:jc w:val="center"/>
        <w:rPr>
          <w:lang w:val="fr-FR"/>
        </w:rPr>
      </w:pPr>
    </w:p>
    <w:p w14:paraId="7A7F3DF6" w14:textId="77777777" w:rsidR="004018A1" w:rsidRPr="00C015A3" w:rsidRDefault="004018A1" w:rsidP="004018A1">
      <w:pPr>
        <w:jc w:val="center"/>
        <w:rPr>
          <w:lang w:val="fr-FR"/>
        </w:rPr>
      </w:pPr>
    </w:p>
    <w:p w14:paraId="7E7906A4" w14:textId="77777777" w:rsidR="004018A1" w:rsidRPr="00C015A3" w:rsidRDefault="004018A1" w:rsidP="004018A1">
      <w:pPr>
        <w:jc w:val="center"/>
        <w:rPr>
          <w:lang w:val="fr-FR"/>
        </w:rPr>
      </w:pPr>
    </w:p>
    <w:p w14:paraId="0400C096" w14:textId="77777777" w:rsidR="004018A1" w:rsidRPr="00C015A3" w:rsidRDefault="004018A1" w:rsidP="004018A1">
      <w:pPr>
        <w:jc w:val="center"/>
        <w:rPr>
          <w:lang w:val="fr-FR"/>
        </w:rPr>
      </w:pPr>
    </w:p>
    <w:p w14:paraId="2BE8E979" w14:textId="77777777" w:rsidR="004018A1" w:rsidRPr="00C015A3" w:rsidRDefault="004018A1" w:rsidP="004018A1">
      <w:pPr>
        <w:jc w:val="center"/>
        <w:rPr>
          <w:lang w:val="fr-FR"/>
        </w:rPr>
      </w:pPr>
    </w:p>
    <w:p w14:paraId="21519C87" w14:textId="77777777" w:rsidR="004018A1" w:rsidRPr="00C015A3" w:rsidRDefault="004018A1" w:rsidP="004018A1">
      <w:pPr>
        <w:jc w:val="center"/>
        <w:rPr>
          <w:lang w:val="fr-FR"/>
        </w:rPr>
      </w:pPr>
    </w:p>
    <w:p w14:paraId="52EEAB27" w14:textId="77777777" w:rsidR="004018A1" w:rsidRPr="00C015A3" w:rsidRDefault="004018A1" w:rsidP="004018A1">
      <w:pPr>
        <w:jc w:val="center"/>
        <w:rPr>
          <w:lang w:val="fr-FR"/>
        </w:rPr>
      </w:pPr>
    </w:p>
    <w:p w14:paraId="2928D548" w14:textId="77777777" w:rsidR="004018A1" w:rsidRPr="00C015A3" w:rsidRDefault="004018A1" w:rsidP="004018A1">
      <w:pPr>
        <w:jc w:val="center"/>
        <w:rPr>
          <w:lang w:val="fr-FR"/>
        </w:rPr>
      </w:pPr>
    </w:p>
    <w:p w14:paraId="1E8AE407" w14:textId="77777777" w:rsidR="004018A1" w:rsidRPr="00C015A3" w:rsidRDefault="004018A1" w:rsidP="004018A1">
      <w:pPr>
        <w:jc w:val="center"/>
        <w:rPr>
          <w:lang w:val="fr-FR"/>
        </w:rPr>
      </w:pPr>
    </w:p>
    <w:p w14:paraId="515AB536" w14:textId="77777777" w:rsidR="004018A1" w:rsidRPr="00C015A3" w:rsidRDefault="004018A1" w:rsidP="004018A1">
      <w:pPr>
        <w:jc w:val="center"/>
        <w:rPr>
          <w:lang w:val="fr-FR"/>
        </w:rPr>
      </w:pPr>
    </w:p>
    <w:p w14:paraId="1FE6BC33" w14:textId="77777777" w:rsidR="004018A1" w:rsidRPr="00C015A3" w:rsidRDefault="004018A1" w:rsidP="004018A1">
      <w:pPr>
        <w:jc w:val="center"/>
        <w:rPr>
          <w:lang w:val="fr-FR"/>
        </w:rPr>
      </w:pPr>
    </w:p>
    <w:p w14:paraId="71CEB35C" w14:textId="77777777" w:rsidR="004018A1" w:rsidRPr="00C015A3" w:rsidRDefault="004018A1" w:rsidP="004018A1">
      <w:pPr>
        <w:jc w:val="center"/>
        <w:rPr>
          <w:lang w:val="fr-FR"/>
        </w:rPr>
      </w:pPr>
    </w:p>
    <w:p w14:paraId="21C3D187" w14:textId="77777777" w:rsidR="004018A1" w:rsidRPr="00C015A3" w:rsidRDefault="004018A1" w:rsidP="004018A1">
      <w:pPr>
        <w:jc w:val="center"/>
        <w:rPr>
          <w:lang w:val="fr-FR"/>
        </w:rPr>
      </w:pPr>
    </w:p>
    <w:p w14:paraId="7049DA51" w14:textId="77777777" w:rsidR="004018A1" w:rsidRPr="00C015A3" w:rsidRDefault="004018A1" w:rsidP="004018A1">
      <w:pPr>
        <w:jc w:val="center"/>
        <w:rPr>
          <w:lang w:val="fr-FR"/>
        </w:rPr>
      </w:pPr>
    </w:p>
    <w:p w14:paraId="5C49510E" w14:textId="77777777" w:rsidR="004018A1" w:rsidRPr="00C015A3" w:rsidRDefault="004018A1" w:rsidP="004018A1">
      <w:pPr>
        <w:jc w:val="center"/>
        <w:rPr>
          <w:sz w:val="20"/>
          <w:lang w:val="fr-FR"/>
        </w:rPr>
      </w:pPr>
      <w:proofErr w:type="gramStart"/>
      <w:r w:rsidRPr="00C015A3">
        <w:rPr>
          <w:rFonts w:ascii="Symbol" w:hAnsi="Symbol"/>
          <w:sz w:val="20"/>
          <w:lang w:val="fr-FR"/>
        </w:rPr>
        <w:t></w:t>
      </w:r>
      <w:r w:rsidRPr="00C015A3">
        <w:rPr>
          <w:sz w:val="20"/>
          <w:lang w:val="fr-FR"/>
        </w:rPr>
        <w:t>  UIT</w:t>
      </w:r>
      <w:proofErr w:type="gramEnd"/>
      <w:r w:rsidRPr="00C015A3">
        <w:rPr>
          <w:sz w:val="20"/>
          <w:lang w:val="fr-FR"/>
        </w:rPr>
        <w:t>  </w:t>
      </w:r>
      <w:bookmarkStart w:id="12" w:name="iiannef"/>
      <w:bookmarkEnd w:id="12"/>
      <w:r w:rsidRPr="00C015A3">
        <w:rPr>
          <w:sz w:val="20"/>
          <w:lang w:val="fr-FR"/>
        </w:rPr>
        <w:t>2022</w:t>
      </w:r>
    </w:p>
    <w:p w14:paraId="03B77B34" w14:textId="77777777" w:rsidR="004018A1" w:rsidRPr="00C015A3" w:rsidRDefault="004018A1" w:rsidP="004018A1">
      <w:pPr>
        <w:rPr>
          <w:lang w:val="fr-FR"/>
        </w:rPr>
      </w:pPr>
      <w:r w:rsidRPr="00C015A3">
        <w:rPr>
          <w:sz w:val="20"/>
          <w:lang w:val="fr-FR"/>
        </w:rPr>
        <w:t>Tous droits réservés. Aucune partie de cette publication ne peut être reproduite, par quelque procédé que ce soit, sans l'accord écrit préalable de l'UIT.</w:t>
      </w:r>
    </w:p>
    <w:p w14:paraId="30FE29B2" w14:textId="77777777" w:rsidR="004018A1" w:rsidRPr="00C015A3" w:rsidRDefault="004018A1" w:rsidP="004018A1">
      <w:pPr>
        <w:pStyle w:val="ResNo"/>
        <w:rPr>
          <w:lang w:val="fr-FR"/>
        </w:rPr>
        <w:sectPr w:rsidR="004018A1" w:rsidRPr="00C015A3"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3BE866DC" w14:textId="77777777" w:rsidR="008C1C15" w:rsidRPr="00C015A3" w:rsidRDefault="00500734" w:rsidP="008C1C15">
      <w:pPr>
        <w:pStyle w:val="ResNo"/>
        <w:rPr>
          <w:b/>
          <w:bCs w:val="0"/>
          <w:lang w:val="fr-FR"/>
        </w:rPr>
      </w:pPr>
      <w:r w:rsidRPr="00C015A3">
        <w:rPr>
          <w:lang w:val="fr-FR"/>
        </w:rPr>
        <w:lastRenderedPageBreak/>
        <w:t xml:space="preserve">RÉSOLUTION </w:t>
      </w:r>
      <w:r w:rsidRPr="00C015A3">
        <w:rPr>
          <w:rStyle w:val="href"/>
          <w:lang w:val="fr-FR"/>
        </w:rPr>
        <w:t>65</w:t>
      </w:r>
      <w:r w:rsidRPr="00C015A3">
        <w:rPr>
          <w:lang w:val="fr-FR"/>
        </w:rPr>
        <w:t xml:space="preserve"> (R</w:t>
      </w:r>
      <w:r w:rsidRPr="00C015A3">
        <w:rPr>
          <w:caps w:val="0"/>
          <w:lang w:val="fr-FR"/>
        </w:rPr>
        <w:t>év</w:t>
      </w:r>
      <w:r w:rsidRPr="00C015A3">
        <w:rPr>
          <w:lang w:val="fr-FR"/>
        </w:rPr>
        <w:t>. G</w:t>
      </w:r>
      <w:r w:rsidRPr="00C015A3">
        <w:rPr>
          <w:caps w:val="0"/>
          <w:lang w:val="fr-FR"/>
        </w:rPr>
        <w:t>enève</w:t>
      </w:r>
      <w:r w:rsidRPr="00C015A3">
        <w:rPr>
          <w:lang w:val="fr-FR"/>
        </w:rPr>
        <w:t>, 2022)</w:t>
      </w:r>
      <w:bookmarkEnd w:id="0"/>
      <w:bookmarkEnd w:id="1"/>
      <w:bookmarkEnd w:id="2"/>
      <w:bookmarkEnd w:id="3"/>
    </w:p>
    <w:p w14:paraId="5DBEE1B5" w14:textId="5B6674F8" w:rsidR="008C1C15" w:rsidRPr="00C015A3" w:rsidRDefault="00500734" w:rsidP="008C1C15">
      <w:pPr>
        <w:pStyle w:val="Restitle"/>
        <w:rPr>
          <w:lang w:val="fr-FR"/>
        </w:rPr>
      </w:pPr>
      <w:bookmarkStart w:id="13" w:name="_Toc475539606"/>
      <w:bookmarkStart w:id="14" w:name="_Toc475542315"/>
      <w:bookmarkStart w:id="15" w:name="_Toc476211419"/>
      <w:bookmarkStart w:id="16" w:name="_Toc476213356"/>
      <w:r w:rsidRPr="00C015A3">
        <w:rPr>
          <w:lang w:val="fr-FR"/>
        </w:rPr>
        <w:t>Acheminement des informations relatives au num</w:t>
      </w:r>
      <w:r w:rsidRPr="00C015A3">
        <w:rPr>
          <w:lang w:val="fr-FR"/>
        </w:rPr>
        <w:t>é</w:t>
      </w:r>
      <w:r w:rsidRPr="00C015A3">
        <w:rPr>
          <w:lang w:val="fr-FR"/>
        </w:rPr>
        <w:t>ro de l'appelant,</w:t>
      </w:r>
      <w:r w:rsidR="00295F80" w:rsidRPr="00C015A3">
        <w:rPr>
          <w:lang w:val="fr-FR"/>
        </w:rPr>
        <w:t xml:space="preserve"> </w:t>
      </w:r>
      <w:r w:rsidRPr="00C015A3">
        <w:rPr>
          <w:lang w:val="fr-FR"/>
        </w:rPr>
        <w:t>à</w:t>
      </w:r>
      <w:r w:rsidRPr="00C015A3">
        <w:rPr>
          <w:lang w:val="fr-FR"/>
        </w:rPr>
        <w:t xml:space="preserve"> l'identification de la ligne appelante et </w:t>
      </w:r>
      <w:r w:rsidRPr="00C015A3">
        <w:rPr>
          <w:lang w:val="fr-FR"/>
        </w:rPr>
        <w:t>à</w:t>
      </w:r>
      <w:r w:rsidRPr="00C015A3">
        <w:rPr>
          <w:lang w:val="fr-FR"/>
        </w:rPr>
        <w:t xml:space="preserve"> l'identification de l'origine</w:t>
      </w:r>
      <w:bookmarkEnd w:id="13"/>
      <w:bookmarkEnd w:id="14"/>
      <w:bookmarkEnd w:id="15"/>
      <w:bookmarkEnd w:id="16"/>
    </w:p>
    <w:p w14:paraId="7EE5CA25" w14:textId="77777777" w:rsidR="008C1C15" w:rsidRPr="00C015A3" w:rsidRDefault="00500734" w:rsidP="008C1C15">
      <w:pPr>
        <w:pStyle w:val="Resref"/>
      </w:pPr>
      <w:r w:rsidRPr="00C015A3">
        <w:t xml:space="preserve">(Johannesburg, </w:t>
      </w:r>
      <w:proofErr w:type="gramStart"/>
      <w:r w:rsidRPr="00C015A3">
        <w:t>2008;</w:t>
      </w:r>
      <w:proofErr w:type="gramEnd"/>
      <w:r w:rsidRPr="00C015A3">
        <w:t xml:space="preserve"> Dubaï, 2012; Hammamet, 2016; Genève, 2022)</w:t>
      </w:r>
    </w:p>
    <w:p w14:paraId="5088F523" w14:textId="77777777" w:rsidR="008C1C15" w:rsidRPr="00C015A3" w:rsidRDefault="00500734" w:rsidP="008C1C15">
      <w:pPr>
        <w:pStyle w:val="Normalaftertitle00"/>
        <w:rPr>
          <w:lang w:val="fr-FR"/>
        </w:rPr>
      </w:pPr>
      <w:r w:rsidRPr="00C015A3">
        <w:rPr>
          <w:lang w:val="fr-FR"/>
        </w:rPr>
        <w:t>L'Assemblée mondiale de normalisation des télécommunications (Genève, 2022),</w:t>
      </w:r>
    </w:p>
    <w:p w14:paraId="313117C2" w14:textId="77777777" w:rsidR="008C1C15" w:rsidRPr="00C015A3" w:rsidRDefault="00500734" w:rsidP="008C1C15">
      <w:pPr>
        <w:pStyle w:val="Call"/>
        <w:rPr>
          <w:lang w:val="fr-FR"/>
        </w:rPr>
      </w:pPr>
      <w:proofErr w:type="gramStart"/>
      <w:r w:rsidRPr="00C015A3">
        <w:rPr>
          <w:lang w:val="fr-FR"/>
        </w:rPr>
        <w:t>préoccupée</w:t>
      </w:r>
      <w:proofErr w:type="gramEnd"/>
      <w:r w:rsidRPr="00C015A3">
        <w:rPr>
          <w:lang w:val="fr-FR"/>
        </w:rPr>
        <w:t xml:space="preserve"> par</w:t>
      </w:r>
    </w:p>
    <w:p w14:paraId="4369315D" w14:textId="77777777" w:rsidR="008C1C15" w:rsidRPr="00C015A3" w:rsidRDefault="00500734" w:rsidP="008C1C15">
      <w:pPr>
        <w:rPr>
          <w:lang w:val="fr-FR"/>
        </w:rPr>
      </w:pPr>
      <w:r w:rsidRPr="00C015A3">
        <w:rPr>
          <w:i/>
          <w:iCs/>
          <w:lang w:val="fr-FR"/>
        </w:rPr>
        <w:t>a)</w:t>
      </w:r>
      <w:r w:rsidRPr="00C015A3">
        <w:rPr>
          <w:lang w:val="fr-FR"/>
        </w:rPr>
        <w:tab/>
        <w:t xml:space="preserve">le fait qu'il semble exister une tendance à la suppression ou à la modification de la transmission des informations relatives au numéro de l'appelant (CPN), à l'identification de la ligne appelante (CLI) et à l'identification de l'origine (OI) par-delà les frontières des pays, en particulier de l'indicatif de pays et de l'indicatif national de </w:t>
      </w:r>
      <w:proofErr w:type="gramStart"/>
      <w:r w:rsidRPr="00C015A3">
        <w:rPr>
          <w:lang w:val="fr-FR"/>
        </w:rPr>
        <w:t>destination;</w:t>
      </w:r>
      <w:proofErr w:type="gramEnd"/>
    </w:p>
    <w:p w14:paraId="359785FE" w14:textId="77777777" w:rsidR="008C1C15" w:rsidRPr="00C015A3" w:rsidRDefault="00500734" w:rsidP="008C1C15">
      <w:pPr>
        <w:rPr>
          <w:lang w:val="fr-FR"/>
        </w:rPr>
      </w:pPr>
      <w:r w:rsidRPr="00C015A3">
        <w:rPr>
          <w:i/>
          <w:iCs/>
          <w:lang w:val="fr-FR"/>
        </w:rPr>
        <w:t>b)</w:t>
      </w:r>
      <w:r w:rsidRPr="00C015A3">
        <w:rPr>
          <w:lang w:val="fr-FR"/>
        </w:rPr>
        <w:tab/>
        <w:t>le fait que ces pratiques ont une incidence négative du point de vue de la sécurité et du point de vue économique, en particulier pour les pays en développement</w:t>
      </w:r>
      <w:r w:rsidRPr="00C015A3">
        <w:rPr>
          <w:rStyle w:val="FootnoteReference"/>
          <w:rFonts w:eastAsiaTheme="majorEastAsia"/>
          <w:lang w:val="fr-FR"/>
        </w:rPr>
        <w:footnoteReference w:customMarkFollows="1" w:id="1"/>
        <w:t>1</w:t>
      </w:r>
      <w:r w:rsidRPr="00C015A3">
        <w:rPr>
          <w:lang w:val="fr-FR"/>
        </w:rPr>
        <w:t>;</w:t>
      </w:r>
    </w:p>
    <w:p w14:paraId="10FC2683" w14:textId="77777777" w:rsidR="008C1C15" w:rsidRPr="00C015A3" w:rsidRDefault="00500734" w:rsidP="008C1C15">
      <w:pPr>
        <w:rPr>
          <w:lang w:val="fr-FR"/>
        </w:rPr>
      </w:pPr>
      <w:r w:rsidRPr="00C015A3">
        <w:rPr>
          <w:i/>
          <w:iCs/>
          <w:lang w:val="fr-FR"/>
        </w:rPr>
        <w:t>c)</w:t>
      </w:r>
      <w:r w:rsidRPr="00C015A3">
        <w:rPr>
          <w:i/>
          <w:iCs/>
          <w:lang w:val="fr-FR"/>
        </w:rPr>
        <w:tab/>
      </w:r>
      <w:r w:rsidRPr="00C015A3">
        <w:rPr>
          <w:lang w:val="fr-FR"/>
        </w:rPr>
        <w:t>le nombre de cas signalés à ce jour au Directeur du Bureau de la normalisation des télécommunications (TSB) concernant un détournement ou une utilisation abusive des ressources de numérotage UIT-T E.164 se rapportant au non</w:t>
      </w:r>
      <w:r w:rsidRPr="00C015A3">
        <w:rPr>
          <w:lang w:val="fr-FR"/>
        </w:rPr>
        <w:noBreakHyphen/>
        <w:t xml:space="preserve">acheminement ou à l'usurpation du </w:t>
      </w:r>
      <w:proofErr w:type="gramStart"/>
      <w:r w:rsidRPr="00C015A3">
        <w:rPr>
          <w:lang w:val="fr-FR"/>
        </w:rPr>
        <w:t>CPN;</w:t>
      </w:r>
      <w:proofErr w:type="gramEnd"/>
    </w:p>
    <w:p w14:paraId="345E1CC6" w14:textId="7E95B9BD" w:rsidR="008C1C15" w:rsidRPr="00C015A3" w:rsidRDefault="00500734" w:rsidP="008C1C15">
      <w:pPr>
        <w:rPr>
          <w:lang w:val="fr-FR"/>
        </w:rPr>
      </w:pPr>
      <w:r w:rsidRPr="00C015A3">
        <w:rPr>
          <w:i/>
          <w:iCs/>
          <w:lang w:val="fr-FR"/>
        </w:rPr>
        <w:t>d)</w:t>
      </w:r>
      <w:r w:rsidRPr="00C015A3">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télécommunications/technologies de l'information et de la communication et les services émergents,</w:t>
      </w:r>
      <w:r w:rsidR="005F03CE" w:rsidRPr="00C015A3">
        <w:rPr>
          <w:lang w:val="fr-FR"/>
        </w:rPr>
        <w:t xml:space="preserve"> </w:t>
      </w:r>
      <w:r w:rsidR="00AF4DB4" w:rsidRPr="00C015A3">
        <w:rPr>
          <w:lang w:val="fr-FR"/>
        </w:rPr>
        <w:t xml:space="preserve">par exemple </w:t>
      </w:r>
      <w:r w:rsidRPr="00C015A3">
        <w:rPr>
          <w:lang w:val="fr-FR"/>
        </w:rPr>
        <w:t>les réseaux de prochaine génération</w:t>
      </w:r>
      <w:r w:rsidR="005F03CE" w:rsidRPr="00C015A3">
        <w:rPr>
          <w:lang w:val="fr-FR"/>
        </w:rPr>
        <w:t xml:space="preserve"> </w:t>
      </w:r>
      <w:r w:rsidRPr="00C015A3">
        <w:rPr>
          <w:lang w:val="fr-FR"/>
        </w:rPr>
        <w:t>et les réseaux futurs,</w:t>
      </w:r>
    </w:p>
    <w:p w14:paraId="19829FB7" w14:textId="77777777" w:rsidR="008C1C15" w:rsidRPr="00C015A3" w:rsidRDefault="00500734" w:rsidP="008C1C15">
      <w:pPr>
        <w:pStyle w:val="Call"/>
        <w:rPr>
          <w:lang w:val="fr-FR"/>
        </w:rPr>
      </w:pPr>
      <w:proofErr w:type="gramStart"/>
      <w:r w:rsidRPr="00C015A3">
        <w:rPr>
          <w:lang w:val="fr-FR"/>
        </w:rPr>
        <w:t>prenant</w:t>
      </w:r>
      <w:proofErr w:type="gramEnd"/>
      <w:r w:rsidRPr="00C015A3">
        <w:rPr>
          <w:lang w:val="fr-FR"/>
        </w:rPr>
        <w:t xml:space="preserve"> note</w:t>
      </w:r>
    </w:p>
    <w:p w14:paraId="4335E368" w14:textId="77777777" w:rsidR="008C1C15" w:rsidRPr="00C015A3" w:rsidRDefault="00500734" w:rsidP="008C1C15">
      <w:pPr>
        <w:rPr>
          <w:lang w:val="fr-FR"/>
        </w:rPr>
      </w:pPr>
      <w:r w:rsidRPr="00C015A3">
        <w:rPr>
          <w:i/>
          <w:iCs/>
          <w:lang w:val="fr-FR"/>
        </w:rPr>
        <w:t>a)</w:t>
      </w:r>
      <w:r w:rsidRPr="00C015A3">
        <w:rPr>
          <w:i/>
          <w:iCs/>
          <w:lang w:val="fr-FR"/>
        </w:rPr>
        <w:tab/>
      </w:r>
      <w:r w:rsidRPr="00C015A3">
        <w:rPr>
          <w:lang w:val="fr-FR"/>
        </w:rPr>
        <w:t xml:space="preserve">des Recommandations UIT-T pertinentes, en </w:t>
      </w:r>
      <w:proofErr w:type="gramStart"/>
      <w:r w:rsidRPr="00C015A3">
        <w:rPr>
          <w:lang w:val="fr-FR"/>
        </w:rPr>
        <w:t>particulier:</w:t>
      </w:r>
      <w:proofErr w:type="gramEnd"/>
    </w:p>
    <w:p w14:paraId="0561E1E7" w14:textId="77777777" w:rsidR="008C1C15" w:rsidRPr="00C015A3" w:rsidRDefault="00500734" w:rsidP="008C1C15">
      <w:pPr>
        <w:pStyle w:val="enumlev1"/>
        <w:rPr>
          <w:lang w:val="fr-FR"/>
        </w:rPr>
      </w:pPr>
      <w:r w:rsidRPr="00C015A3">
        <w:rPr>
          <w:lang w:val="fr-FR"/>
        </w:rPr>
        <w:t>i)</w:t>
      </w:r>
      <w:r w:rsidRPr="00C015A3">
        <w:rPr>
          <w:lang w:val="fr-FR"/>
        </w:rPr>
        <w:tab/>
        <w:t>UIT</w:t>
      </w:r>
      <w:r w:rsidRPr="00C015A3">
        <w:rPr>
          <w:lang w:val="fr-FR"/>
        </w:rPr>
        <w:noBreakHyphen/>
        <w:t>T E.156: Lignes directrices sur la suite à donner par l'UIT</w:t>
      </w:r>
      <w:r w:rsidRPr="00C015A3">
        <w:rPr>
          <w:lang w:val="fr-FR"/>
        </w:rPr>
        <w:noBreakHyphen/>
        <w:t xml:space="preserve">T lorsqu'une utilisation abusive des ressources de numérotage UIT-T E.164 lui est </w:t>
      </w:r>
      <w:proofErr w:type="gramStart"/>
      <w:r w:rsidRPr="00C015A3">
        <w:rPr>
          <w:lang w:val="fr-FR"/>
        </w:rPr>
        <w:t>signalée;</w:t>
      </w:r>
      <w:proofErr w:type="gramEnd"/>
    </w:p>
    <w:p w14:paraId="17241B95" w14:textId="77777777" w:rsidR="008C1C15" w:rsidRPr="00C015A3" w:rsidRDefault="00500734" w:rsidP="008C1C15">
      <w:pPr>
        <w:pStyle w:val="enumlev1"/>
        <w:rPr>
          <w:lang w:val="fr-FR"/>
        </w:rPr>
      </w:pPr>
      <w:r w:rsidRPr="00C015A3">
        <w:rPr>
          <w:lang w:val="fr-FR"/>
        </w:rPr>
        <w:t>ii)</w:t>
      </w:r>
      <w:r w:rsidRPr="00C015A3">
        <w:rPr>
          <w:lang w:val="fr-FR"/>
        </w:rPr>
        <w:tab/>
        <w:t>UIT</w:t>
      </w:r>
      <w:r w:rsidRPr="00C015A3">
        <w:rPr>
          <w:lang w:val="fr-FR"/>
        </w:rPr>
        <w:noBreakHyphen/>
        <w:t xml:space="preserve">T E.157: Acheminement international du numéro de </w:t>
      </w:r>
      <w:proofErr w:type="gramStart"/>
      <w:r w:rsidRPr="00C015A3">
        <w:rPr>
          <w:lang w:val="fr-FR"/>
        </w:rPr>
        <w:t>l'appelant;</w:t>
      </w:r>
      <w:proofErr w:type="gramEnd"/>
    </w:p>
    <w:p w14:paraId="5F42F39A" w14:textId="77777777" w:rsidR="008C1C15" w:rsidRPr="00C015A3" w:rsidRDefault="00500734" w:rsidP="008C1C15">
      <w:pPr>
        <w:pStyle w:val="enumlev1"/>
        <w:rPr>
          <w:lang w:val="fr-FR"/>
        </w:rPr>
      </w:pPr>
      <w:r w:rsidRPr="00C015A3">
        <w:rPr>
          <w:lang w:val="fr-FR"/>
        </w:rPr>
        <w:t>iii)</w:t>
      </w:r>
      <w:r w:rsidRPr="00C015A3">
        <w:rPr>
          <w:lang w:val="fr-FR"/>
        </w:rPr>
        <w:tab/>
        <w:t xml:space="preserve">UIT-T E.370: Principes de service applicables à l'interfonctionnement des réseaux de télécommunication internationaux publics à commutation de circuits avec les réseaux fondés sur le protocole </w:t>
      </w:r>
      <w:proofErr w:type="gramStart"/>
      <w:r w:rsidRPr="00C015A3">
        <w:rPr>
          <w:lang w:val="fr-FR"/>
        </w:rPr>
        <w:t>Internet;</w:t>
      </w:r>
      <w:proofErr w:type="gramEnd"/>
    </w:p>
    <w:p w14:paraId="268837EF" w14:textId="77777777" w:rsidR="008C1C15" w:rsidRPr="00C015A3" w:rsidRDefault="00500734" w:rsidP="008C1C15">
      <w:pPr>
        <w:pStyle w:val="enumlev1"/>
        <w:rPr>
          <w:lang w:val="fr-FR"/>
        </w:rPr>
      </w:pPr>
      <w:r w:rsidRPr="00C015A3">
        <w:rPr>
          <w:lang w:val="fr-FR"/>
        </w:rPr>
        <w:t>iv)</w:t>
      </w:r>
      <w:r w:rsidRPr="00C015A3">
        <w:rPr>
          <w:lang w:val="fr-FR"/>
        </w:rPr>
        <w:tab/>
        <w:t xml:space="preserve">UIT-T E.164: Plan de numérotage des télécommunications publiques </w:t>
      </w:r>
      <w:proofErr w:type="gramStart"/>
      <w:r w:rsidRPr="00C015A3">
        <w:rPr>
          <w:lang w:val="fr-FR"/>
        </w:rPr>
        <w:t>internationales;</w:t>
      </w:r>
      <w:proofErr w:type="gramEnd"/>
    </w:p>
    <w:p w14:paraId="52D68F42" w14:textId="77777777" w:rsidR="008C1C15" w:rsidRPr="00C015A3" w:rsidRDefault="00500734" w:rsidP="008C1C15">
      <w:pPr>
        <w:pStyle w:val="enumlev1"/>
        <w:rPr>
          <w:lang w:val="fr-FR"/>
        </w:rPr>
      </w:pPr>
      <w:r w:rsidRPr="00C015A3">
        <w:rPr>
          <w:lang w:val="fr-FR"/>
        </w:rPr>
        <w:t>v)</w:t>
      </w:r>
      <w:r w:rsidRPr="00C015A3">
        <w:rPr>
          <w:lang w:val="fr-FR"/>
        </w:rPr>
        <w:tab/>
        <w:t xml:space="preserve">UIT-T I.251.3: Services complémentaires d'identification de </w:t>
      </w:r>
      <w:proofErr w:type="gramStart"/>
      <w:r w:rsidRPr="00C015A3">
        <w:rPr>
          <w:lang w:val="fr-FR"/>
        </w:rPr>
        <w:t>numéro:</w:t>
      </w:r>
      <w:proofErr w:type="gramEnd"/>
      <w:r w:rsidRPr="00C015A3">
        <w:rPr>
          <w:lang w:val="fr-FR"/>
        </w:rPr>
        <w:t xml:space="preserve"> Présentation d'identification de la ligne appelante;</w:t>
      </w:r>
    </w:p>
    <w:p w14:paraId="0C42C31A" w14:textId="77777777" w:rsidR="008C1C15" w:rsidRPr="00C015A3" w:rsidRDefault="00500734" w:rsidP="008C1C15">
      <w:pPr>
        <w:pStyle w:val="enumlev1"/>
        <w:rPr>
          <w:lang w:val="fr-FR"/>
        </w:rPr>
      </w:pPr>
      <w:r w:rsidRPr="00C015A3">
        <w:rPr>
          <w:lang w:val="fr-FR"/>
        </w:rPr>
        <w:t>vi)</w:t>
      </w:r>
      <w:r w:rsidRPr="00C015A3">
        <w:rPr>
          <w:lang w:val="fr-FR"/>
        </w:rPr>
        <w:tab/>
        <w:t xml:space="preserve">UIT-T I.251.4: Services complémentaires d'identification de </w:t>
      </w:r>
      <w:proofErr w:type="gramStart"/>
      <w:r w:rsidRPr="00C015A3">
        <w:rPr>
          <w:lang w:val="fr-FR"/>
        </w:rPr>
        <w:t>numéro:</w:t>
      </w:r>
      <w:proofErr w:type="gramEnd"/>
      <w:r w:rsidRPr="00C015A3">
        <w:rPr>
          <w:lang w:val="fr-FR"/>
        </w:rPr>
        <w:t xml:space="preserve"> Restriction d'identification de la ligne appelante;</w:t>
      </w:r>
    </w:p>
    <w:p w14:paraId="7843740A" w14:textId="77777777" w:rsidR="008C1C15" w:rsidRPr="00C015A3" w:rsidRDefault="00500734" w:rsidP="008C1C15">
      <w:pPr>
        <w:pStyle w:val="enumlev1"/>
        <w:rPr>
          <w:lang w:val="fr-FR"/>
        </w:rPr>
      </w:pPr>
      <w:r w:rsidRPr="00C015A3">
        <w:rPr>
          <w:lang w:val="fr-FR"/>
        </w:rPr>
        <w:t>vii)</w:t>
      </w:r>
      <w:r w:rsidRPr="00C015A3">
        <w:rPr>
          <w:lang w:val="fr-FR"/>
        </w:rPr>
        <w:tab/>
        <w:t xml:space="preserve">UIT-T I.251.7: Services complémentaires d'identification de </w:t>
      </w:r>
      <w:proofErr w:type="gramStart"/>
      <w:r w:rsidRPr="00C015A3">
        <w:rPr>
          <w:lang w:val="fr-FR"/>
        </w:rPr>
        <w:t>numéro:</w:t>
      </w:r>
      <w:proofErr w:type="gramEnd"/>
      <w:r w:rsidRPr="00C015A3">
        <w:rPr>
          <w:lang w:val="fr-FR"/>
        </w:rPr>
        <w:t xml:space="preserve"> Identification des appels malveillants;</w:t>
      </w:r>
    </w:p>
    <w:p w14:paraId="4EC79B4B" w14:textId="77777777" w:rsidR="008C1C15" w:rsidRPr="00C015A3" w:rsidRDefault="00500734" w:rsidP="008C1C15">
      <w:pPr>
        <w:pStyle w:val="enumlev1"/>
        <w:rPr>
          <w:lang w:val="fr-FR"/>
        </w:rPr>
      </w:pPr>
      <w:r w:rsidRPr="00C015A3">
        <w:rPr>
          <w:lang w:val="fr-FR"/>
        </w:rPr>
        <w:t>viii)</w:t>
      </w:r>
      <w:r w:rsidRPr="00C015A3">
        <w:rPr>
          <w:lang w:val="fr-FR"/>
        </w:rPr>
        <w:tab/>
        <w:t xml:space="preserve">série UIT-T Q.731.x concernant les descriptions d'étape 3 des services complémentaires d'identification de numéro utilisant le système de signalisation N° </w:t>
      </w:r>
      <w:proofErr w:type="gramStart"/>
      <w:r w:rsidRPr="00C015A3">
        <w:rPr>
          <w:lang w:val="fr-FR"/>
        </w:rPr>
        <w:t>7;</w:t>
      </w:r>
      <w:proofErr w:type="gramEnd"/>
    </w:p>
    <w:p w14:paraId="2BFD0A70" w14:textId="77777777" w:rsidR="00630C54" w:rsidRPr="00C015A3" w:rsidRDefault="00630C54" w:rsidP="008C1C15">
      <w:pPr>
        <w:pStyle w:val="enumlev1"/>
        <w:rPr>
          <w:lang w:val="fr-FR"/>
        </w:rPr>
      </w:pPr>
      <w:r w:rsidRPr="00C015A3">
        <w:rPr>
          <w:lang w:val="fr-FR"/>
        </w:rPr>
        <w:br w:type="page"/>
      </w:r>
    </w:p>
    <w:p w14:paraId="5A9D693B" w14:textId="7C24D49A" w:rsidR="008C1C15" w:rsidRPr="00C015A3" w:rsidRDefault="00500734" w:rsidP="008C1C15">
      <w:pPr>
        <w:pStyle w:val="enumlev1"/>
        <w:rPr>
          <w:lang w:val="fr-FR"/>
        </w:rPr>
      </w:pPr>
      <w:r w:rsidRPr="00C015A3">
        <w:rPr>
          <w:lang w:val="fr-FR"/>
        </w:rPr>
        <w:lastRenderedPageBreak/>
        <w:t>ix)</w:t>
      </w:r>
      <w:r w:rsidRPr="00C015A3">
        <w:rPr>
          <w:lang w:val="fr-FR"/>
        </w:rPr>
        <w:tab/>
        <w:t xml:space="preserve">UIT-T Q.731.7: Description d'étape 3 des services complémentaires d'identification de numéro utilisant le système de signalisation N° </w:t>
      </w:r>
      <w:proofErr w:type="gramStart"/>
      <w:r w:rsidRPr="00C015A3">
        <w:rPr>
          <w:lang w:val="fr-FR"/>
        </w:rPr>
        <w:t>7:</w:t>
      </w:r>
      <w:proofErr w:type="gramEnd"/>
      <w:r w:rsidRPr="00C015A3">
        <w:rPr>
          <w:lang w:val="fr-FR"/>
        </w:rPr>
        <w:t xml:space="preserve"> Identification des appels malveillants;</w:t>
      </w:r>
    </w:p>
    <w:p w14:paraId="63DAE63B" w14:textId="77777777" w:rsidR="008C1C15" w:rsidRPr="00C015A3" w:rsidRDefault="00500734" w:rsidP="008C1C15">
      <w:pPr>
        <w:pStyle w:val="enumlev1"/>
        <w:rPr>
          <w:lang w:val="fr-FR"/>
        </w:rPr>
      </w:pPr>
      <w:r w:rsidRPr="00C015A3">
        <w:rPr>
          <w:lang w:val="fr-FR"/>
        </w:rPr>
        <w:t>x)</w:t>
      </w:r>
      <w:r w:rsidRPr="00C015A3">
        <w:rPr>
          <w:lang w:val="fr-FR"/>
        </w:rPr>
        <w:tab/>
        <w:t>UIT-T Q.764: Système de signalisation N° 7 – Procédures de signalisation du sous</w:t>
      </w:r>
      <w:r w:rsidRPr="00C015A3">
        <w:rPr>
          <w:lang w:val="fr-FR"/>
        </w:rPr>
        <w:noBreakHyphen/>
        <w:t xml:space="preserve">système utilisateur du </w:t>
      </w:r>
      <w:proofErr w:type="gramStart"/>
      <w:r w:rsidRPr="00C015A3">
        <w:rPr>
          <w:lang w:val="fr-FR"/>
        </w:rPr>
        <w:t>RNIS;</w:t>
      </w:r>
      <w:proofErr w:type="gramEnd"/>
    </w:p>
    <w:p w14:paraId="5FBF518E" w14:textId="77777777" w:rsidR="008C1C15" w:rsidRPr="00C015A3" w:rsidRDefault="00500734" w:rsidP="008C1C15">
      <w:pPr>
        <w:pStyle w:val="enumlev1"/>
        <w:rPr>
          <w:lang w:val="fr-FR"/>
        </w:rPr>
      </w:pPr>
      <w:r w:rsidRPr="00C015A3">
        <w:rPr>
          <w:lang w:val="fr-FR"/>
        </w:rPr>
        <w:t>xi)</w:t>
      </w:r>
      <w:r w:rsidRPr="00C015A3">
        <w:rPr>
          <w:lang w:val="fr-FR"/>
        </w:rPr>
        <w:tab/>
        <w:t xml:space="preserve">UIT-T Q.1912.5: Interfonctionnement entre le protocole d'ouverture de session (SIP) et le protocole de commande d'appel indépendante du support ou le sous-système utilisateur du </w:t>
      </w:r>
      <w:proofErr w:type="gramStart"/>
      <w:r w:rsidRPr="00C015A3">
        <w:rPr>
          <w:lang w:val="fr-FR"/>
        </w:rPr>
        <w:t>RNIS;</w:t>
      </w:r>
      <w:proofErr w:type="gramEnd"/>
    </w:p>
    <w:p w14:paraId="49A8928C" w14:textId="77777777" w:rsidR="008C1C15" w:rsidRPr="00C015A3" w:rsidRDefault="00500734" w:rsidP="008C1C15">
      <w:pPr>
        <w:pStyle w:val="enumlev1"/>
        <w:rPr>
          <w:lang w:val="fr-FR"/>
        </w:rPr>
      </w:pPr>
      <w:r w:rsidRPr="00C015A3">
        <w:rPr>
          <w:lang w:val="fr-FR"/>
        </w:rPr>
        <w:t>xii)</w:t>
      </w:r>
      <w:r w:rsidRPr="00C015A3">
        <w:rPr>
          <w:lang w:val="fr-FR"/>
        </w:rPr>
        <w:tab/>
        <w:t xml:space="preserve">UIT-T Q.3057: Exigences de signalisation et architecture pour l'interconnexion entre entités de réseau de </w:t>
      </w:r>
      <w:proofErr w:type="gramStart"/>
      <w:r w:rsidRPr="00C015A3">
        <w:rPr>
          <w:lang w:val="fr-FR"/>
        </w:rPr>
        <w:t>confiance;</w:t>
      </w:r>
      <w:proofErr w:type="gramEnd"/>
    </w:p>
    <w:p w14:paraId="630AD628" w14:textId="77777777" w:rsidR="008C1C15" w:rsidRPr="00C015A3" w:rsidRDefault="00500734" w:rsidP="008C1C15">
      <w:pPr>
        <w:rPr>
          <w:lang w:val="fr-FR"/>
        </w:rPr>
      </w:pPr>
      <w:r w:rsidRPr="00C015A3">
        <w:rPr>
          <w:i/>
          <w:iCs/>
          <w:lang w:val="fr-FR"/>
        </w:rPr>
        <w:t>b)</w:t>
      </w:r>
      <w:r w:rsidRPr="00C015A3">
        <w:rPr>
          <w:i/>
          <w:iCs/>
          <w:lang w:val="fr-FR"/>
        </w:rPr>
        <w:tab/>
      </w:r>
      <w:r w:rsidRPr="00C015A3">
        <w:rPr>
          <w:lang w:val="fr-FR"/>
        </w:rPr>
        <w:t xml:space="preserve">des Résolutions </w:t>
      </w:r>
      <w:proofErr w:type="gramStart"/>
      <w:r w:rsidRPr="00C015A3">
        <w:rPr>
          <w:lang w:val="fr-FR"/>
        </w:rPr>
        <w:t>pertinentes:</w:t>
      </w:r>
      <w:proofErr w:type="gramEnd"/>
    </w:p>
    <w:p w14:paraId="31C69972" w14:textId="77777777" w:rsidR="008C1C15" w:rsidRPr="00C015A3" w:rsidRDefault="00500734" w:rsidP="008C1C15">
      <w:pPr>
        <w:pStyle w:val="enumlev1"/>
        <w:rPr>
          <w:lang w:val="fr-FR"/>
        </w:rPr>
      </w:pPr>
      <w:r w:rsidRPr="00C015A3">
        <w:rPr>
          <w:lang w:val="fr-FR"/>
        </w:rPr>
        <w:t>i)</w:t>
      </w:r>
      <w:r w:rsidRPr="00C015A3">
        <w:rPr>
          <w:lang w:val="fr-FR"/>
        </w:rPr>
        <w:tab/>
        <w:t>Résolution 61 (Rév. Genève, 2022) de la présente Assemblée, intitulée "Lutter contre le détournement et l'utilisation abusive des ressources internationales de numérotage des télécommunications</w:t>
      </w:r>
      <w:proofErr w:type="gramStart"/>
      <w:r w:rsidRPr="00C015A3">
        <w:rPr>
          <w:lang w:val="fr-FR"/>
        </w:rPr>
        <w:t>";</w:t>
      </w:r>
      <w:proofErr w:type="gramEnd"/>
    </w:p>
    <w:p w14:paraId="2AF966E2" w14:textId="77777777" w:rsidR="008C1C15" w:rsidRPr="00C015A3" w:rsidRDefault="00500734" w:rsidP="008C1C15">
      <w:pPr>
        <w:pStyle w:val="enumlev1"/>
        <w:rPr>
          <w:lang w:val="fr-FR"/>
        </w:rPr>
      </w:pPr>
      <w:r w:rsidRPr="00C015A3">
        <w:rPr>
          <w:lang w:val="fr-FR"/>
        </w:rPr>
        <w:t>ii)</w:t>
      </w:r>
      <w:r w:rsidRPr="00C015A3">
        <w:rPr>
          <w:lang w:val="fr-FR"/>
        </w:rPr>
        <w:tab/>
        <w:t xml:space="preserve">Résolution 21 (Rév. Dubaï, 2018) de la Conférence de plénipotentiaires sur les mesures à prendre en cas d'utilisation de procédures d'appel alternatives sur les réseaux de télécommunication </w:t>
      </w:r>
      <w:proofErr w:type="gramStart"/>
      <w:r w:rsidRPr="00C015A3">
        <w:rPr>
          <w:lang w:val="fr-FR"/>
        </w:rPr>
        <w:t>internationaux;</w:t>
      </w:r>
      <w:proofErr w:type="gramEnd"/>
    </w:p>
    <w:p w14:paraId="3CECB5FB" w14:textId="77777777" w:rsidR="008C1C15" w:rsidRPr="00C015A3" w:rsidRDefault="00500734" w:rsidP="008C1C15">
      <w:pPr>
        <w:pStyle w:val="enumlev1"/>
        <w:rPr>
          <w:lang w:val="fr-FR"/>
        </w:rPr>
      </w:pPr>
      <w:r w:rsidRPr="00C015A3">
        <w:rPr>
          <w:lang w:val="fr-FR"/>
        </w:rPr>
        <w:t>iii)</w:t>
      </w:r>
      <w:r w:rsidRPr="00C015A3">
        <w:rPr>
          <w:lang w:val="fr-FR"/>
        </w:rPr>
        <w:tab/>
        <w:t>Résolution 29 (Rév. Genève, 2022) de la présente Assemblée, intitulée "Procédures d'appel alternatives utilisées sur les réseaux de télécommunication internationaux</w:t>
      </w:r>
      <w:proofErr w:type="gramStart"/>
      <w:r w:rsidRPr="00C015A3">
        <w:rPr>
          <w:lang w:val="fr-FR"/>
        </w:rPr>
        <w:t>";</w:t>
      </w:r>
      <w:proofErr w:type="gramEnd"/>
    </w:p>
    <w:p w14:paraId="600E3BC4" w14:textId="0CF09886" w:rsidR="008C1C15" w:rsidRPr="00C015A3" w:rsidRDefault="00500734" w:rsidP="008C1C15">
      <w:pPr>
        <w:rPr>
          <w:lang w:val="fr-FR"/>
        </w:rPr>
      </w:pPr>
      <w:r w:rsidRPr="00C015A3">
        <w:rPr>
          <w:i/>
          <w:iCs/>
          <w:lang w:val="fr-FR"/>
        </w:rPr>
        <w:t>c)</w:t>
      </w:r>
      <w:r w:rsidRPr="00C015A3">
        <w:rPr>
          <w:i/>
          <w:iCs/>
          <w:lang w:val="fr-FR"/>
        </w:rPr>
        <w:tab/>
      </w:r>
      <w:r w:rsidRPr="00C015A3">
        <w:rPr>
          <w:lang w:val="fr-FR"/>
        </w:rPr>
        <w:t xml:space="preserve">du numéro </w:t>
      </w:r>
      <w:r w:rsidR="00AF4DB4" w:rsidRPr="00C015A3">
        <w:rPr>
          <w:lang w:val="fr-FR"/>
        </w:rPr>
        <w:t>32</w:t>
      </w:r>
      <w:r w:rsidR="005F03CE" w:rsidRPr="00C015A3">
        <w:rPr>
          <w:lang w:val="fr-FR"/>
        </w:rPr>
        <w:t xml:space="preserve"> </w:t>
      </w:r>
      <w:r w:rsidRPr="00C015A3">
        <w:rPr>
          <w:lang w:val="fr-FR"/>
        </w:rPr>
        <w:t>(disposition 3.6) du Règlement des télécommunications internationales (RTI) (Dubaï, 2012) concernant la fourniture des informations relatives à l'identification de la ligne appelante internationale par les États Membres signataires dudit RTI,</w:t>
      </w:r>
    </w:p>
    <w:p w14:paraId="1D17C963" w14:textId="77777777" w:rsidR="008C1C15" w:rsidRPr="00C015A3" w:rsidRDefault="00500734" w:rsidP="008C1C15">
      <w:pPr>
        <w:pStyle w:val="Call"/>
        <w:rPr>
          <w:lang w:val="fr-FR"/>
        </w:rPr>
      </w:pPr>
      <w:proofErr w:type="gramStart"/>
      <w:r w:rsidRPr="00C015A3">
        <w:rPr>
          <w:lang w:val="fr-FR"/>
        </w:rPr>
        <w:t>notant</w:t>
      </w:r>
      <w:proofErr w:type="gramEnd"/>
      <w:r w:rsidRPr="00C015A3">
        <w:rPr>
          <w:lang w:val="fr-FR"/>
        </w:rPr>
        <w:t xml:space="preserve"> en outre</w:t>
      </w:r>
    </w:p>
    <w:p w14:paraId="3495A61E" w14:textId="77777777" w:rsidR="008C1C15" w:rsidRPr="00C015A3" w:rsidRDefault="00500734" w:rsidP="008C1C15">
      <w:pPr>
        <w:rPr>
          <w:lang w:val="fr-FR"/>
        </w:rPr>
      </w:pPr>
      <w:r w:rsidRPr="00C015A3">
        <w:rPr>
          <w:i/>
          <w:iCs/>
          <w:lang w:val="fr-FR"/>
        </w:rPr>
        <w:t>a)</w:t>
      </w:r>
      <w:r w:rsidRPr="00C015A3">
        <w:rPr>
          <w:lang w:val="fr-FR"/>
        </w:rPr>
        <w:tab/>
        <w:t>que certains pays et certaines régions ont adopté des lois, des directives et des recommandations au niveau national concernant le non-acheminement et l'usurpation du numéro CPN ou pour garantir la confiance dans l'identification de l'origine (OI</w:t>
      </w:r>
      <w:proofErr w:type="gramStart"/>
      <w:r w:rsidRPr="00C015A3">
        <w:rPr>
          <w:lang w:val="fr-FR"/>
        </w:rPr>
        <w:t>);</w:t>
      </w:r>
      <w:proofErr w:type="gramEnd"/>
      <w:r w:rsidRPr="00C015A3">
        <w:rPr>
          <w:lang w:val="fr-FR"/>
        </w:rPr>
        <w:t xml:space="preserve"> et que certains pays ont des lois, des directives et des recommandations au niveau national concernant la protection et la confidentialité des données;</w:t>
      </w:r>
    </w:p>
    <w:p w14:paraId="6C12ADDA" w14:textId="77777777" w:rsidR="008C1C15" w:rsidRPr="00C015A3" w:rsidRDefault="00500734" w:rsidP="008C1C15">
      <w:pPr>
        <w:rPr>
          <w:lang w:val="fr-FR"/>
        </w:rPr>
      </w:pPr>
      <w:r w:rsidRPr="00C015A3">
        <w:rPr>
          <w:i/>
          <w:iCs/>
          <w:lang w:val="fr-FR"/>
        </w:rPr>
        <w:t>b)</w:t>
      </w:r>
      <w:r w:rsidRPr="00C015A3">
        <w:rPr>
          <w:i/>
          <w:iCs/>
          <w:lang w:val="fr-FR"/>
        </w:rPr>
        <w:tab/>
      </w:r>
      <w:r w:rsidRPr="00C015A3">
        <w:rPr>
          <w:lang w:val="fr-FR"/>
        </w:rPr>
        <w:t xml:space="preserve">que le numéro de l'appelant permet d'identifier la partie responsable </w:t>
      </w:r>
      <w:r w:rsidRPr="00C015A3">
        <w:rPr>
          <w:color w:val="000000"/>
          <w:lang w:val="fr-FR"/>
        </w:rPr>
        <w:t xml:space="preserve">de l'établissement </w:t>
      </w:r>
      <w:r w:rsidRPr="00C015A3">
        <w:rPr>
          <w:lang w:val="fr-FR"/>
        </w:rPr>
        <w:t xml:space="preserve">de </w:t>
      </w:r>
      <w:proofErr w:type="gramStart"/>
      <w:r w:rsidRPr="00C015A3">
        <w:rPr>
          <w:lang w:val="fr-FR"/>
        </w:rPr>
        <w:t>l'appel;</w:t>
      </w:r>
      <w:proofErr w:type="gramEnd"/>
    </w:p>
    <w:p w14:paraId="23A4860C" w14:textId="77777777" w:rsidR="008C1C15" w:rsidRPr="00C015A3" w:rsidRDefault="00500734" w:rsidP="008C1C15">
      <w:pPr>
        <w:rPr>
          <w:szCs w:val="24"/>
          <w:lang w:val="fr-FR"/>
        </w:rPr>
      </w:pPr>
      <w:r w:rsidRPr="00C015A3">
        <w:rPr>
          <w:i/>
          <w:iCs/>
          <w:lang w:val="fr-FR"/>
        </w:rPr>
        <w:t>c)</w:t>
      </w:r>
      <w:r w:rsidRPr="00C015A3">
        <w:rPr>
          <w:i/>
          <w:iCs/>
          <w:lang w:val="fr-FR"/>
        </w:rPr>
        <w:tab/>
      </w:r>
      <w:r w:rsidRPr="00C015A3">
        <w:rPr>
          <w:szCs w:val="24"/>
          <w:lang w:val="fr-FR"/>
        </w:rPr>
        <w:t>que l'existence de mécanismes de vérification des différents identifiants de l'appelant peut permettre d'accroître la fiabilité des informations transmises,</w:t>
      </w:r>
    </w:p>
    <w:p w14:paraId="79B74BF4" w14:textId="77777777" w:rsidR="008C1C15" w:rsidRPr="00C015A3" w:rsidRDefault="00500734" w:rsidP="008C1C15">
      <w:pPr>
        <w:pStyle w:val="Call"/>
        <w:rPr>
          <w:lang w:val="fr-FR"/>
        </w:rPr>
      </w:pPr>
      <w:proofErr w:type="gramStart"/>
      <w:r w:rsidRPr="00C015A3">
        <w:rPr>
          <w:lang w:val="fr-FR"/>
        </w:rPr>
        <w:t>réaffirmant</w:t>
      </w:r>
      <w:proofErr w:type="gramEnd"/>
    </w:p>
    <w:p w14:paraId="07E9C86E" w14:textId="77777777" w:rsidR="008C1C15" w:rsidRPr="00C015A3" w:rsidRDefault="00500734" w:rsidP="008C1C15">
      <w:pPr>
        <w:rPr>
          <w:lang w:val="fr-FR"/>
        </w:rPr>
      </w:pPr>
      <w:proofErr w:type="gramStart"/>
      <w:r w:rsidRPr="00C015A3">
        <w:rPr>
          <w:lang w:val="fr-FR"/>
        </w:rPr>
        <w:t>le</w:t>
      </w:r>
      <w:proofErr w:type="gramEnd"/>
      <w:r w:rsidRPr="00C015A3">
        <w:rPr>
          <w:lang w:val="fr-FR"/>
        </w:rPr>
        <w:t xml:space="preserv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2EBACFF2" w14:textId="77777777" w:rsidR="008C1C15" w:rsidRPr="00C015A3" w:rsidRDefault="00500734" w:rsidP="008C1C15">
      <w:pPr>
        <w:pStyle w:val="Call"/>
        <w:rPr>
          <w:lang w:val="fr-FR"/>
        </w:rPr>
      </w:pPr>
      <w:proofErr w:type="gramStart"/>
      <w:r w:rsidRPr="00C015A3">
        <w:rPr>
          <w:lang w:val="fr-FR"/>
        </w:rPr>
        <w:t>décide</w:t>
      </w:r>
      <w:proofErr w:type="gramEnd"/>
    </w:p>
    <w:p w14:paraId="4FC8424B" w14:textId="77777777" w:rsidR="008C1C15" w:rsidRPr="00C015A3" w:rsidRDefault="00500734" w:rsidP="008C1C15">
      <w:pPr>
        <w:rPr>
          <w:lang w:val="fr-FR"/>
        </w:rPr>
      </w:pPr>
      <w:r w:rsidRPr="00C015A3">
        <w:rPr>
          <w:lang w:val="fr-FR"/>
        </w:rPr>
        <w:t>1</w:t>
      </w:r>
      <w:r w:rsidRPr="00C015A3">
        <w:rPr>
          <w:lang w:val="fr-FR"/>
        </w:rPr>
        <w:tab/>
        <w:t xml:space="preserve">qu'à l'échelle internationale, l'acheminement du numéro de l'appelant doit être assuré sur la base des Recommandations UIT-T </w:t>
      </w:r>
      <w:proofErr w:type="gramStart"/>
      <w:r w:rsidRPr="00C015A3">
        <w:rPr>
          <w:lang w:val="fr-FR"/>
        </w:rPr>
        <w:t>pertinentes;</w:t>
      </w:r>
      <w:proofErr w:type="gramEnd"/>
    </w:p>
    <w:p w14:paraId="50A406BF" w14:textId="77777777" w:rsidR="008C1C15" w:rsidRPr="00C015A3" w:rsidRDefault="00500734" w:rsidP="008C1C15">
      <w:pPr>
        <w:rPr>
          <w:lang w:val="fr-FR"/>
        </w:rPr>
      </w:pPr>
      <w:r w:rsidRPr="00C015A3">
        <w:rPr>
          <w:lang w:val="fr-FR"/>
        </w:rPr>
        <w:t>2</w:t>
      </w:r>
      <w:r w:rsidRPr="00C015A3">
        <w:rPr>
          <w:lang w:val="fr-FR"/>
        </w:rPr>
        <w:tab/>
        <w:t xml:space="preserve">qu'à l'échelle internationale, l'acheminement de l'identification de la ligne appelante et l'identification de l'origine doivent, lorsque cela est techniquement possible, être assurés sur la base des Recommandations UIT-T </w:t>
      </w:r>
      <w:proofErr w:type="gramStart"/>
      <w:r w:rsidRPr="00C015A3">
        <w:rPr>
          <w:lang w:val="fr-FR"/>
        </w:rPr>
        <w:t>pertinentes;</w:t>
      </w:r>
      <w:proofErr w:type="gramEnd"/>
    </w:p>
    <w:p w14:paraId="3FA39C83" w14:textId="013D4674" w:rsidR="008C1C15" w:rsidRPr="00C015A3" w:rsidRDefault="00500734" w:rsidP="008C1C15">
      <w:pPr>
        <w:rPr>
          <w:lang w:val="fr-FR"/>
        </w:rPr>
      </w:pPr>
      <w:r w:rsidRPr="00C015A3">
        <w:rPr>
          <w:lang w:val="fr-FR"/>
        </w:rPr>
        <w:t>3</w:t>
      </w:r>
      <w:r w:rsidRPr="00C015A3">
        <w:rPr>
          <w:lang w:val="fr-FR"/>
        </w:rPr>
        <w:tab/>
        <w:t xml:space="preserve">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w:t>
      </w:r>
      <w:proofErr w:type="gramStart"/>
      <w:r w:rsidRPr="00C015A3">
        <w:rPr>
          <w:lang w:val="fr-FR"/>
        </w:rPr>
        <w:t>question;</w:t>
      </w:r>
      <w:proofErr w:type="gramEnd"/>
    </w:p>
    <w:p w14:paraId="56949276" w14:textId="77777777" w:rsidR="00630C54" w:rsidRPr="00C015A3" w:rsidRDefault="00630C54" w:rsidP="008C1C15">
      <w:pPr>
        <w:rPr>
          <w:lang w:val="fr-FR"/>
        </w:rPr>
      </w:pPr>
      <w:r w:rsidRPr="00C015A3">
        <w:rPr>
          <w:lang w:val="fr-FR"/>
        </w:rPr>
        <w:br w:type="page"/>
      </w:r>
    </w:p>
    <w:p w14:paraId="02B8203D" w14:textId="0E686919" w:rsidR="008C1C15" w:rsidRPr="00C015A3" w:rsidRDefault="00500734" w:rsidP="008C1C15">
      <w:pPr>
        <w:rPr>
          <w:lang w:val="fr-FR"/>
        </w:rPr>
      </w:pPr>
      <w:r w:rsidRPr="00C015A3">
        <w:rPr>
          <w:lang w:val="fr-FR"/>
        </w:rPr>
        <w:lastRenderedPageBreak/>
        <w:t>4</w:t>
      </w:r>
      <w:r w:rsidRPr="00C015A3">
        <w:rPr>
          <w:lang w:val="fr-FR"/>
        </w:rPr>
        <w:tab/>
        <w:t xml:space="preserve">que le numéro de l'appelant acheminé et l'identification de la ligne appelante, si celle-ci est acheminée, doivent inclure des informations suffisantes pour permettre une facturation et une comptabilité correctes pour chaque appel </w:t>
      </w:r>
      <w:proofErr w:type="gramStart"/>
      <w:r w:rsidRPr="00C015A3">
        <w:rPr>
          <w:lang w:val="fr-FR"/>
        </w:rPr>
        <w:t>international;</w:t>
      </w:r>
      <w:proofErr w:type="gramEnd"/>
    </w:p>
    <w:p w14:paraId="6CB9850C" w14:textId="77777777" w:rsidR="008C1C15" w:rsidRPr="00C015A3" w:rsidRDefault="00500734" w:rsidP="008C1C15">
      <w:pPr>
        <w:rPr>
          <w:lang w:val="fr-FR"/>
        </w:rPr>
      </w:pPr>
      <w:r w:rsidRPr="00C015A3">
        <w:rPr>
          <w:lang w:val="fr-FR"/>
        </w:rPr>
        <w:t>5</w:t>
      </w:r>
      <w:r w:rsidRPr="00C015A3">
        <w:rPr>
          <w:lang w:val="fr-FR"/>
        </w:rPr>
        <w:tab/>
        <w:t xml:space="preserve">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w:t>
      </w:r>
      <w:proofErr w:type="gramStart"/>
      <w:r w:rsidRPr="00C015A3">
        <w:rPr>
          <w:lang w:val="fr-FR"/>
        </w:rPr>
        <w:t>l'administration;</w:t>
      </w:r>
      <w:proofErr w:type="gramEnd"/>
    </w:p>
    <w:p w14:paraId="243202BE" w14:textId="77777777" w:rsidR="008C1C15" w:rsidRPr="00C015A3" w:rsidRDefault="00500734" w:rsidP="008C1C15">
      <w:pPr>
        <w:rPr>
          <w:lang w:val="fr-FR"/>
        </w:rPr>
      </w:pPr>
      <w:r w:rsidRPr="00C015A3">
        <w:rPr>
          <w:lang w:val="fr-FR"/>
        </w:rPr>
        <w:t>6</w:t>
      </w:r>
      <w:r w:rsidRPr="00C015A3">
        <w:rPr>
          <w:lang w:val="fr-FR"/>
        </w:rPr>
        <w:tab/>
        <w:t>que les informations relatives au numéro de l'appelant, à l'identification de la ligne appelante et à l'identification de l'origine doivent être transmises de façon transparente par les réseaux de transit (y compris les concentrateurs</w:t>
      </w:r>
      <w:proofErr w:type="gramStart"/>
      <w:r w:rsidRPr="00C015A3">
        <w:rPr>
          <w:lang w:val="fr-FR"/>
        </w:rPr>
        <w:t>);</w:t>
      </w:r>
      <w:proofErr w:type="gramEnd"/>
    </w:p>
    <w:p w14:paraId="2D9FF44A" w14:textId="77777777" w:rsidR="008C1C15" w:rsidRPr="00C015A3" w:rsidRDefault="00500734" w:rsidP="008C1C15">
      <w:pPr>
        <w:rPr>
          <w:lang w:val="fr-FR"/>
        </w:rPr>
      </w:pPr>
      <w:r w:rsidRPr="00C015A3">
        <w:rPr>
          <w:lang w:val="fr-FR"/>
        </w:rPr>
        <w:t>7</w:t>
      </w:r>
      <w:r w:rsidRPr="00C015A3">
        <w:rPr>
          <w:lang w:val="fr-FR"/>
        </w:rPr>
        <w:tab/>
        <w:t>d'encourager les opérateurs à rendre fiables et vérifiables les informations relatives à l'identification de l'origine, le cas échéant, au numéro CPN et à l'identification de la ligne appelante, afin de lutter contre l'usurpation d'identité et d'autres types d'utilisation abusive des numéros,</w:t>
      </w:r>
    </w:p>
    <w:p w14:paraId="6C6B7660" w14:textId="77777777" w:rsidR="008C1C15" w:rsidRPr="00C015A3" w:rsidRDefault="00500734" w:rsidP="008C1C15">
      <w:pPr>
        <w:pStyle w:val="Call"/>
        <w:rPr>
          <w:lang w:val="fr-FR"/>
        </w:rPr>
      </w:pPr>
      <w:proofErr w:type="gramStart"/>
      <w:r w:rsidRPr="00C015A3">
        <w:rPr>
          <w:lang w:val="fr-FR"/>
        </w:rPr>
        <w:t>charge</w:t>
      </w:r>
      <w:proofErr w:type="gramEnd"/>
    </w:p>
    <w:p w14:paraId="71A92341" w14:textId="77777777" w:rsidR="008C1C15" w:rsidRPr="00C015A3" w:rsidRDefault="00500734" w:rsidP="008C1C15">
      <w:pPr>
        <w:rPr>
          <w:lang w:val="fr-FR"/>
        </w:rPr>
      </w:pPr>
      <w:r w:rsidRPr="00C015A3">
        <w:rPr>
          <w:lang w:val="fr-FR"/>
        </w:rPr>
        <w:t>1</w:t>
      </w:r>
      <w:r w:rsidRPr="00C015A3">
        <w:rPr>
          <w:lang w:val="fr-FR"/>
        </w:rPr>
        <w:tab/>
        <w:t xml:space="preserve">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w:t>
      </w:r>
      <w:proofErr w:type="gramStart"/>
      <w:r w:rsidRPr="00C015A3">
        <w:rPr>
          <w:lang w:val="fr-FR"/>
        </w:rPr>
        <w:t>possibles;</w:t>
      </w:r>
      <w:proofErr w:type="gramEnd"/>
    </w:p>
    <w:p w14:paraId="00BA617D" w14:textId="77777777" w:rsidR="008C1C15" w:rsidRPr="00C015A3" w:rsidRDefault="00500734" w:rsidP="008C1C15">
      <w:pPr>
        <w:rPr>
          <w:lang w:val="fr-FR"/>
        </w:rPr>
      </w:pPr>
      <w:r w:rsidRPr="00C015A3">
        <w:rPr>
          <w:lang w:val="fr-FR"/>
        </w:rPr>
        <w:t>2</w:t>
      </w:r>
      <w:r w:rsidRPr="00C015A3">
        <w:rPr>
          <w:lang w:val="fr-FR"/>
        </w:rPr>
        <w:tab/>
        <w:t xml:space="preserve">les commissions d'études concernées d'accélérer l'élaboration de Recommandations qui contiendraient des détails et indications supplémentaires pour la mise en œuvre de la présente </w:t>
      </w:r>
      <w:proofErr w:type="gramStart"/>
      <w:r w:rsidRPr="00C015A3">
        <w:rPr>
          <w:lang w:val="fr-FR"/>
        </w:rPr>
        <w:t>Résolution;</w:t>
      </w:r>
      <w:proofErr w:type="gramEnd"/>
    </w:p>
    <w:p w14:paraId="093AA90B" w14:textId="77777777" w:rsidR="008C1C15" w:rsidRPr="00C015A3" w:rsidRDefault="00500734" w:rsidP="008C1C15">
      <w:pPr>
        <w:rPr>
          <w:lang w:val="fr-FR"/>
        </w:rPr>
      </w:pPr>
      <w:r w:rsidRPr="00C015A3">
        <w:rPr>
          <w:lang w:val="fr-FR"/>
        </w:rPr>
        <w:t>3</w:t>
      </w:r>
      <w:r w:rsidRPr="00C015A3">
        <w:rPr>
          <w:lang w:val="fr-FR"/>
        </w:rPr>
        <w:tab/>
        <w:t xml:space="preserve">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w:t>
      </w:r>
      <w:proofErr w:type="gramStart"/>
      <w:r w:rsidRPr="00C015A3">
        <w:rPr>
          <w:lang w:val="fr-FR"/>
        </w:rPr>
        <w:t>techniques;</w:t>
      </w:r>
      <w:proofErr w:type="gramEnd"/>
    </w:p>
    <w:p w14:paraId="2A73BA0E" w14:textId="77777777" w:rsidR="008C1C15" w:rsidRPr="00C015A3" w:rsidRDefault="00500734" w:rsidP="008C1C15">
      <w:pPr>
        <w:rPr>
          <w:lang w:val="fr-FR"/>
        </w:rPr>
      </w:pPr>
      <w:r w:rsidRPr="00C015A3">
        <w:rPr>
          <w:lang w:val="fr-FR"/>
        </w:rPr>
        <w:t>4</w:t>
      </w:r>
      <w:r w:rsidRPr="00C015A3">
        <w:rPr>
          <w:lang w:val="fr-FR"/>
        </w:rPr>
        <w:tab/>
        <w:t>le Directeur du TSB de d'échanger des informations sur l'expérience acquise par les pays dans la mise en œuvre de la présente Résolution, en un emplacement centralisé,</w:t>
      </w:r>
    </w:p>
    <w:p w14:paraId="34B56CC3" w14:textId="77777777" w:rsidR="008C1C15" w:rsidRPr="00C015A3" w:rsidRDefault="00500734" w:rsidP="008C1C15">
      <w:pPr>
        <w:pStyle w:val="Call"/>
        <w:rPr>
          <w:lang w:val="fr-FR"/>
        </w:rPr>
      </w:pPr>
      <w:proofErr w:type="gramStart"/>
      <w:r w:rsidRPr="00C015A3">
        <w:rPr>
          <w:lang w:val="fr-FR"/>
        </w:rPr>
        <w:t>invite</w:t>
      </w:r>
      <w:proofErr w:type="gramEnd"/>
      <w:r w:rsidRPr="00C015A3">
        <w:rPr>
          <w:lang w:val="fr-FR"/>
        </w:rPr>
        <w:t xml:space="preserve"> les États Membres</w:t>
      </w:r>
    </w:p>
    <w:p w14:paraId="2F1A437A" w14:textId="77777777" w:rsidR="008C1C15" w:rsidRPr="00C015A3" w:rsidRDefault="00500734" w:rsidP="008C1C15">
      <w:pPr>
        <w:rPr>
          <w:lang w:val="fr-FR"/>
        </w:rPr>
      </w:pPr>
      <w:r w:rsidRPr="00C015A3">
        <w:rPr>
          <w:lang w:val="fr-FR"/>
        </w:rPr>
        <w:t>1</w:t>
      </w:r>
      <w:r w:rsidRPr="00C015A3">
        <w:rPr>
          <w:lang w:val="fr-FR"/>
        </w:rPr>
        <w:tab/>
        <w:t xml:space="preserve">à contribuer à ces travaux, à échanger des informations sur expérience qu'ils ont acquise dans l'application de la présente Résolution et à coopérer à la mise en œuvre de la présente </w:t>
      </w:r>
      <w:proofErr w:type="gramStart"/>
      <w:r w:rsidRPr="00C015A3">
        <w:rPr>
          <w:lang w:val="fr-FR"/>
        </w:rPr>
        <w:t>Résolution;</w:t>
      </w:r>
      <w:proofErr w:type="gramEnd"/>
    </w:p>
    <w:p w14:paraId="1D9B7E38" w14:textId="77777777" w:rsidR="008C1C15" w:rsidRPr="00C015A3" w:rsidRDefault="00500734" w:rsidP="008C1C15">
      <w:pPr>
        <w:rPr>
          <w:lang w:val="fr-FR"/>
        </w:rPr>
      </w:pPr>
      <w:r w:rsidRPr="00C015A3">
        <w:rPr>
          <w:lang w:val="fr-FR"/>
        </w:rPr>
        <w:t>2</w:t>
      </w:r>
      <w:r w:rsidRPr="00C015A3">
        <w:rPr>
          <w:lang w:val="fr-FR"/>
        </w:rPr>
        <w:tab/>
        <w:t>à envisager de définir, dans le cadre de leur système juridique et réglementaire national, des lignes directrices ou d'autres modalités aux fins de la mise en œuvre de la présente Résolution.</w:t>
      </w:r>
    </w:p>
    <w:p w14:paraId="7145F2D6" w14:textId="589316B8" w:rsidR="00003B5C" w:rsidRPr="00C015A3" w:rsidRDefault="00003B5C">
      <w:pPr>
        <w:pStyle w:val="Reasons"/>
        <w:rPr>
          <w:lang w:val="fr-FR"/>
        </w:rPr>
      </w:pPr>
    </w:p>
    <w:p w14:paraId="1DDB8044" w14:textId="2EE6436B" w:rsidR="00630C54" w:rsidRPr="00C015A3" w:rsidRDefault="00630C54">
      <w:pPr>
        <w:pStyle w:val="Reasons"/>
        <w:rPr>
          <w:lang w:val="fr-FR"/>
        </w:rPr>
      </w:pPr>
    </w:p>
    <w:p w14:paraId="52B51AD7" w14:textId="52FE789D" w:rsidR="00630C54" w:rsidRPr="00C015A3" w:rsidRDefault="00630C54">
      <w:pPr>
        <w:pStyle w:val="Reasons"/>
        <w:rPr>
          <w:lang w:val="fr-FR"/>
        </w:rPr>
      </w:pPr>
    </w:p>
    <w:p w14:paraId="07660A43" w14:textId="4362C718" w:rsidR="00630C54" w:rsidRPr="00C015A3" w:rsidRDefault="00630C54">
      <w:pPr>
        <w:pStyle w:val="Reasons"/>
        <w:rPr>
          <w:lang w:val="fr-FR"/>
        </w:rPr>
      </w:pPr>
    </w:p>
    <w:p w14:paraId="3F7CAB20" w14:textId="4D3C9583" w:rsidR="00630C54" w:rsidRPr="00C015A3" w:rsidRDefault="00630C54">
      <w:pPr>
        <w:pStyle w:val="Reasons"/>
        <w:rPr>
          <w:lang w:val="fr-FR"/>
        </w:rPr>
      </w:pPr>
    </w:p>
    <w:p w14:paraId="2840A4AC" w14:textId="1B1AB00E" w:rsidR="00630C54" w:rsidRPr="00C015A3" w:rsidRDefault="00630C54">
      <w:pPr>
        <w:pStyle w:val="Reasons"/>
        <w:rPr>
          <w:lang w:val="fr-FR"/>
        </w:rPr>
      </w:pPr>
    </w:p>
    <w:p w14:paraId="69E0D117" w14:textId="2D3F420C" w:rsidR="00630C54" w:rsidRPr="00C015A3" w:rsidRDefault="00630C54">
      <w:pPr>
        <w:pStyle w:val="Reasons"/>
        <w:rPr>
          <w:lang w:val="fr-FR"/>
        </w:rPr>
      </w:pPr>
    </w:p>
    <w:p w14:paraId="6ED5933C" w14:textId="18FAE164" w:rsidR="00630C54" w:rsidRPr="00C015A3" w:rsidRDefault="00630C54">
      <w:pPr>
        <w:pStyle w:val="Reasons"/>
        <w:rPr>
          <w:lang w:val="fr-FR"/>
        </w:rPr>
      </w:pPr>
    </w:p>
    <w:p w14:paraId="6BA57C63" w14:textId="313A358B" w:rsidR="00630C54" w:rsidRPr="00C015A3" w:rsidRDefault="00630C54">
      <w:pPr>
        <w:pStyle w:val="Reasons"/>
        <w:rPr>
          <w:lang w:val="fr-FR"/>
        </w:rPr>
      </w:pPr>
    </w:p>
    <w:p w14:paraId="2124D56A" w14:textId="77777777" w:rsidR="00630C54" w:rsidRPr="00C015A3" w:rsidRDefault="00630C54">
      <w:pPr>
        <w:pStyle w:val="Reasons"/>
        <w:rPr>
          <w:lang w:val="fr-FR"/>
        </w:rPr>
      </w:pPr>
    </w:p>
    <w:sectPr w:rsidR="00630C54" w:rsidRPr="00C015A3" w:rsidSect="00555458">
      <w:headerReference w:type="default" r:id="rId18"/>
      <w:footerReference w:type="even" r:id="rId19"/>
      <w:footerReference w:type="default" r:id="rId20"/>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2131" w14:textId="77777777" w:rsidR="00930B55" w:rsidRDefault="00930B55">
      <w:r>
        <w:separator/>
      </w:r>
    </w:p>
  </w:endnote>
  <w:endnote w:type="continuationSeparator" w:id="0">
    <w:p w14:paraId="200B3730" w14:textId="77777777" w:rsidR="00930B55" w:rsidRDefault="0093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AB64" w14:textId="77777777" w:rsidR="004018A1" w:rsidRPr="00DE48B4" w:rsidRDefault="004018A1"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702" w14:textId="77777777" w:rsidR="004018A1" w:rsidRPr="008968B6" w:rsidRDefault="004018A1"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0CCBDE70"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C015A3">
      <w:t>Résolution</w:t>
    </w:r>
    <w:r>
      <w:rPr>
        <w:lang w:val="en-US"/>
      </w:rPr>
      <w:t xml:space="preserve"> </w:t>
    </w:r>
    <w:r>
      <w:fldChar w:fldCharType="begin"/>
    </w:r>
    <w:r>
      <w:rPr>
        <w:lang w:val="en-US"/>
      </w:rPr>
      <w:instrText>styleref href</w:instrText>
    </w:r>
    <w:r>
      <w:fldChar w:fldCharType="separate"/>
    </w:r>
    <w:r w:rsidR="00C015A3">
      <w:rPr>
        <w:noProof/>
        <w:lang w:val="en-US"/>
      </w:rPr>
      <w:t>65</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60503DB3"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C015A3">
      <w:t>Résolution</w:t>
    </w:r>
    <w:r>
      <w:rPr>
        <w:lang w:val="en-US"/>
      </w:rPr>
      <w:t xml:space="preserve"> </w:t>
    </w:r>
    <w:r>
      <w:fldChar w:fldCharType="begin"/>
    </w:r>
    <w:r>
      <w:rPr>
        <w:lang w:val="en-US"/>
      </w:rPr>
      <w:instrText>styleref href</w:instrText>
    </w:r>
    <w:r>
      <w:fldChar w:fldCharType="separate"/>
    </w:r>
    <w:r w:rsidR="00C015A3">
      <w:rPr>
        <w:noProof/>
        <w:lang w:val="en-US"/>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F2FC" w14:textId="77777777" w:rsidR="00930B55" w:rsidRDefault="00930B55">
      <w:r>
        <w:rPr>
          <w:b/>
        </w:rPr>
        <w:t>_______________</w:t>
      </w:r>
    </w:p>
  </w:footnote>
  <w:footnote w:type="continuationSeparator" w:id="0">
    <w:p w14:paraId="484DF630" w14:textId="77777777" w:rsidR="00930B55" w:rsidRDefault="00930B55">
      <w:r>
        <w:continuationSeparator/>
      </w:r>
    </w:p>
  </w:footnote>
  <w:footnote w:id="1">
    <w:p w14:paraId="1858FC64" w14:textId="77777777" w:rsidR="008C1C15" w:rsidRPr="00E0617D" w:rsidRDefault="00500734" w:rsidP="008C1C15">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2E9D" w14:textId="77777777" w:rsidR="004018A1" w:rsidRDefault="004018A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CEE3" w14:textId="77777777" w:rsidR="004018A1" w:rsidRDefault="004018A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2848" w14:textId="77777777" w:rsidR="004018A1" w:rsidRDefault="004018A1">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015874">
    <w:abstractNumId w:val="8"/>
  </w:num>
  <w:num w:numId="2" w16cid:durableId="20199173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1976448">
    <w:abstractNumId w:val="9"/>
  </w:num>
  <w:num w:numId="4" w16cid:durableId="1377504006">
    <w:abstractNumId w:val="7"/>
  </w:num>
  <w:num w:numId="5" w16cid:durableId="616255811">
    <w:abstractNumId w:val="6"/>
  </w:num>
  <w:num w:numId="6" w16cid:durableId="1019697206">
    <w:abstractNumId w:val="5"/>
  </w:num>
  <w:num w:numId="7" w16cid:durableId="1428187756">
    <w:abstractNumId w:val="4"/>
  </w:num>
  <w:num w:numId="8" w16cid:durableId="2055814382">
    <w:abstractNumId w:val="3"/>
  </w:num>
  <w:num w:numId="9" w16cid:durableId="1864319146">
    <w:abstractNumId w:val="2"/>
  </w:num>
  <w:num w:numId="10" w16cid:durableId="1804882231">
    <w:abstractNumId w:val="1"/>
  </w:num>
  <w:num w:numId="11" w16cid:durableId="1688479549">
    <w:abstractNumId w:val="0"/>
  </w:num>
  <w:num w:numId="12" w16cid:durableId="1717000411">
    <w:abstractNumId w:val="15"/>
  </w:num>
  <w:num w:numId="13" w16cid:durableId="897590284">
    <w:abstractNumId w:val="24"/>
  </w:num>
  <w:num w:numId="14" w16cid:durableId="83038925">
    <w:abstractNumId w:val="25"/>
  </w:num>
  <w:num w:numId="15" w16cid:durableId="436487064">
    <w:abstractNumId w:val="27"/>
  </w:num>
  <w:num w:numId="16" w16cid:durableId="1034767136">
    <w:abstractNumId w:val="49"/>
  </w:num>
  <w:num w:numId="17" w16cid:durableId="1551383961">
    <w:abstractNumId w:val="17"/>
  </w:num>
  <w:num w:numId="18" w16cid:durableId="1317876594">
    <w:abstractNumId w:val="31"/>
  </w:num>
  <w:num w:numId="19" w16cid:durableId="472453904">
    <w:abstractNumId w:val="45"/>
  </w:num>
  <w:num w:numId="20" w16cid:durableId="1217165276">
    <w:abstractNumId w:val="36"/>
  </w:num>
  <w:num w:numId="21" w16cid:durableId="1715424741">
    <w:abstractNumId w:val="30"/>
  </w:num>
  <w:num w:numId="22" w16cid:durableId="540629878">
    <w:abstractNumId w:val="28"/>
  </w:num>
  <w:num w:numId="23" w16cid:durableId="1014576139">
    <w:abstractNumId w:val="12"/>
  </w:num>
  <w:num w:numId="24" w16cid:durableId="1684167256">
    <w:abstractNumId w:val="40"/>
  </w:num>
  <w:num w:numId="25" w16cid:durableId="1308128674">
    <w:abstractNumId w:val="23"/>
  </w:num>
  <w:num w:numId="26" w16cid:durableId="1010763910">
    <w:abstractNumId w:val="29"/>
  </w:num>
  <w:num w:numId="27" w16cid:durableId="510880633">
    <w:abstractNumId w:val="42"/>
  </w:num>
  <w:num w:numId="28" w16cid:durableId="499582224">
    <w:abstractNumId w:val="32"/>
  </w:num>
  <w:num w:numId="29" w16cid:durableId="742413402">
    <w:abstractNumId w:val="47"/>
  </w:num>
  <w:num w:numId="30" w16cid:durableId="276971">
    <w:abstractNumId w:val="20"/>
  </w:num>
  <w:num w:numId="31" w16cid:durableId="1744721344">
    <w:abstractNumId w:val="37"/>
  </w:num>
  <w:num w:numId="32" w16cid:durableId="1080754395">
    <w:abstractNumId w:val="48"/>
  </w:num>
  <w:num w:numId="33" w16cid:durableId="1867793418">
    <w:abstractNumId w:val="44"/>
  </w:num>
  <w:num w:numId="34" w16cid:durableId="1893149216">
    <w:abstractNumId w:val="43"/>
  </w:num>
  <w:num w:numId="35" w16cid:durableId="1977639561">
    <w:abstractNumId w:val="14"/>
  </w:num>
  <w:num w:numId="36" w16cid:durableId="872425633">
    <w:abstractNumId w:val="16"/>
  </w:num>
  <w:num w:numId="37" w16cid:durableId="1095595406">
    <w:abstractNumId w:val="46"/>
  </w:num>
  <w:num w:numId="38" w16cid:durableId="780150526">
    <w:abstractNumId w:val="35"/>
  </w:num>
  <w:num w:numId="39" w16cid:durableId="1253396745">
    <w:abstractNumId w:val="41"/>
  </w:num>
  <w:num w:numId="40" w16cid:durableId="446313724">
    <w:abstractNumId w:val="19"/>
  </w:num>
  <w:num w:numId="41" w16cid:durableId="1722903941">
    <w:abstractNumId w:val="39"/>
  </w:num>
  <w:num w:numId="42" w16cid:durableId="1095710427">
    <w:abstractNumId w:val="38"/>
  </w:num>
  <w:num w:numId="43" w16cid:durableId="338436836">
    <w:abstractNumId w:val="11"/>
  </w:num>
  <w:num w:numId="44" w16cid:durableId="1441071892">
    <w:abstractNumId w:val="22"/>
  </w:num>
  <w:num w:numId="45" w16cid:durableId="2136170650">
    <w:abstractNumId w:val="26"/>
  </w:num>
  <w:num w:numId="46" w16cid:durableId="1912696257">
    <w:abstractNumId w:val="13"/>
  </w:num>
  <w:num w:numId="47" w16cid:durableId="156383842">
    <w:abstractNumId w:val="34"/>
  </w:num>
  <w:num w:numId="48" w16cid:durableId="1760640097">
    <w:abstractNumId w:val="18"/>
  </w:num>
  <w:num w:numId="49" w16cid:durableId="1781798122">
    <w:abstractNumId w:val="33"/>
  </w:num>
  <w:num w:numId="50" w16cid:durableId="2953770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18A1"/>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55458"/>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0C54"/>
    <w:rsid w:val="00631CC6"/>
    <w:rsid w:val="00633F72"/>
    <w:rsid w:val="00657DE0"/>
    <w:rsid w:val="00673EBA"/>
    <w:rsid w:val="00675D23"/>
    <w:rsid w:val="006771FD"/>
    <w:rsid w:val="006835B9"/>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2144F"/>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0B55"/>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06C7"/>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015A3"/>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572AC"/>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55458"/>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4018A1"/>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1510E-DFC8-4931-88FE-6AAEBCAA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Résolution 65 – Acheminement des informations relatives au numéro de l'appelant, à l'identification de la ligne appelante et à l'identification de l'origine</vt:lpstr>
    </vt:vector>
  </TitlesOfParts>
  <Manager>General Secretariat - Pool</Manager>
  <Company>International Telecommunication Union (ITU)</Company>
  <LinksUpToDate>false</LinksUpToDate>
  <CharactersWithSpaces>10588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65 – Acheminement des informations relatives au numéro de l'appelant, à l'identification de la ligne appelante et à l'identification de l'origine</dc:title>
  <dc:subject>World Telecommunication Standardization Assembly</dc:subject>
  <dc:creator>Documents Proposals Manager (DPM)</dc:creator>
  <cp:keywords/>
  <dc:description/>
  <cp:lastModifiedBy>TSB-AC</cp:lastModifiedBy>
  <cp:revision>9</cp:revision>
  <cp:lastPrinted>2022-04-20T12:40:00Z</cp:lastPrinted>
  <dcterms:created xsi:type="dcterms:W3CDTF">2022-04-14T09:22:00Z</dcterms:created>
  <dcterms:modified xsi:type="dcterms:W3CDTF">2022-04-26T08:33:00Z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