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 Internacional de Telecomunicaciones</w:t>
            </w:r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 de Normalización</w:t>
            </w:r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F04A89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F04A89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8EDE016" w:rsidR="00EA2A26" w:rsidRPr="00251518" w:rsidRDefault="00347EE0" w:rsidP="00856170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251518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251518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F04A89">
              <w:rPr>
                <w:spacing w:val="-6"/>
                <w:sz w:val="44"/>
                <w:szCs w:val="44"/>
                <w:lang w:val="es-ES"/>
              </w:rPr>
              <w:t>64</w:t>
            </w:r>
            <w:r w:rsidR="00845E8E" w:rsidRPr="00251518">
              <w:rPr>
                <w:spacing w:val="-6"/>
                <w:sz w:val="44"/>
                <w:szCs w:val="44"/>
                <w:lang w:val="es-ES"/>
              </w:rPr>
              <w:t xml:space="preserve"> – </w:t>
            </w:r>
            <w:r w:rsidR="00856170" w:rsidRPr="00856170">
              <w:rPr>
                <w:spacing w:val="-6"/>
                <w:sz w:val="44"/>
                <w:szCs w:val="44"/>
                <w:lang w:val="es-ES"/>
              </w:rPr>
              <w:t>Fomento, facilitación y aceleración de la transición a la versión 6 del protocolo Internet y su despliegue</w:t>
            </w:r>
          </w:p>
          <w:p w14:paraId="51262F1D" w14:textId="77777777" w:rsidR="00EA2A26" w:rsidRPr="00251518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2515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51518" w:rsidRDefault="00EA2A26" w:rsidP="00EA2A26">
      <w:pPr>
        <w:jc w:val="left"/>
        <w:rPr>
          <w:lang w:val="es-ES"/>
        </w:rPr>
        <w:sectPr w:rsidR="00EA2A26" w:rsidRPr="002515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DC1CCA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DC1CCA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4655D29F" w:rsidR="00AA1264" w:rsidRDefault="00347EE0" w:rsidP="00AA1264">
      <w:pPr>
        <w:pStyle w:val="ResNo"/>
        <w:rPr>
          <w:lang w:val="es-ES"/>
        </w:rPr>
      </w:pPr>
      <w:r w:rsidRPr="00DD5D50">
        <w:rPr>
          <w:lang w:val="es-ES"/>
        </w:rPr>
        <w:lastRenderedPageBreak/>
        <w:t>RESOLUCIÓN</w:t>
      </w:r>
      <w:r w:rsidR="00AA1264" w:rsidRPr="00DD5D50">
        <w:rPr>
          <w:lang w:val="es-ES"/>
        </w:rPr>
        <w:t xml:space="preserve"> </w:t>
      </w:r>
      <w:r w:rsidR="00192903">
        <w:rPr>
          <w:rStyle w:val="href"/>
          <w:lang w:val="es-ES"/>
        </w:rPr>
        <w:t>64</w:t>
      </w:r>
      <w:r w:rsidR="00AA1264" w:rsidRPr="00DD5D50">
        <w:rPr>
          <w:lang w:val="es-ES"/>
        </w:rPr>
        <w:t xml:space="preserve"> </w:t>
      </w:r>
      <w:r w:rsidR="00DD5D50">
        <w:rPr>
          <w:lang w:val="es-ES"/>
        </w:rPr>
        <w:t>(</w:t>
      </w:r>
      <w:r w:rsidR="00DD5D50" w:rsidRPr="005C2A3C">
        <w:rPr>
          <w:caps w:val="0"/>
          <w:lang w:val="es-ES"/>
        </w:rPr>
        <w:t>Rev</w:t>
      </w:r>
      <w:r w:rsidR="00DD5D50" w:rsidRPr="005C2A3C">
        <w:rPr>
          <w:lang w:val="es-ES"/>
        </w:rPr>
        <w:t>. </w:t>
      </w:r>
      <w:r w:rsidR="00DD5D50" w:rsidRPr="005C2A3C">
        <w:rPr>
          <w:caps w:val="0"/>
          <w:lang w:val="es-ES"/>
        </w:rPr>
        <w:t>Nueva Delhi</w:t>
      </w:r>
      <w:r w:rsidR="00DD5D50" w:rsidRPr="005C2A3C">
        <w:rPr>
          <w:lang w:val="es-ES"/>
        </w:rPr>
        <w:t>, 2024</w:t>
      </w:r>
      <w:r w:rsidR="00DD5D50">
        <w:rPr>
          <w:lang w:val="es-ES"/>
        </w:rPr>
        <w:t>)</w:t>
      </w:r>
    </w:p>
    <w:p w14:paraId="73EF863F" w14:textId="77777777" w:rsidR="005E2433" w:rsidRPr="0014777C" w:rsidRDefault="005E2433" w:rsidP="005E2433">
      <w:pPr>
        <w:pStyle w:val="Restitle"/>
        <w:rPr>
          <w:lang w:val="es-ES_tradnl"/>
        </w:rPr>
      </w:pPr>
      <w:bookmarkStart w:id="2" w:name="_Toc111990509"/>
      <w:r w:rsidRPr="0014777C">
        <w:rPr>
          <w:lang w:val="es-ES_tradnl"/>
        </w:rPr>
        <w:t xml:space="preserve">Fomento, facilitación y aceleración de la transición a la versión 6 </w:t>
      </w:r>
      <w:r w:rsidRPr="0014777C">
        <w:rPr>
          <w:lang w:val="es-ES_tradnl"/>
        </w:rPr>
        <w:br/>
        <w:t xml:space="preserve">del protocolo Internet y su </w:t>
      </w:r>
      <w:bookmarkEnd w:id="2"/>
      <w:r w:rsidRPr="0014777C">
        <w:rPr>
          <w:lang w:val="es-ES_tradnl"/>
        </w:rPr>
        <w:t>despliegue</w:t>
      </w:r>
    </w:p>
    <w:p w14:paraId="46FE2023" w14:textId="77777777" w:rsidR="005E2433" w:rsidRPr="0014777C" w:rsidRDefault="005E2433" w:rsidP="005E2433">
      <w:pPr>
        <w:pStyle w:val="Resref"/>
        <w:rPr>
          <w:lang w:val="es-ES_tradnl"/>
        </w:rPr>
      </w:pPr>
      <w:r w:rsidRPr="0014777C">
        <w:rPr>
          <w:lang w:val="es-ES_tradnl"/>
        </w:rPr>
        <w:t>(Johannesburgo, 2008; Dubái, 2012, Hammamet, 2016; Ginebra, 2022; Nueva Delhi, 2024)</w:t>
      </w:r>
    </w:p>
    <w:p w14:paraId="1E23C54B" w14:textId="77777777" w:rsidR="005E2433" w:rsidRPr="0014777C" w:rsidRDefault="005E2433" w:rsidP="005E2433">
      <w:pPr>
        <w:pStyle w:val="Normalaftertitle01"/>
        <w:rPr>
          <w:lang w:val="es-ES_tradnl"/>
        </w:rPr>
      </w:pPr>
      <w:r w:rsidRPr="0014777C">
        <w:rPr>
          <w:lang w:val="es-ES_tradnl"/>
        </w:rPr>
        <w:t>La Asamblea Mundial de Normalización de las Telecomunicaciones (Nueva Delhi, 2024),</w:t>
      </w:r>
    </w:p>
    <w:p w14:paraId="5D549B45" w14:textId="77777777" w:rsidR="005E2433" w:rsidRPr="0014777C" w:rsidRDefault="005E2433" w:rsidP="005E2433">
      <w:pPr>
        <w:pStyle w:val="Call"/>
        <w:rPr>
          <w:lang w:val="es-ES_tradnl"/>
        </w:rPr>
      </w:pPr>
      <w:r w:rsidRPr="0014777C">
        <w:rPr>
          <w:lang w:val="es-ES_tradnl"/>
        </w:rPr>
        <w:t>reconociendo</w:t>
      </w:r>
    </w:p>
    <w:p w14:paraId="11D59BC8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las Resoluciones 101 (Rev. Bucarest, 2022), 102 (Rev. Bucarest, 2022) y 180 (Rev. Bucarest, 2022) de la Conferencia de Plenipotenciarios y la Resolución 63 (Rev. Kigali, 2022) de la Conferencia Mundial de Desarrollo de las Telecomunicaciones;</w:t>
      </w:r>
    </w:p>
    <w:p w14:paraId="4AC608D8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que el agotamiento de direcciones de la versión 4 del protocolo Internet (IPv4) y sus limitaciones obligan a fomentar, facilitar y acelerar la transición a la versión 6 del protocolo Internet (IPv6) y su despliegue, cuestión que reviste una importancia particular para los Estados Miembros y los Miembros de Sector;</w:t>
      </w:r>
    </w:p>
    <w:p w14:paraId="2A4E215C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los resultados del Grupo IPv6 de la UIT, que ha llevado a cabo las labores que le fueron asignadas;</w:t>
      </w:r>
    </w:p>
    <w:p w14:paraId="12628690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que, en el futuro, la Oficina de Desarrollo de las Telecomunicaciones de la UIT (BDT) debe seguir llevando a cabo actividades de creación de capacidades humanas en materia de IPv6 y liderarlas, en colaboración con otras organizaciones pertinentes, si fuera necesario,</w:t>
      </w:r>
    </w:p>
    <w:p w14:paraId="68D1085E" w14:textId="77777777" w:rsidR="005E2433" w:rsidRPr="0014777C" w:rsidRDefault="005E2433" w:rsidP="005E2433">
      <w:pPr>
        <w:pStyle w:val="Call"/>
        <w:rPr>
          <w:lang w:val="es-ES_tradnl"/>
        </w:rPr>
      </w:pPr>
      <w:r w:rsidRPr="0014777C">
        <w:rPr>
          <w:lang w:val="es-ES_tradnl"/>
        </w:rPr>
        <w:t>observando</w:t>
      </w:r>
    </w:p>
    <w:p w14:paraId="363AF7FC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las direcciones del protocolo Internet (IP) son recursos fundamentales que resultan imprescindibles para el futuro desarrollo de los servicios de redes IP y de tecnologías de la información y la comunicación (TIC) y para la economía mundial;</w:t>
      </w:r>
    </w:p>
    <w:p w14:paraId="0F483F5D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muchos países consideran que existen desequilibrios históricos en cuanto a la atribución de direcciones IPv4;</w:t>
      </w:r>
    </w:p>
    <w:p w14:paraId="61B38AD4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los grandes bloques contiguos de direcciones IPv4 ya no están disponibles para muchos usuarios y que es urgente promover, facilitar y acelerar la transición a IPv6 y su despliegue;</w:t>
      </w:r>
    </w:p>
    <w:p w14:paraId="3FE1E220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la colaboración y la coordinación en curso entre la UIT y las organizaciones pertinentes para la creación de capacidad en materia de IPv6, a fin de dar respuesta a las necesidades de los Estados Miembros y los Miembros de Sector;</w:t>
      </w:r>
    </w:p>
    <w:p w14:paraId="57ACA9CF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los progresos en pro de la adopción de IPv6 que se han realizado durante los últimos años;</w:t>
      </w:r>
    </w:p>
    <w:p w14:paraId="15FB4F48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>que los Registros Regionales de Internet (RIR) son esenciales a la hora de establecer políticas coherentes y fomentar las prácticas idóneas en materia de Internet,</w:t>
      </w:r>
    </w:p>
    <w:p w14:paraId="58BA635D" w14:textId="77777777" w:rsidR="00192903" w:rsidRDefault="00192903" w:rsidP="005E2433">
      <w:pPr>
        <w:pStyle w:val="Call"/>
        <w:rPr>
          <w:lang w:val="es-ES_tradnl"/>
        </w:rPr>
      </w:pPr>
      <w:r>
        <w:rPr>
          <w:lang w:val="es-ES_tradnl"/>
        </w:rPr>
        <w:br w:type="page"/>
      </w:r>
    </w:p>
    <w:p w14:paraId="651D31E7" w14:textId="126C1DA8" w:rsidR="005E2433" w:rsidRPr="0014777C" w:rsidRDefault="005E2433" w:rsidP="005E2433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considerando</w:t>
      </w:r>
    </w:p>
    <w:p w14:paraId="2C106654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se hace sentir entre los miembros pertinentes de la comunidad de Internet la necesidad de seguir discutiendo el despliegue de IPv6 y de difundir información, así como de impartir capacitación, al respecto;</w:t>
      </w:r>
    </w:p>
    <w:p w14:paraId="0C325E37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la promoción, facilitación y aceleración del despliegue de IPv6 es un tema importante para los Estados Miembros y los Miembros de Sector;</w:t>
      </w:r>
    </w:p>
    <w:p w14:paraId="03551237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numerosos países en desarrollo</w:t>
      </w:r>
      <w:r w:rsidRPr="0014777C">
        <w:rPr>
          <w:rStyle w:val="FootnoteReference"/>
          <w:lang w:val="es-ES_tradnl"/>
        </w:rPr>
        <w:footnoteReference w:customMarkFollows="1" w:id="1"/>
        <w:t>1</w:t>
      </w:r>
      <w:r w:rsidRPr="0014777C">
        <w:rPr>
          <w:lang w:val="es-ES_tradnl"/>
        </w:rPr>
        <w:t xml:space="preserve"> siguen afrontando dificultades en el proceso de transición de IPv4 a IPv6, entre otros motivos, por la falta de conocimientos técnicos y de recursos humanos formados en la materia, así como por los costes que ello implica;</w:t>
      </w:r>
    </w:p>
    <w:p w14:paraId="71A87E3A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d)</w:t>
      </w:r>
      <w:r w:rsidRPr="0014777C">
        <w:rPr>
          <w:lang w:val="es-ES_tradnl"/>
        </w:rPr>
        <w:tab/>
        <w:t>que, aunque algunos Estados Miembros poseen los conocimientos técnicos suficientes sobre IPv6, la transición de IPv4 a IPv6 se está demorando por varios motivos;</w:t>
      </w:r>
    </w:p>
    <w:p w14:paraId="67FF6464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>que los Estados Miembros deben desempeñar un papel importante en el fomento del despliegue de IPv6;</w:t>
      </w:r>
    </w:p>
    <w:p w14:paraId="4BBB41B2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>la creciente urgencia de una rápida implantación de IPv6 debido al ritmo acelerado del agotamiento de direcciones IPv4;</w:t>
      </w:r>
    </w:p>
    <w:p w14:paraId="69D41CAF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lang w:val="es-ES_tradnl"/>
        </w:rPr>
        <w:tab/>
        <w:t>que los marcos de adquisiciones públicas y los mecanismos de mercado pueden alentar el despliegue de IPv6;</w:t>
      </w:r>
    </w:p>
    <w:p w14:paraId="095D494F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lang w:val="es-ES_tradnl"/>
        </w:rPr>
        <w:tab/>
        <w:t>que el agotamiento de direcciones IPv4 y el retraso en el despliegue de IPv6 puede menoscabar las telecomunicaciones/TIC nuevas e incipientes;</w:t>
      </w:r>
    </w:p>
    <w:p w14:paraId="5AD2061B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i)</w:t>
      </w:r>
      <w:r w:rsidRPr="0014777C">
        <w:rPr>
          <w:lang w:val="es-ES_tradnl"/>
        </w:rPr>
        <w:tab/>
        <w:t>que muchos países en desarrollo desean que el Sector de Normalización de las Telecomunicaciones de la UIT (UIT-T) sea un registro de direcciones IP para ofrecer a los países en desarrollo la oportunidad de obtener direcciones IP directamente de la UIT, mientras que otros países prefieren utilizar el sistema actual;</w:t>
      </w:r>
    </w:p>
    <w:p w14:paraId="464132AB" w14:textId="77777777" w:rsidR="005E2433" w:rsidRPr="0014777C" w:rsidRDefault="005E2433" w:rsidP="005E2433">
      <w:pPr>
        <w:rPr>
          <w:lang w:val="es-ES"/>
        </w:rPr>
      </w:pPr>
      <w:r w:rsidRPr="1C7B5B94">
        <w:rPr>
          <w:i/>
          <w:iCs/>
          <w:lang w:val="es-ES"/>
        </w:rPr>
        <w:t>j)</w:t>
      </w:r>
      <w:r w:rsidRPr="00650CC8">
        <w:rPr>
          <w:lang w:val="es-ES"/>
        </w:rPr>
        <w:tab/>
      </w:r>
      <w:r w:rsidRPr="1C7B5B94">
        <w:rPr>
          <w:lang w:val="es-ES"/>
        </w:rPr>
        <w:t>que el despliegue de IPv6 permite la aplicación de soluciones de Internet de las cosas (IoT), lo que requiere gran cantidad de direcciones IP;</w:t>
      </w:r>
    </w:p>
    <w:p w14:paraId="4E41A36F" w14:textId="77777777" w:rsidR="005E2433" w:rsidRPr="0014777C" w:rsidRDefault="005E2433" w:rsidP="005E2433">
      <w:pPr>
        <w:rPr>
          <w:lang w:val="es-ES"/>
        </w:rPr>
      </w:pPr>
      <w:r w:rsidRPr="1C7B5B94">
        <w:rPr>
          <w:i/>
          <w:iCs/>
          <w:lang w:val="es-ES"/>
        </w:rPr>
        <w:t>k)</w:t>
      </w:r>
      <w:r w:rsidRPr="00650CC8">
        <w:rPr>
          <w:lang w:val="es-ES"/>
        </w:rPr>
        <w:tab/>
      </w:r>
      <w:r w:rsidRPr="1C7B5B94">
        <w:rPr>
          <w:lang w:val="es-ES"/>
        </w:rPr>
        <w:t>que el despliegue de IPv6 es un factor importante de la transformación digital y la innovación digital;</w:t>
      </w:r>
    </w:p>
    <w:p w14:paraId="4727C6F2" w14:textId="77777777" w:rsidR="005E2433" w:rsidRPr="0014777C" w:rsidRDefault="005E2433" w:rsidP="005E2433">
      <w:pPr>
        <w:rPr>
          <w:lang w:val="es-ES_tradnl"/>
        </w:rPr>
      </w:pPr>
      <w:r w:rsidRPr="0014777C">
        <w:rPr>
          <w:i/>
          <w:iCs/>
          <w:lang w:val="es-ES_tradnl"/>
        </w:rPr>
        <w:t>l)</w:t>
      </w:r>
      <w:r w:rsidRPr="0014777C">
        <w:rPr>
          <w:lang w:val="es-ES_tradnl"/>
        </w:rPr>
        <w:tab/>
        <w:t>que las nuevas infraestructuras de comunicaciones, como las redes 4G/LTE y 5G, requerirán el IPv6 para una mejor comunicación,</w:t>
      </w:r>
    </w:p>
    <w:p w14:paraId="3C66B289" w14:textId="77777777" w:rsidR="00192903" w:rsidRDefault="00192903" w:rsidP="005E2433">
      <w:pPr>
        <w:pStyle w:val="Call"/>
        <w:rPr>
          <w:lang w:val="es-ES_tradnl"/>
        </w:rPr>
      </w:pPr>
      <w:r>
        <w:rPr>
          <w:lang w:val="es-ES_tradnl"/>
        </w:rPr>
        <w:br w:type="page"/>
      </w:r>
    </w:p>
    <w:p w14:paraId="5C0801C9" w14:textId="02100A45" w:rsidR="005E2433" w:rsidRPr="0014777C" w:rsidRDefault="005E2433" w:rsidP="005E2433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resuelve</w:t>
      </w:r>
    </w:p>
    <w:p w14:paraId="3A396DFC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encargar a las Comisiones de Estudio 2 y 3 del UIT-T que, cada una con arreglo a su mandato, reúnan datos estadísticos a fin de evaluar el ritmo y la distribución geográfica de la atribución y el registro de direcciones IPv6 para miembros interesados y, en particular, para países en desarrollo, en colaboración con todas las partes interesadas pertinentes;</w:t>
      </w:r>
    </w:p>
    <w:p w14:paraId="483D40F3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intensificar el intercambio, con todas las partes interesadas, de experiencias e información sobre todos los aspectos de la adopción de IPv6, a fin de crear oportunidades de colaboración y de mejora de las cualificaciones técnicas, y garantizar el intercambio de información necesario para enriquecer las iniciativas de la UIT para fomentar, facilitar y acelerar </w:t>
      </w:r>
      <w:r>
        <w:rPr>
          <w:lang w:val="es-ES_tradnl"/>
        </w:rPr>
        <w:t>e</w:t>
      </w:r>
      <w:r w:rsidRPr="0014777C">
        <w:rPr>
          <w:lang w:val="es-ES_tradnl"/>
        </w:rPr>
        <w:t>l despliegue de IPv6 y la transición a este protocolo,</w:t>
      </w:r>
    </w:p>
    <w:p w14:paraId="70F19366" w14:textId="77777777" w:rsidR="005E2433" w:rsidRPr="0014777C" w:rsidRDefault="005E2433" w:rsidP="005E2433">
      <w:pPr>
        <w:pStyle w:val="Call"/>
        <w:rPr>
          <w:lang w:val="es-ES"/>
        </w:rPr>
      </w:pPr>
      <w:r w:rsidRPr="1C7B5B94">
        <w:rPr>
          <w:lang w:val="es-ES"/>
        </w:rPr>
        <w:t>encarga al Director de la Oficina de Normalización de las Telecomunicaciones, en estrecha colaboración con el Director de la Oficina de Desarrollo de las Telecomunicaciones</w:t>
      </w:r>
    </w:p>
    <w:p w14:paraId="7EB0AA2F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</w:r>
      <w:r>
        <w:rPr>
          <w:lang w:val="es-ES_tradnl"/>
        </w:rPr>
        <w:t xml:space="preserve">que </w:t>
      </w:r>
      <w:r w:rsidRPr="0014777C">
        <w:rPr>
          <w:lang w:val="es-ES_tradnl"/>
        </w:rPr>
        <w:t>prosiga las actividades en curso entre la Oficina de Normalización de las Telecomunicaciones de la UIT y la BDT, teniendo en cuenta la implicación de los asociados que deseen participar y aportar sus conocimientos técnicos especializados para ayudar a los países en desarrollo en el despliegue de IPv6 y la transición a este protocolo, y responder a sus necesidades regionales, tal como éstas han sido identificadas por la BDT, teniendo en cuenta la Resolución 63 (Rev. Kigali, 2022);</w:t>
      </w:r>
    </w:p>
    <w:p w14:paraId="5A7DD046" w14:textId="77777777" w:rsidR="005E2433" w:rsidRPr="0014777C" w:rsidRDefault="005E2433" w:rsidP="005E2433">
      <w:pPr>
        <w:rPr>
          <w:lang w:val="es-ES"/>
        </w:rPr>
      </w:pPr>
      <w:r w:rsidRPr="1C7B5B94">
        <w:rPr>
          <w:lang w:val="es-ES"/>
        </w:rPr>
        <w:t>2</w:t>
      </w:r>
      <w:r w:rsidRPr="00650CC8">
        <w:rPr>
          <w:lang w:val="es-ES"/>
        </w:rPr>
        <w:tab/>
      </w:r>
      <w:r w:rsidRPr="1C7B5B94">
        <w:rPr>
          <w:lang w:val="es-ES"/>
        </w:rPr>
        <w:t>que mantenga, actualice y mejore el sitio web en el que se facilita información sobre las actividades relacionadas con IPv6, incluidos los hiperenlaces para supervisar y hacer un seguimiento de las iniciativas, que se llevan a cabo en todo el mundo, para dar a conocer y poner de manifiesto la importancia que reviste el despliegue de IPv6 para todos los Miembros de la UIT y las entidades interesadas, así como la información sobre los eventos de formación que emprenden la UIT y distintas organizaciones pertinentes (por ejemplo, los RIR, los grupos de operadores de red y la Internet Society (ISOC));</w:t>
      </w:r>
    </w:p>
    <w:p w14:paraId="27ABE95E" w14:textId="77777777" w:rsidR="005E2433" w:rsidRPr="0014777C" w:rsidRDefault="005E2433" w:rsidP="005E2433">
      <w:pPr>
        <w:rPr>
          <w:lang w:val="es-ES"/>
        </w:rPr>
      </w:pPr>
      <w:r w:rsidRPr="1C7B5B94">
        <w:rPr>
          <w:lang w:val="es-ES"/>
        </w:rPr>
        <w:t>3</w:t>
      </w:r>
      <w:r w:rsidRPr="00650CC8">
        <w:rPr>
          <w:lang w:val="es-ES"/>
        </w:rPr>
        <w:tab/>
      </w:r>
      <w:r w:rsidRPr="1C7B5B94">
        <w:rPr>
          <w:lang w:val="es-ES"/>
        </w:rPr>
        <w:t>que promueva la sensibilización respecto de la importancia del despliegue de IPv6, imparta capacitación en actividades de formación conjuntas, implicando a los expertos apropiados de las entidades pertinentes, facilite información, en particular planes y directrices, y preste asistencia técnica para la creación continua de laboratorios con bancos de pruebas para IPv6 en los países en desarrollo en colaboración con las organizaciones conexas apropiadas, y promueva la necesidad de desplegar el IPv6 para la IoT, habida cuenta de la importante demanda de direcciones IP para los dispositivos IoT;</w:t>
      </w:r>
    </w:p>
    <w:p w14:paraId="0924901F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</w:r>
      <w:r>
        <w:rPr>
          <w:lang w:val="es-ES_tradnl"/>
        </w:rPr>
        <w:t xml:space="preserve">que </w:t>
      </w:r>
      <w:r w:rsidRPr="0014777C">
        <w:rPr>
          <w:lang w:val="es-ES_tradnl"/>
        </w:rPr>
        <w:t>fomente las prácticas idóneas en materia de programas públicos, incluidos los de adquisiciones, para facilitar la transición a IPv6 y su implantación;</w:t>
      </w:r>
    </w:p>
    <w:p w14:paraId="5AB9A7FD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</w:r>
      <w:r>
        <w:rPr>
          <w:lang w:val="es-ES_tradnl"/>
        </w:rPr>
        <w:t xml:space="preserve">que </w:t>
      </w:r>
      <w:r w:rsidRPr="0014777C">
        <w:rPr>
          <w:lang w:val="es-ES_tradnl"/>
        </w:rPr>
        <w:t>fomente el debate entre los Estados Miembros de la UIT, los Miembros de Sector y las organizaciones regionales e internacionales pertinentes sobre la transición a IPv6 y su despliegue;</w:t>
      </w:r>
    </w:p>
    <w:p w14:paraId="1F6E6DA1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6</w:t>
      </w:r>
      <w:r w:rsidRPr="0014777C">
        <w:rPr>
          <w:lang w:val="es-ES_tradnl"/>
        </w:rPr>
        <w:tab/>
      </w:r>
      <w:r>
        <w:rPr>
          <w:lang w:val="es-ES_tradnl"/>
        </w:rPr>
        <w:t xml:space="preserve">que </w:t>
      </w:r>
      <w:r w:rsidRPr="0014777C">
        <w:rPr>
          <w:lang w:val="es-ES_tradnl"/>
        </w:rPr>
        <w:t>preste apoyo a la BDT en lo que se refiere a la formación en IPv6 de ingenieros, operadores de red, proveedores de contenido y proveedores de servicios, sobre todo en países en desarrollo, para que los interesados puedan mejorar sus conocimientos y aplicarlos a la planificación, el despliegue y la explotación en sus respectivas organizaciones,</w:t>
      </w:r>
    </w:p>
    <w:p w14:paraId="5A10F5E7" w14:textId="77777777" w:rsidR="00192903" w:rsidRDefault="00192903" w:rsidP="005E2433">
      <w:pPr>
        <w:pStyle w:val="Call"/>
        <w:rPr>
          <w:lang w:val="es-ES"/>
        </w:rPr>
      </w:pPr>
      <w:r>
        <w:rPr>
          <w:lang w:val="es-ES"/>
        </w:rPr>
        <w:br w:type="page"/>
      </w:r>
    </w:p>
    <w:p w14:paraId="6A706F5C" w14:textId="620E4F9C" w:rsidR="005E2433" w:rsidRPr="0014777C" w:rsidRDefault="005E2433" w:rsidP="005E2433">
      <w:pPr>
        <w:pStyle w:val="Call"/>
        <w:rPr>
          <w:lang w:val="es-ES"/>
        </w:rPr>
      </w:pPr>
      <w:r w:rsidRPr="1C7B5B94">
        <w:rPr>
          <w:lang w:val="es-ES"/>
        </w:rPr>
        <w:lastRenderedPageBreak/>
        <w:t>encarga además al Director de la Oficina de Normalización de las Telecomunicaciones</w:t>
      </w:r>
    </w:p>
    <w:p w14:paraId="766D0D43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 xml:space="preserve">que informe al Consejo de la UIT y a la Asamblea Mundial de Normalización de las Telecomunicaciones de 2028 sobre los avances en las medidas adoptadas con respecto a los </w:t>
      </w:r>
      <w:r w:rsidRPr="0014777C">
        <w:rPr>
          <w:i/>
          <w:iCs/>
          <w:lang w:val="es-ES_tradnl"/>
        </w:rPr>
        <w:t>resuelve</w:t>
      </w:r>
      <w:r w:rsidRPr="0014777C">
        <w:rPr>
          <w:lang w:val="es-ES_tradnl"/>
        </w:rPr>
        <w:t xml:space="preserve"> anteriores;</w:t>
      </w:r>
    </w:p>
    <w:p w14:paraId="50A2B24F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que colabore con las partes interesadas pertinentes para fomentar la disponibilidad de dispositivos de red y equipos en los locales del cliente de doble pila, sobre todo en los países en desarrollo,</w:t>
      </w:r>
    </w:p>
    <w:p w14:paraId="0C9F5AFE" w14:textId="77777777" w:rsidR="005E2433" w:rsidRPr="0014777C" w:rsidRDefault="005E2433" w:rsidP="005E2433">
      <w:pPr>
        <w:pStyle w:val="Call"/>
        <w:rPr>
          <w:lang w:val="es-ES_tradnl"/>
        </w:rPr>
      </w:pPr>
      <w:r w:rsidRPr="0014777C">
        <w:rPr>
          <w:lang w:val="es-ES_tradnl"/>
        </w:rPr>
        <w:t>invita a los Estados Miembros y Miembros de Sector</w:t>
      </w:r>
    </w:p>
    <w:p w14:paraId="58727107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a que, mediante el conocimiento adquirido en la puesta en práctica de la presente Resolución, promuevan iniciativas específicas en el ámbito nacional que fomenten la interacción con organismos gubernamentales, privados, académicos y de la sociedad civil para el intercambio de información necesario a efectos del despliegue de IPv6 en sus respectivos países;</w:t>
      </w:r>
    </w:p>
    <w:p w14:paraId="39670092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a que garanticen que los equipos de red y los equipos y programas informáticos de nueva instalación cuenten con capacidad de IPv6 y que colaboren a este respecto con las organizaciones internacionales pertinentes;</w:t>
      </w:r>
    </w:p>
    <w:p w14:paraId="3F8DB183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a que consideren la posibilidad de comprometerse a desplegar IPv6 y a que informen sobre los progresos alcanzados a ese respecto;</w:t>
      </w:r>
    </w:p>
    <w:p w14:paraId="39DFCB94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>a que preparen los planes de despliegue del IPv6 pertinentes;</w:t>
      </w:r>
    </w:p>
    <w:p w14:paraId="5991B033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>a utilizar el sitio web de la UIT, que ofrece información sobre las actividades relacionadas con IPv6 en todo el mundo;</w:t>
      </w:r>
    </w:p>
    <w:p w14:paraId="452180A6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6</w:t>
      </w:r>
      <w:r w:rsidRPr="0014777C">
        <w:rPr>
          <w:lang w:val="es-ES_tradnl"/>
        </w:rPr>
        <w:tab/>
        <w:t>a considerar cómo los marcos de adquisiciones públicas y los mecanismos de mercado pueden fomentar, facilitar y acelerar su despliegue,</w:t>
      </w:r>
    </w:p>
    <w:p w14:paraId="31513E44" w14:textId="77777777" w:rsidR="005E2433" w:rsidRPr="0014777C" w:rsidRDefault="005E2433" w:rsidP="005E2433">
      <w:pPr>
        <w:pStyle w:val="Call"/>
        <w:rPr>
          <w:lang w:val="es-ES_tradnl"/>
        </w:rPr>
      </w:pPr>
      <w:r w:rsidRPr="0014777C">
        <w:rPr>
          <w:lang w:val="es-ES_tradnl"/>
        </w:rPr>
        <w:t>invita a los Estados Miembros</w:t>
      </w:r>
    </w:p>
    <w:p w14:paraId="14CE8801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a elaborar políticas nacionales para fomentar la actualización tecnológica de los sistemas, a fin de asegurar que los servicios públicos ofrecidos a través del protocolo IP, la infraestructura de comunicaciones, los sitios web y las aplicaciones correspondientes de los Estados Miembros sean compatibles con IPv6;</w:t>
      </w:r>
    </w:p>
    <w:p w14:paraId="524444E9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a considerar la posibilidad de crear programas nacionales para alentar a los proveedores de servicios de Internet y otras organizaciones pertinentes a llevar a cabo la transición a IPv6;</w:t>
      </w:r>
    </w:p>
    <w:p w14:paraId="2014817A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a alentar, con el apoyo de las Oficinas Regionales de la UIT, a los RIR y otras organizaciones regionales a coordinar las actividades de investigación, difusión y capacitación, con la participación de los gobiernos, la industria y la comunidad académica, para facilitar el despliegue y la adopción de IPv6 en sus países y en su región, y a coordinar iniciativas entre regiones para promover su despliegue a escala mundial;</w:t>
      </w:r>
    </w:p>
    <w:p w14:paraId="4DB7EF33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>a estudiar la posibilidad de aprovechar las necesidades de adquisición pública a fin de fomentar el despliegue de IPv6 entre los PSI y otras organizaciones pertinentes, según corresponda;</w:t>
      </w:r>
    </w:p>
    <w:p w14:paraId="2460551D" w14:textId="77777777" w:rsidR="005E2433" w:rsidRPr="0014777C" w:rsidRDefault="005E2433" w:rsidP="005E2433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>a compartir prácticas idóneas, experiencias y conocimientos teóricos y prácticos sobre el despliegue de IPv6;</w:t>
      </w:r>
    </w:p>
    <w:p w14:paraId="64D13C99" w14:textId="3EC4EAC1" w:rsidR="00077A2D" w:rsidRPr="00192903" w:rsidRDefault="005E2433" w:rsidP="00192903">
      <w:pPr>
        <w:pStyle w:val="enumlev1"/>
        <w:rPr>
          <w:lang w:val="es-ES_tradnl"/>
        </w:rPr>
      </w:pPr>
      <w:r w:rsidRPr="0014777C">
        <w:rPr>
          <w:lang w:val="es-ES_tradnl"/>
        </w:rPr>
        <w:t>6</w:t>
      </w:r>
      <w:r w:rsidRPr="0014777C">
        <w:rPr>
          <w:lang w:val="es-ES_tradnl"/>
        </w:rPr>
        <w:tab/>
        <w:t>a considerar medios, por ejemplo, el inicio de consultas entre partes interesadas, para alentar el fomento, la facilitación y la aceleración de la transición a IPv6 y su despliegue.</w:t>
      </w:r>
    </w:p>
    <w:sectPr w:rsidR="00077A2D" w:rsidRPr="00192903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562D" w14:textId="77777777" w:rsidR="00AC4BB8" w:rsidRDefault="00AC4BB8">
      <w:r>
        <w:separator/>
      </w:r>
    </w:p>
  </w:endnote>
  <w:endnote w:type="continuationSeparator" w:id="0">
    <w:p w14:paraId="0DE9726D" w14:textId="77777777" w:rsidR="00AC4BB8" w:rsidRDefault="00A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8C0A" w14:textId="77777777" w:rsidR="002F6393" w:rsidRDefault="002F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5D5" w14:textId="77777777" w:rsidR="002F6393" w:rsidRDefault="002F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F78" w14:textId="77777777" w:rsidR="002F6393" w:rsidRDefault="002F6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77BE6FA5" w:rsidR="00C72AF4" w:rsidRPr="00D50046" w:rsidRDefault="00700AE2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AMNT-24 – Resolución </w:t>
    </w:r>
    <w:r w:rsidR="00D50046">
      <w:fldChar w:fldCharType="begin"/>
    </w:r>
    <w:r w:rsidR="00D50046">
      <w:rPr>
        <w:lang w:val="en-US"/>
      </w:rPr>
      <w:instrText>styleref href</w:instrText>
    </w:r>
    <w:r w:rsidR="00D50046">
      <w:fldChar w:fldCharType="separate"/>
    </w:r>
    <w:r w:rsidR="00E86CCE">
      <w:rPr>
        <w:noProof/>
        <w:lang w:val="en-US"/>
      </w:rPr>
      <w:t>64</w:t>
    </w:r>
    <w:r w:rsidR="00D50046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39A4BE4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F6393">
      <w:rPr>
        <w:lang w:val="en-US"/>
      </w:rPr>
      <w:t xml:space="preserve">AMNT-24 – Resolución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86CCE">
      <w:rPr>
        <w:noProof/>
        <w:lang w:val="en-US"/>
      </w:rPr>
      <w:t>64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1057D250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r w:rsidR="00347EE0">
      <w:rPr>
        <w:lang w:val="en-US"/>
      </w:rPr>
      <w:t>Resolución</w:t>
    </w:r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E86CCE">
      <w:rPr>
        <w:noProof/>
        <w:lang w:val="en-US"/>
      </w:rPr>
      <w:t>64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91F0" w14:textId="77777777" w:rsidR="00AC4BB8" w:rsidRDefault="00AC4BB8">
      <w:r>
        <w:t>____________________</w:t>
      </w:r>
    </w:p>
  </w:footnote>
  <w:footnote w:type="continuationSeparator" w:id="0">
    <w:p w14:paraId="109843B8" w14:textId="77777777" w:rsidR="00AC4BB8" w:rsidRDefault="00AC4BB8">
      <w:r>
        <w:continuationSeparator/>
      </w:r>
    </w:p>
  </w:footnote>
  <w:footnote w:id="1">
    <w:p w14:paraId="16698437" w14:textId="77777777" w:rsidR="005E2433" w:rsidRPr="00452BFF" w:rsidRDefault="005E2433" w:rsidP="005E2433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>
        <w:rPr>
          <w:lang w:val="es-ES"/>
        </w:rPr>
        <w:tab/>
      </w:r>
      <w:r w:rsidRPr="00BC4A5F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FF" w14:textId="77777777" w:rsidR="002F6393" w:rsidRDefault="002F6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51442"/>
    <w:rsid w:val="00077A2D"/>
    <w:rsid w:val="000A381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92903"/>
    <w:rsid w:val="001B4A76"/>
    <w:rsid w:val="001C5240"/>
    <w:rsid w:val="001C604C"/>
    <w:rsid w:val="001F3813"/>
    <w:rsid w:val="002178BA"/>
    <w:rsid w:val="002204D5"/>
    <w:rsid w:val="002210D5"/>
    <w:rsid w:val="00227040"/>
    <w:rsid w:val="00237B40"/>
    <w:rsid w:val="002462EF"/>
    <w:rsid w:val="00246C17"/>
    <w:rsid w:val="00251518"/>
    <w:rsid w:val="00256336"/>
    <w:rsid w:val="002742C3"/>
    <w:rsid w:val="002A37D9"/>
    <w:rsid w:val="002C182C"/>
    <w:rsid w:val="002D5607"/>
    <w:rsid w:val="002E1B7B"/>
    <w:rsid w:val="002E6A20"/>
    <w:rsid w:val="002F389D"/>
    <w:rsid w:val="002F6393"/>
    <w:rsid w:val="00331B2F"/>
    <w:rsid w:val="003374BB"/>
    <w:rsid w:val="00347EE0"/>
    <w:rsid w:val="0035222D"/>
    <w:rsid w:val="0038237B"/>
    <w:rsid w:val="003C3FD9"/>
    <w:rsid w:val="003D116F"/>
    <w:rsid w:val="003D7A8C"/>
    <w:rsid w:val="003F293E"/>
    <w:rsid w:val="00401308"/>
    <w:rsid w:val="00423BC5"/>
    <w:rsid w:val="004568D2"/>
    <w:rsid w:val="004612A7"/>
    <w:rsid w:val="00462F6A"/>
    <w:rsid w:val="00467305"/>
    <w:rsid w:val="0048772A"/>
    <w:rsid w:val="004A1F7E"/>
    <w:rsid w:val="004A58A4"/>
    <w:rsid w:val="004B7CB1"/>
    <w:rsid w:val="004F2E56"/>
    <w:rsid w:val="00501F47"/>
    <w:rsid w:val="00504D1F"/>
    <w:rsid w:val="00514AB2"/>
    <w:rsid w:val="00524FB2"/>
    <w:rsid w:val="0053765D"/>
    <w:rsid w:val="00551B43"/>
    <w:rsid w:val="005569CA"/>
    <w:rsid w:val="00562EF2"/>
    <w:rsid w:val="00574CFF"/>
    <w:rsid w:val="005A48CF"/>
    <w:rsid w:val="005C79AC"/>
    <w:rsid w:val="005D1D45"/>
    <w:rsid w:val="005E2433"/>
    <w:rsid w:val="00601999"/>
    <w:rsid w:val="00611CD0"/>
    <w:rsid w:val="006144AB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0AE2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3EB8"/>
    <w:rsid w:val="007958DD"/>
    <w:rsid w:val="007E0240"/>
    <w:rsid w:val="007F32A3"/>
    <w:rsid w:val="008075CD"/>
    <w:rsid w:val="00837339"/>
    <w:rsid w:val="00843268"/>
    <w:rsid w:val="00845E8E"/>
    <w:rsid w:val="00851E30"/>
    <w:rsid w:val="00856170"/>
    <w:rsid w:val="0088751E"/>
    <w:rsid w:val="008968B6"/>
    <w:rsid w:val="008972C5"/>
    <w:rsid w:val="008B4CF6"/>
    <w:rsid w:val="008B7E0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51280"/>
    <w:rsid w:val="00952426"/>
    <w:rsid w:val="009732A2"/>
    <w:rsid w:val="00974C0C"/>
    <w:rsid w:val="009755D7"/>
    <w:rsid w:val="009C2357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5746D"/>
    <w:rsid w:val="00A65D98"/>
    <w:rsid w:val="00A75601"/>
    <w:rsid w:val="00A83D3D"/>
    <w:rsid w:val="00AA1264"/>
    <w:rsid w:val="00AA2D89"/>
    <w:rsid w:val="00AC4AF1"/>
    <w:rsid w:val="00AC4BB8"/>
    <w:rsid w:val="00AE4C26"/>
    <w:rsid w:val="00B150A9"/>
    <w:rsid w:val="00B2011C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C13B0"/>
    <w:rsid w:val="00BE53DB"/>
    <w:rsid w:val="00BE58E6"/>
    <w:rsid w:val="00BF610E"/>
    <w:rsid w:val="00C12E70"/>
    <w:rsid w:val="00C32F69"/>
    <w:rsid w:val="00C42785"/>
    <w:rsid w:val="00C64078"/>
    <w:rsid w:val="00C706FC"/>
    <w:rsid w:val="00C72AF4"/>
    <w:rsid w:val="00C77A73"/>
    <w:rsid w:val="00CD10C2"/>
    <w:rsid w:val="00CD3865"/>
    <w:rsid w:val="00CE767E"/>
    <w:rsid w:val="00CF024D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125E"/>
    <w:rsid w:val="00DA7D60"/>
    <w:rsid w:val="00DB2AF8"/>
    <w:rsid w:val="00DB350D"/>
    <w:rsid w:val="00DB5592"/>
    <w:rsid w:val="00DC1CCA"/>
    <w:rsid w:val="00DD5D50"/>
    <w:rsid w:val="00DE48B4"/>
    <w:rsid w:val="00E03ABC"/>
    <w:rsid w:val="00E154E2"/>
    <w:rsid w:val="00E20918"/>
    <w:rsid w:val="00E300EC"/>
    <w:rsid w:val="00E51820"/>
    <w:rsid w:val="00E56BAB"/>
    <w:rsid w:val="00E67297"/>
    <w:rsid w:val="00E758D6"/>
    <w:rsid w:val="00E82452"/>
    <w:rsid w:val="00E83C1C"/>
    <w:rsid w:val="00E86CCE"/>
    <w:rsid w:val="00E96B11"/>
    <w:rsid w:val="00E96C27"/>
    <w:rsid w:val="00EA12A2"/>
    <w:rsid w:val="00EA2A26"/>
    <w:rsid w:val="00EB3556"/>
    <w:rsid w:val="00EC4C99"/>
    <w:rsid w:val="00EE1126"/>
    <w:rsid w:val="00EE2FE2"/>
    <w:rsid w:val="00EE4B7A"/>
    <w:rsid w:val="00F0099E"/>
    <w:rsid w:val="00F04A89"/>
    <w:rsid w:val="00F12607"/>
    <w:rsid w:val="00F15F98"/>
    <w:rsid w:val="00F34748"/>
    <w:rsid w:val="00F4281C"/>
    <w:rsid w:val="00F576B9"/>
    <w:rsid w:val="00F67E96"/>
    <w:rsid w:val="00FA70B7"/>
    <w:rsid w:val="00FC2788"/>
    <w:rsid w:val="00FD092B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D5D5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D5D5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uiPriority w:val="99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character" w:customStyle="1" w:styleId="TabletextChar">
    <w:name w:val="Table_text Char"/>
    <w:link w:val="Tabletext"/>
    <w:qFormat/>
    <w:locked/>
    <w:rsid w:val="00DD5D50"/>
    <w:rPr>
      <w:rFonts w:ascii="Times New Roman" w:hAnsi="Times New Roman"/>
      <w:lang w:val="fr-FR" w:eastAsia="en-US"/>
    </w:rPr>
  </w:style>
  <w:style w:type="paragraph" w:customStyle="1" w:styleId="Normalaftertitle00">
    <w:name w:val="Normal after title00"/>
    <w:basedOn w:val="Normal"/>
    <w:next w:val="Normal"/>
    <w:rsid w:val="00DD5D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  <w:style w:type="paragraph" w:customStyle="1" w:styleId="Reasons">
    <w:name w:val="Reasons"/>
    <w:basedOn w:val="Normal"/>
    <w:uiPriority w:val="99"/>
    <w:qFormat/>
    <w:rsid w:val="00077A2D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  <w:style w:type="paragraph" w:customStyle="1" w:styleId="Normalaftertitle01">
    <w:name w:val="Normal after title0"/>
    <w:basedOn w:val="Normal"/>
    <w:next w:val="Normal"/>
    <w:rsid w:val="005E243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4</TotalTime>
  <Pages>6</Pages>
  <Words>1929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32 – Fortalecimiento de los métodos de trabajo electrónicos del Sector de Normalización de las Telecomunicaciones de la UIT</vt:lpstr>
    </vt:vector>
  </TitlesOfParts>
  <Company>ITU</Company>
  <LinksUpToDate>false</LinksUpToDate>
  <CharactersWithSpaces>12251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64 – Fomento, facilitación y aceleración de la transición a la versión 6 del protocolo Internet y su despliegue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8</cp:revision>
  <cp:lastPrinted>2024-11-27T10:26:00Z</cp:lastPrinted>
  <dcterms:created xsi:type="dcterms:W3CDTF">2024-11-27T10:23:00Z</dcterms:created>
  <dcterms:modified xsi:type="dcterms:W3CDTF">2024-11-27T10:28:00Z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