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691A08" w:rsidRPr="0081570A" w14:paraId="2AF4AD7A" w14:textId="77777777" w:rsidTr="00CA058D">
        <w:trPr>
          <w:trHeight w:hRule="exact" w:val="426"/>
        </w:trPr>
        <w:tc>
          <w:tcPr>
            <w:tcW w:w="5070" w:type="dxa"/>
            <w:gridSpan w:val="2"/>
          </w:tcPr>
          <w:p w14:paraId="1DEF2FFD" w14:textId="77777777" w:rsidR="00691A08" w:rsidRPr="0081570A" w:rsidRDefault="00691A08" w:rsidP="00691A08">
            <w:pPr>
              <w:spacing w:before="60"/>
              <w:rPr>
                <w:rFonts w:ascii="Arial" w:eastAsia="Avenir Next W1G Medium" w:hAnsi="Arial" w:cs="Arial"/>
                <w:noProof/>
                <w:szCs w:val="24"/>
              </w:rPr>
            </w:pPr>
            <w:bookmarkStart w:id="0" w:name="c2tope"/>
            <w:bookmarkEnd w:id="0"/>
            <w:r w:rsidRPr="0081570A">
              <w:rPr>
                <w:rFonts w:ascii="Arial" w:hAnsi="Arial" w:cs="Arial"/>
                <w:b/>
                <w:color w:val="009CD6"/>
                <w:spacing w:val="-4"/>
                <w:sz w:val="32"/>
                <w:szCs w:val="32"/>
              </w:rPr>
              <w:t>ITU</w:t>
            </w:r>
            <w:r w:rsidRPr="0081570A">
              <w:rPr>
                <w:rFonts w:ascii="Arial" w:hAnsi="Arial" w:cs="Arial"/>
                <w:b/>
                <w:color w:val="292829"/>
                <w:spacing w:val="-4"/>
                <w:sz w:val="32"/>
                <w:szCs w:val="32"/>
              </w:rPr>
              <w:t>Publications</w:t>
            </w:r>
          </w:p>
        </w:tc>
        <w:tc>
          <w:tcPr>
            <w:tcW w:w="5670" w:type="dxa"/>
          </w:tcPr>
          <w:p w14:paraId="7C10C8CF" w14:textId="77777777" w:rsidR="00691A08" w:rsidRPr="0081570A" w:rsidRDefault="00691A08" w:rsidP="00691A08">
            <w:pPr>
              <w:spacing w:before="60"/>
              <w:jc w:val="right"/>
              <w:rPr>
                <w:rFonts w:ascii="Arial" w:eastAsia="Avenir Next W1G Medium" w:hAnsi="Arial" w:cs="Arial"/>
                <w:sz w:val="24"/>
                <w:szCs w:val="24"/>
              </w:rPr>
            </w:pPr>
            <w:r w:rsidRPr="0081570A">
              <w:rPr>
                <w:rFonts w:ascii="Arial" w:eastAsia="Avenir Next W1G Medium" w:hAnsi="Arial" w:cs="Arial"/>
                <w:b/>
                <w:spacing w:val="-4"/>
                <w:sz w:val="24"/>
                <w:szCs w:val="24"/>
              </w:rPr>
              <w:t>Unión Internacional de Telecomunicaciones</w:t>
            </w:r>
          </w:p>
        </w:tc>
      </w:tr>
      <w:tr w:rsidR="00691A08" w:rsidRPr="0081570A" w14:paraId="179E66D1" w14:textId="77777777" w:rsidTr="00CA058D">
        <w:trPr>
          <w:trHeight w:hRule="exact" w:val="992"/>
        </w:trPr>
        <w:tc>
          <w:tcPr>
            <w:tcW w:w="5070" w:type="dxa"/>
            <w:gridSpan w:val="2"/>
          </w:tcPr>
          <w:p w14:paraId="07AFF9F7" w14:textId="77777777" w:rsidR="00691A08" w:rsidRPr="0081570A" w:rsidRDefault="00691A08" w:rsidP="00691A08">
            <w:pPr>
              <w:spacing w:before="0"/>
              <w:rPr>
                <w:rFonts w:ascii="Arial" w:eastAsia="Avenir Next W1G Medium" w:hAnsi="Arial" w:cs="Arial"/>
                <w:sz w:val="24"/>
                <w:szCs w:val="24"/>
              </w:rPr>
            </w:pPr>
            <w:r w:rsidRPr="0081570A">
              <w:rPr>
                <w:rFonts w:ascii="Arial" w:eastAsia="Avenir Next W1G Medium" w:hAnsi="Arial" w:cs="Arial"/>
                <w:sz w:val="24"/>
                <w:szCs w:val="24"/>
              </w:rPr>
              <w:t>Resoluciones</w:t>
            </w:r>
          </w:p>
        </w:tc>
        <w:tc>
          <w:tcPr>
            <w:tcW w:w="5670" w:type="dxa"/>
          </w:tcPr>
          <w:p w14:paraId="051527A4" w14:textId="77777777" w:rsidR="00691A08" w:rsidRPr="0081570A" w:rsidRDefault="00691A08" w:rsidP="00691A08">
            <w:pPr>
              <w:spacing w:before="0"/>
              <w:jc w:val="right"/>
              <w:rPr>
                <w:rFonts w:ascii="Arial" w:eastAsia="Avenir Next W1G Medium" w:hAnsi="Arial" w:cs="Arial"/>
                <w:sz w:val="24"/>
                <w:szCs w:val="24"/>
              </w:rPr>
            </w:pPr>
            <w:r w:rsidRPr="0081570A">
              <w:rPr>
                <w:rFonts w:ascii="Arial" w:eastAsia="Avenir Next W1G Medium" w:hAnsi="Arial" w:cs="Arial"/>
                <w:sz w:val="24"/>
                <w:szCs w:val="24"/>
              </w:rPr>
              <w:t>Sector de Normalización</w:t>
            </w:r>
          </w:p>
        </w:tc>
      </w:tr>
      <w:tr w:rsidR="00691A08" w:rsidRPr="0081570A" w14:paraId="1CA06445" w14:textId="77777777" w:rsidTr="00CA058D">
        <w:tblPrEx>
          <w:tblCellMar>
            <w:left w:w="85" w:type="dxa"/>
            <w:right w:w="85" w:type="dxa"/>
          </w:tblCellMar>
        </w:tblPrEx>
        <w:trPr>
          <w:gridBefore w:val="1"/>
          <w:wBefore w:w="817" w:type="dxa"/>
          <w:trHeight w:val="709"/>
        </w:trPr>
        <w:tc>
          <w:tcPr>
            <w:tcW w:w="9923" w:type="dxa"/>
            <w:gridSpan w:val="2"/>
          </w:tcPr>
          <w:p w14:paraId="32DB2828" w14:textId="77777777" w:rsidR="00691A08" w:rsidRPr="0081570A" w:rsidRDefault="00691A08" w:rsidP="00691A08">
            <w:pPr>
              <w:spacing w:before="440" w:line="280" w:lineRule="exact"/>
              <w:rPr>
                <w:rFonts w:ascii="Arial" w:hAnsi="Arial" w:cs="Arial"/>
                <w:spacing w:val="-6"/>
                <w:sz w:val="44"/>
                <w:szCs w:val="44"/>
                <w:lang w:val="en-GB"/>
              </w:rPr>
            </w:pPr>
          </w:p>
        </w:tc>
      </w:tr>
      <w:tr w:rsidR="00691A08" w:rsidRPr="0081570A" w14:paraId="5F14DCC7" w14:textId="77777777" w:rsidTr="00CA058D">
        <w:tblPrEx>
          <w:tblCellMar>
            <w:left w:w="85" w:type="dxa"/>
            <w:right w:w="85" w:type="dxa"/>
          </w:tblCellMar>
        </w:tblPrEx>
        <w:trPr>
          <w:gridBefore w:val="1"/>
          <w:wBefore w:w="817" w:type="dxa"/>
          <w:trHeight w:val="129"/>
        </w:trPr>
        <w:tc>
          <w:tcPr>
            <w:tcW w:w="9923" w:type="dxa"/>
            <w:gridSpan w:val="2"/>
          </w:tcPr>
          <w:p w14:paraId="50336775" w14:textId="77777777" w:rsidR="00691A08" w:rsidRPr="0081570A" w:rsidRDefault="00691A08" w:rsidP="00691A08">
            <w:pPr>
              <w:spacing w:after="240" w:line="280" w:lineRule="exact"/>
              <w:rPr>
                <w:rFonts w:ascii="Arial" w:hAnsi="Arial" w:cs="Arial"/>
                <w:b/>
                <w:bCs/>
                <w:spacing w:val="-6"/>
                <w:sz w:val="44"/>
                <w:szCs w:val="44"/>
                <w:lang w:val="en-GB"/>
              </w:rPr>
            </w:pPr>
          </w:p>
        </w:tc>
      </w:tr>
      <w:tr w:rsidR="00691A08" w:rsidRPr="0081570A" w14:paraId="0B5BA990" w14:textId="77777777" w:rsidTr="00CA058D">
        <w:trPr>
          <w:trHeight w:val="80"/>
        </w:trPr>
        <w:tc>
          <w:tcPr>
            <w:tcW w:w="817" w:type="dxa"/>
          </w:tcPr>
          <w:p w14:paraId="3E66A000" w14:textId="77777777" w:rsidR="00691A08" w:rsidRPr="0081570A" w:rsidRDefault="00691A08" w:rsidP="00691A08">
            <w:pPr>
              <w:tabs>
                <w:tab w:val="right" w:pos="9639"/>
              </w:tabs>
              <w:rPr>
                <w:rFonts w:ascii="Arial" w:hAnsi="Arial" w:cs="Arial"/>
                <w:sz w:val="18"/>
              </w:rPr>
            </w:pPr>
          </w:p>
        </w:tc>
        <w:tc>
          <w:tcPr>
            <w:tcW w:w="9923" w:type="dxa"/>
            <w:gridSpan w:val="2"/>
            <w:tcBorders>
              <w:bottom w:val="single" w:sz="8" w:space="0" w:color="auto"/>
            </w:tcBorders>
          </w:tcPr>
          <w:p w14:paraId="0214F473" w14:textId="77777777" w:rsidR="00691A08" w:rsidRPr="0081570A" w:rsidRDefault="00691A08" w:rsidP="00691A08">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81570A">
              <w:rPr>
                <w:rFonts w:ascii="Arial" w:hAnsi="Arial" w:cs="Arial"/>
                <w:sz w:val="36"/>
                <w:szCs w:val="36"/>
                <w:lang w:val="fr-CH"/>
              </w:rPr>
              <w:t xml:space="preserve">ASAMBLEA MUNDIAL DE NORMALIZACIÓN DE LAS TELECOMUNICACIONES </w:t>
            </w:r>
            <w:r w:rsidRPr="0081570A">
              <w:rPr>
                <w:rFonts w:ascii="Arial" w:hAnsi="Arial" w:cs="Arial"/>
                <w:sz w:val="36"/>
                <w:szCs w:val="36"/>
                <w:lang w:val="fr-CH"/>
              </w:rPr>
              <w:br/>
              <w:t>Dubái, 20-29 de noviembre de 2012</w:t>
            </w:r>
          </w:p>
          <w:p w14:paraId="78F28816" w14:textId="77777777" w:rsidR="00691A08" w:rsidRPr="0081570A" w:rsidRDefault="00691A08" w:rsidP="00691A08">
            <w:pPr>
              <w:rPr>
                <w:lang w:val="fr-CH"/>
              </w:rPr>
            </w:pPr>
          </w:p>
        </w:tc>
      </w:tr>
      <w:tr w:rsidR="00691A08" w:rsidRPr="0081570A" w14:paraId="623F415E" w14:textId="77777777" w:rsidTr="00CA058D">
        <w:trPr>
          <w:trHeight w:val="743"/>
        </w:trPr>
        <w:tc>
          <w:tcPr>
            <w:tcW w:w="817" w:type="dxa"/>
          </w:tcPr>
          <w:p w14:paraId="56849D34" w14:textId="77777777" w:rsidR="00691A08" w:rsidRPr="0081570A" w:rsidRDefault="00691A08" w:rsidP="00691A08">
            <w:pPr>
              <w:tabs>
                <w:tab w:val="right" w:pos="9639"/>
              </w:tabs>
              <w:rPr>
                <w:rFonts w:ascii="Arial" w:hAnsi="Arial" w:cs="Arial"/>
                <w:sz w:val="48"/>
                <w:szCs w:val="48"/>
                <w:lang w:val="fr-CH"/>
              </w:rPr>
            </w:pPr>
          </w:p>
        </w:tc>
        <w:tc>
          <w:tcPr>
            <w:tcW w:w="9923" w:type="dxa"/>
            <w:gridSpan w:val="2"/>
            <w:tcBorders>
              <w:top w:val="single" w:sz="8" w:space="0" w:color="auto"/>
            </w:tcBorders>
          </w:tcPr>
          <w:p w14:paraId="388FADF5" w14:textId="6D6CEEA7" w:rsidR="00691A08" w:rsidRPr="0081570A" w:rsidRDefault="00691A08" w:rsidP="00691A08">
            <w:pPr>
              <w:spacing w:before="440"/>
              <w:jc w:val="left"/>
              <w:rPr>
                <w:rFonts w:ascii="Arial" w:hAnsi="Arial" w:cs="Arial"/>
                <w:b/>
                <w:bCs/>
                <w:spacing w:val="-6"/>
                <w:sz w:val="44"/>
                <w:szCs w:val="44"/>
                <w:lang w:val="en-GB"/>
              </w:rPr>
            </w:pPr>
            <w:r w:rsidRPr="0081570A">
              <w:rPr>
                <w:rFonts w:ascii="Arial" w:hAnsi="Arial" w:cs="Arial"/>
                <w:b/>
                <w:bCs/>
                <w:spacing w:val="-6"/>
                <w:sz w:val="44"/>
                <w:szCs w:val="44"/>
                <w:lang w:val="en-GB"/>
              </w:rPr>
              <w:t xml:space="preserve">Resolución </w:t>
            </w:r>
            <w:r>
              <w:rPr>
                <w:rFonts w:ascii="Arial" w:hAnsi="Arial" w:cs="Arial"/>
                <w:b/>
                <w:bCs/>
                <w:spacing w:val="-6"/>
                <w:sz w:val="44"/>
                <w:szCs w:val="44"/>
                <w:lang w:val="en-GB"/>
              </w:rPr>
              <w:t>62</w:t>
            </w:r>
            <w:r w:rsidRPr="0081570A">
              <w:rPr>
                <w:rFonts w:ascii="Arial" w:hAnsi="Arial" w:cs="Arial"/>
                <w:b/>
                <w:bCs/>
                <w:spacing w:val="-6"/>
                <w:sz w:val="44"/>
                <w:szCs w:val="44"/>
                <w:lang w:val="en-GB"/>
              </w:rPr>
              <w:t xml:space="preserve"> – </w:t>
            </w:r>
            <w:r w:rsidRPr="00691A08">
              <w:rPr>
                <w:rFonts w:ascii="Arial" w:hAnsi="Arial" w:cs="Arial"/>
                <w:b/>
                <w:bCs/>
                <w:spacing w:val="-6"/>
                <w:sz w:val="44"/>
                <w:szCs w:val="44"/>
                <w:lang w:val="en-GB"/>
              </w:rPr>
              <w:t>Solución de controversias</w:t>
            </w:r>
          </w:p>
          <w:p w14:paraId="7B115037" w14:textId="77777777" w:rsidR="00691A08" w:rsidRPr="0081570A" w:rsidRDefault="00691A08" w:rsidP="00691A08"/>
        </w:tc>
      </w:tr>
    </w:tbl>
    <w:p w14:paraId="2FBBA8DD" w14:textId="77777777" w:rsidR="00691A08" w:rsidRPr="0081570A" w:rsidRDefault="0032280A" w:rsidP="00691A08">
      <w:pPr>
        <w:tabs>
          <w:tab w:val="clear" w:pos="794"/>
          <w:tab w:val="clear" w:pos="1191"/>
          <w:tab w:val="clear" w:pos="1588"/>
          <w:tab w:val="clear" w:pos="1985"/>
        </w:tabs>
        <w:overflowPunct/>
        <w:autoSpaceDE/>
        <w:autoSpaceDN/>
        <w:adjustRightInd/>
        <w:spacing w:before="0"/>
        <w:jc w:val="center"/>
        <w:textAlignment w:val="auto"/>
        <w:rPr>
          <w:sz w:val="18"/>
        </w:rPr>
      </w:pPr>
      <w:r>
        <w:rPr>
          <w:noProof/>
        </w:rPr>
        <w:pict w14:anchorId="3D4F1541">
          <v:group id="Group 30" o:spid="_x0000_s1026" style="position:absolute;left:0;text-align:left;margin-left:.5pt;margin-top:71.55pt;width:612pt;height:18.1pt;z-index:-251658240;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w:r>
      <w:r w:rsidR="00691A08" w:rsidRPr="0081570A">
        <w:rPr>
          <w:noProof/>
        </w:rPr>
        <w:drawing>
          <wp:anchor distT="0" distB="0" distL="0" distR="0" simplePos="0" relativeHeight="251660288" behindDoc="1" locked="0" layoutInCell="1" allowOverlap="1" wp14:anchorId="5EAF26CA" wp14:editId="006FFA57">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4D49E779" w14:textId="77777777" w:rsidR="00691A08" w:rsidRPr="0081570A" w:rsidRDefault="00691A08" w:rsidP="00691A08">
      <w:pPr>
        <w:jc w:val="left"/>
        <w:sectPr w:rsidR="00691A08" w:rsidRPr="0081570A" w:rsidSect="00691A08">
          <w:headerReference w:type="even" r:id="rId9"/>
          <w:headerReference w:type="default" r:id="rId10"/>
          <w:pgSz w:w="11907" w:h="16840" w:code="9"/>
          <w:pgMar w:top="1038" w:right="601" w:bottom="1860" w:left="618" w:header="567" w:footer="284" w:gutter="0"/>
          <w:pgNumType w:start="1"/>
          <w:cols w:space="720"/>
          <w:titlePg/>
          <w:docGrid w:linePitch="326"/>
        </w:sectPr>
      </w:pPr>
    </w:p>
    <w:p w14:paraId="2741E7D9" w14:textId="77777777" w:rsidR="00691A08" w:rsidRPr="0081570A" w:rsidRDefault="00691A08" w:rsidP="00691A08">
      <w:pPr>
        <w:spacing w:before="480"/>
        <w:jc w:val="center"/>
        <w:rPr>
          <w:lang w:val="en-US"/>
        </w:rPr>
      </w:pPr>
      <w:bookmarkStart w:id="1" w:name="irecnoe"/>
      <w:bookmarkEnd w:id="1"/>
      <w:r w:rsidRPr="0081570A">
        <w:lastRenderedPageBreak/>
        <w:t>PREFACIO</w:t>
      </w:r>
    </w:p>
    <w:p w14:paraId="26682FF9" w14:textId="77777777" w:rsidR="00691A08" w:rsidRPr="0081570A" w:rsidRDefault="00691A08" w:rsidP="00691A08">
      <w:pPr>
        <w:rPr>
          <w:rFonts w:eastAsia="SimSun"/>
          <w:sz w:val="20"/>
          <w:lang w:val="es-ES"/>
        </w:rPr>
      </w:pPr>
      <w:r w:rsidRPr="0081570A">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06052985" w14:textId="77777777" w:rsidR="00691A08" w:rsidRPr="0081570A" w:rsidRDefault="00691A08" w:rsidP="00691A08">
      <w:pPr>
        <w:rPr>
          <w:rFonts w:eastAsia="SimSun"/>
          <w:sz w:val="20"/>
          <w:lang w:val="es-ES"/>
        </w:rPr>
      </w:pPr>
      <w:r w:rsidRPr="0081570A">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F16806D" w14:textId="77777777" w:rsidR="00691A08" w:rsidRPr="0081570A" w:rsidRDefault="00691A08" w:rsidP="00691A08">
      <w:pPr>
        <w:rPr>
          <w:rFonts w:eastAsia="SimSun"/>
          <w:sz w:val="20"/>
          <w:lang w:val="es-ES"/>
        </w:rPr>
      </w:pPr>
      <w:r w:rsidRPr="0081570A">
        <w:rPr>
          <w:rFonts w:eastAsia="SimSun"/>
          <w:sz w:val="20"/>
          <w:lang w:val="es-ES"/>
        </w:rPr>
        <w:t>La aprobación de Recomendaciones por los Miembros del UIT-T es el objeto del procedimiento establecido en la Resolución 1 de la AMNT.</w:t>
      </w:r>
    </w:p>
    <w:p w14:paraId="6D499668" w14:textId="77777777" w:rsidR="00691A08" w:rsidRPr="0081570A" w:rsidRDefault="00691A08" w:rsidP="00691A08">
      <w:pPr>
        <w:rPr>
          <w:rFonts w:eastAsia="SimSun"/>
          <w:sz w:val="20"/>
          <w:lang w:val="es-ES"/>
        </w:rPr>
      </w:pPr>
      <w:r w:rsidRPr="0081570A">
        <w:rPr>
          <w:rFonts w:eastAsia="SimSun"/>
          <w:sz w:val="20"/>
          <w:lang w:val="es-ES"/>
        </w:rPr>
        <w:t>En ciertos sectores de la tecnología de la información que corresponden a la esfera de competencia del UIT-T, se preparan las normas necesarias en colaboración con la ISO y la CEI.</w:t>
      </w:r>
    </w:p>
    <w:p w14:paraId="3B1C188E" w14:textId="77777777" w:rsidR="00691A08" w:rsidRPr="0081570A" w:rsidRDefault="00691A08" w:rsidP="00691A08">
      <w:pPr>
        <w:spacing w:line="240" w:lineRule="exact"/>
        <w:jc w:val="center"/>
        <w:rPr>
          <w:sz w:val="20"/>
          <w:lang w:val="fr-CH"/>
        </w:rPr>
      </w:pPr>
    </w:p>
    <w:p w14:paraId="3FE6D455" w14:textId="77777777" w:rsidR="00691A08" w:rsidRPr="0081570A" w:rsidRDefault="00691A08" w:rsidP="00691A08">
      <w:pPr>
        <w:spacing w:line="240" w:lineRule="exact"/>
        <w:jc w:val="center"/>
        <w:rPr>
          <w:sz w:val="20"/>
          <w:lang w:val="fr-CH"/>
        </w:rPr>
      </w:pPr>
    </w:p>
    <w:p w14:paraId="156C8511" w14:textId="77777777" w:rsidR="00691A08" w:rsidRPr="0081570A" w:rsidRDefault="00691A08" w:rsidP="00691A08">
      <w:pPr>
        <w:spacing w:line="240" w:lineRule="exact"/>
        <w:jc w:val="center"/>
        <w:rPr>
          <w:sz w:val="20"/>
          <w:lang w:val="fr-CH"/>
        </w:rPr>
      </w:pPr>
    </w:p>
    <w:p w14:paraId="7F399BE3" w14:textId="77777777" w:rsidR="00691A08" w:rsidRPr="0081570A" w:rsidRDefault="00691A08" w:rsidP="00691A08">
      <w:pPr>
        <w:spacing w:line="240" w:lineRule="exact"/>
        <w:jc w:val="center"/>
        <w:rPr>
          <w:sz w:val="20"/>
          <w:lang w:val="fr-CH"/>
        </w:rPr>
      </w:pPr>
    </w:p>
    <w:p w14:paraId="601E54F0" w14:textId="77777777" w:rsidR="00691A08" w:rsidRPr="0081570A" w:rsidRDefault="00691A08" w:rsidP="00691A08">
      <w:pPr>
        <w:spacing w:line="240" w:lineRule="exact"/>
        <w:jc w:val="center"/>
        <w:rPr>
          <w:sz w:val="20"/>
          <w:lang w:val="fr-CH"/>
        </w:rPr>
      </w:pPr>
    </w:p>
    <w:p w14:paraId="06AD7699" w14:textId="77777777" w:rsidR="00691A08" w:rsidRPr="0081570A" w:rsidRDefault="00691A08" w:rsidP="00691A08">
      <w:pPr>
        <w:spacing w:line="240" w:lineRule="exact"/>
        <w:jc w:val="center"/>
        <w:rPr>
          <w:sz w:val="20"/>
          <w:lang w:val="fr-CH"/>
        </w:rPr>
      </w:pPr>
    </w:p>
    <w:p w14:paraId="47AB8547" w14:textId="77777777" w:rsidR="00691A08" w:rsidRPr="0081570A" w:rsidRDefault="00691A08" w:rsidP="00691A08">
      <w:pPr>
        <w:spacing w:line="240" w:lineRule="exact"/>
        <w:jc w:val="center"/>
        <w:rPr>
          <w:sz w:val="20"/>
          <w:lang w:val="fr-CH"/>
        </w:rPr>
      </w:pPr>
    </w:p>
    <w:p w14:paraId="1A24C964" w14:textId="77777777" w:rsidR="00691A08" w:rsidRPr="0081570A" w:rsidRDefault="00691A08" w:rsidP="00691A08">
      <w:pPr>
        <w:spacing w:line="240" w:lineRule="exact"/>
        <w:jc w:val="center"/>
        <w:rPr>
          <w:sz w:val="20"/>
          <w:lang w:val="fr-CH"/>
        </w:rPr>
      </w:pPr>
    </w:p>
    <w:p w14:paraId="104EB794" w14:textId="77777777" w:rsidR="00691A08" w:rsidRPr="0081570A" w:rsidRDefault="00691A08" w:rsidP="00691A08">
      <w:pPr>
        <w:spacing w:line="240" w:lineRule="exact"/>
        <w:jc w:val="center"/>
        <w:rPr>
          <w:sz w:val="20"/>
          <w:lang w:val="fr-CH"/>
        </w:rPr>
      </w:pPr>
    </w:p>
    <w:p w14:paraId="36E56FB9" w14:textId="77777777" w:rsidR="00691A08" w:rsidRPr="0081570A" w:rsidRDefault="00691A08" w:rsidP="00691A08">
      <w:pPr>
        <w:spacing w:line="240" w:lineRule="exact"/>
        <w:jc w:val="center"/>
        <w:rPr>
          <w:sz w:val="20"/>
          <w:lang w:val="fr-CH"/>
        </w:rPr>
      </w:pPr>
    </w:p>
    <w:p w14:paraId="1AFBE693" w14:textId="77777777" w:rsidR="00691A08" w:rsidRPr="0081570A" w:rsidRDefault="00691A08" w:rsidP="00691A08">
      <w:pPr>
        <w:spacing w:line="240" w:lineRule="exact"/>
        <w:jc w:val="center"/>
        <w:rPr>
          <w:sz w:val="20"/>
          <w:lang w:val="fr-CH"/>
        </w:rPr>
      </w:pPr>
    </w:p>
    <w:p w14:paraId="4CC94B20" w14:textId="77777777" w:rsidR="00691A08" w:rsidRPr="0081570A" w:rsidRDefault="00691A08" w:rsidP="00691A08">
      <w:pPr>
        <w:spacing w:line="240" w:lineRule="exact"/>
        <w:jc w:val="center"/>
        <w:rPr>
          <w:sz w:val="20"/>
          <w:lang w:val="fr-CH"/>
        </w:rPr>
      </w:pPr>
    </w:p>
    <w:p w14:paraId="6153ED87" w14:textId="77777777" w:rsidR="00691A08" w:rsidRPr="0081570A" w:rsidRDefault="00691A08" w:rsidP="00691A08">
      <w:pPr>
        <w:spacing w:line="240" w:lineRule="exact"/>
        <w:jc w:val="center"/>
        <w:rPr>
          <w:sz w:val="20"/>
          <w:lang w:val="fr-CH"/>
        </w:rPr>
      </w:pPr>
    </w:p>
    <w:p w14:paraId="6BCC4B40" w14:textId="77777777" w:rsidR="00691A08" w:rsidRPr="0081570A" w:rsidRDefault="00691A08" w:rsidP="00691A08">
      <w:pPr>
        <w:spacing w:line="240" w:lineRule="exact"/>
        <w:jc w:val="center"/>
        <w:rPr>
          <w:sz w:val="20"/>
          <w:lang w:val="fr-CH"/>
        </w:rPr>
      </w:pPr>
    </w:p>
    <w:p w14:paraId="176FD615" w14:textId="77777777" w:rsidR="00691A08" w:rsidRPr="0081570A" w:rsidRDefault="00691A08" w:rsidP="00691A08">
      <w:pPr>
        <w:spacing w:line="240" w:lineRule="exact"/>
        <w:jc w:val="center"/>
        <w:rPr>
          <w:sz w:val="20"/>
          <w:lang w:val="fr-CH"/>
        </w:rPr>
      </w:pPr>
    </w:p>
    <w:p w14:paraId="3874929C" w14:textId="77777777" w:rsidR="00691A08" w:rsidRPr="0081570A" w:rsidRDefault="00691A08" w:rsidP="00691A08">
      <w:pPr>
        <w:spacing w:line="240" w:lineRule="exact"/>
        <w:jc w:val="center"/>
        <w:rPr>
          <w:sz w:val="20"/>
          <w:lang w:val="fr-CH"/>
        </w:rPr>
      </w:pPr>
    </w:p>
    <w:p w14:paraId="6B29403D" w14:textId="77777777" w:rsidR="00691A08" w:rsidRPr="0081570A" w:rsidRDefault="00691A08" w:rsidP="00691A08">
      <w:pPr>
        <w:spacing w:line="240" w:lineRule="exact"/>
        <w:jc w:val="center"/>
        <w:rPr>
          <w:sz w:val="20"/>
          <w:lang w:val="fr-CH"/>
        </w:rPr>
      </w:pPr>
    </w:p>
    <w:p w14:paraId="28924EA3" w14:textId="77777777" w:rsidR="00691A08" w:rsidRPr="0081570A" w:rsidRDefault="00691A08" w:rsidP="00691A08">
      <w:pPr>
        <w:spacing w:line="240" w:lineRule="exact"/>
        <w:jc w:val="center"/>
        <w:rPr>
          <w:sz w:val="20"/>
          <w:lang w:val="fr-CH"/>
        </w:rPr>
      </w:pPr>
    </w:p>
    <w:p w14:paraId="0FDF7B0A" w14:textId="77777777" w:rsidR="00691A08" w:rsidRPr="0081570A" w:rsidRDefault="00691A08" w:rsidP="00691A08">
      <w:pPr>
        <w:spacing w:line="240" w:lineRule="exact"/>
        <w:jc w:val="center"/>
        <w:rPr>
          <w:sz w:val="20"/>
          <w:lang w:val="fr-CH"/>
        </w:rPr>
      </w:pPr>
    </w:p>
    <w:p w14:paraId="0B7FEE7A" w14:textId="77777777" w:rsidR="00691A08" w:rsidRPr="0081570A" w:rsidRDefault="00691A08" w:rsidP="00691A08">
      <w:pPr>
        <w:spacing w:line="240" w:lineRule="exact"/>
        <w:jc w:val="center"/>
        <w:rPr>
          <w:sz w:val="20"/>
          <w:lang w:val="fr-CH"/>
        </w:rPr>
      </w:pPr>
    </w:p>
    <w:p w14:paraId="45EC6881" w14:textId="77777777" w:rsidR="00691A08" w:rsidRPr="0081570A" w:rsidRDefault="00691A08" w:rsidP="00691A08">
      <w:pPr>
        <w:spacing w:line="240" w:lineRule="exact"/>
        <w:jc w:val="center"/>
        <w:rPr>
          <w:sz w:val="20"/>
          <w:lang w:val="fr-CH"/>
        </w:rPr>
      </w:pPr>
    </w:p>
    <w:p w14:paraId="197200D2" w14:textId="77777777" w:rsidR="00691A08" w:rsidRPr="0081570A" w:rsidRDefault="00691A08" w:rsidP="00691A08">
      <w:pPr>
        <w:spacing w:line="240" w:lineRule="exact"/>
        <w:jc w:val="center"/>
        <w:rPr>
          <w:sz w:val="20"/>
          <w:lang w:val="fr-CH"/>
        </w:rPr>
      </w:pPr>
    </w:p>
    <w:p w14:paraId="4596379A" w14:textId="77777777" w:rsidR="00691A08" w:rsidRPr="0081570A" w:rsidRDefault="00691A08" w:rsidP="00691A08">
      <w:pPr>
        <w:spacing w:line="240" w:lineRule="exact"/>
        <w:jc w:val="center"/>
        <w:rPr>
          <w:sz w:val="20"/>
          <w:lang w:val="fr-CH"/>
        </w:rPr>
      </w:pPr>
    </w:p>
    <w:p w14:paraId="2EDFFB71" w14:textId="77777777" w:rsidR="00691A08" w:rsidRPr="0081570A" w:rsidRDefault="00691A08" w:rsidP="00691A08">
      <w:pPr>
        <w:spacing w:line="240" w:lineRule="exact"/>
        <w:jc w:val="center"/>
        <w:rPr>
          <w:sz w:val="20"/>
          <w:lang w:val="fr-CH"/>
        </w:rPr>
      </w:pPr>
    </w:p>
    <w:p w14:paraId="61BDF87D" w14:textId="77777777" w:rsidR="00691A08" w:rsidRPr="0081570A" w:rsidRDefault="00691A08" w:rsidP="00691A08">
      <w:pPr>
        <w:rPr>
          <w:sz w:val="20"/>
          <w:lang w:val="fr-CH"/>
        </w:rPr>
      </w:pPr>
    </w:p>
    <w:p w14:paraId="4FF2B677" w14:textId="77777777" w:rsidR="00691A08" w:rsidRPr="0081570A" w:rsidRDefault="00691A08" w:rsidP="00691A08">
      <w:pPr>
        <w:jc w:val="center"/>
        <w:rPr>
          <w:sz w:val="20"/>
          <w:lang w:val="fr-CH"/>
        </w:rPr>
      </w:pPr>
      <w:r w:rsidRPr="0081570A">
        <w:rPr>
          <w:sz w:val="20"/>
          <w:lang w:val="en-GB"/>
        </w:rPr>
        <w:sym w:font="Symbol" w:char="F0E3"/>
      </w:r>
      <w:r w:rsidRPr="0081570A">
        <w:rPr>
          <w:sz w:val="20"/>
          <w:lang w:val="fr-CH"/>
        </w:rPr>
        <w:t> UIT 2013</w:t>
      </w:r>
    </w:p>
    <w:p w14:paraId="2D4ED204" w14:textId="77777777" w:rsidR="00691A08" w:rsidRPr="0081570A" w:rsidRDefault="00691A08" w:rsidP="00691A08">
      <w:pPr>
        <w:jc w:val="center"/>
        <w:rPr>
          <w:sz w:val="20"/>
          <w:lang w:val="en-GB"/>
        </w:rPr>
      </w:pPr>
      <w:r w:rsidRPr="0081570A">
        <w:rPr>
          <w:sz w:val="20"/>
          <w:lang w:val="en-GB"/>
        </w:rPr>
        <w:t>Esta resolución se volvió a publicar en 2024 para actualizar la portada. No se introdujeron otras modificaciones.</w:t>
      </w:r>
    </w:p>
    <w:p w14:paraId="43DBB4AD" w14:textId="77777777" w:rsidR="00691A08" w:rsidRPr="0081570A" w:rsidRDefault="00691A08" w:rsidP="00691A08">
      <w:pPr>
        <w:rPr>
          <w:sz w:val="20"/>
        </w:rPr>
      </w:pPr>
      <w:r w:rsidRPr="0081570A">
        <w:rPr>
          <w:sz w:val="20"/>
        </w:rPr>
        <w:t>Reservados todos los derechos. Ninguna parte de esta publicación puede reproducirse por ningún procedimiento sin previa autorización escrita por parte de la UIT.</w:t>
      </w:r>
    </w:p>
    <w:p w14:paraId="002F9AB7" w14:textId="77777777" w:rsidR="00691A08" w:rsidRPr="003518D5" w:rsidRDefault="00691A08" w:rsidP="00C2286E">
      <w:pPr>
        <w:tabs>
          <w:tab w:val="clear" w:pos="794"/>
          <w:tab w:val="clear" w:pos="1191"/>
          <w:tab w:val="clear" w:pos="1588"/>
          <w:tab w:val="clear" w:pos="1985"/>
        </w:tabs>
        <w:overflowPunct/>
        <w:textAlignment w:val="auto"/>
      </w:pPr>
    </w:p>
    <w:p w14:paraId="7DC361E7" w14:textId="77777777"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14:paraId="6A4315A8" w14:textId="001D74E2" w:rsidR="00136437" w:rsidRPr="00136437" w:rsidRDefault="00136437" w:rsidP="00136437">
      <w:pPr>
        <w:pStyle w:val="ResNo"/>
        <w:jc w:val="center"/>
        <w:rPr>
          <w:b w:val="0"/>
        </w:rPr>
      </w:pPr>
      <w:bookmarkStart w:id="2" w:name="irecnos"/>
      <w:bookmarkEnd w:id="2"/>
      <w:r w:rsidRPr="00136437">
        <w:rPr>
          <w:b w:val="0"/>
        </w:rPr>
        <w:lastRenderedPageBreak/>
        <w:t xml:space="preserve">RESOLUCIÓN </w:t>
      </w:r>
      <w:r w:rsidRPr="00136437">
        <w:rPr>
          <w:rStyle w:val="href"/>
          <w:b w:val="0"/>
        </w:rPr>
        <w:t>62</w:t>
      </w:r>
      <w:r w:rsidRPr="00136437">
        <w:rPr>
          <w:b w:val="0"/>
        </w:rPr>
        <w:t xml:space="preserve"> (</w:t>
      </w:r>
      <w:r w:rsidR="00691A08" w:rsidRPr="00136437">
        <w:rPr>
          <w:b w:val="0"/>
        </w:rPr>
        <w:t>Rev</w:t>
      </w:r>
      <w:r w:rsidRPr="00136437">
        <w:rPr>
          <w:b w:val="0"/>
        </w:rPr>
        <w:t xml:space="preserve">. </w:t>
      </w:r>
      <w:r w:rsidR="00691A08" w:rsidRPr="00136437">
        <w:rPr>
          <w:b w:val="0"/>
        </w:rPr>
        <w:t>Dub</w:t>
      </w:r>
      <w:r w:rsidR="00691A08">
        <w:rPr>
          <w:b w:val="0"/>
        </w:rPr>
        <w:t>á</w:t>
      </w:r>
      <w:r w:rsidR="00691A08" w:rsidRPr="00136437">
        <w:rPr>
          <w:b w:val="0"/>
        </w:rPr>
        <w:t>i</w:t>
      </w:r>
      <w:r w:rsidRPr="00136437">
        <w:rPr>
          <w:b w:val="0"/>
        </w:rPr>
        <w:t>, 2012)</w:t>
      </w:r>
    </w:p>
    <w:p w14:paraId="2AA2C312" w14:textId="77777777" w:rsidR="00136437" w:rsidRPr="001F5887" w:rsidRDefault="00136437" w:rsidP="00136437">
      <w:pPr>
        <w:pStyle w:val="Restitle"/>
      </w:pPr>
      <w:r w:rsidRPr="001F5887">
        <w:t>Solución de controversias</w:t>
      </w:r>
    </w:p>
    <w:p w14:paraId="412258BD" w14:textId="54A326A6" w:rsidR="00136437" w:rsidRPr="001F5887" w:rsidRDefault="00136437" w:rsidP="00136437">
      <w:pPr>
        <w:pStyle w:val="Resref"/>
        <w:rPr>
          <w:i w:val="0"/>
          <w:iCs/>
        </w:rPr>
      </w:pPr>
      <w:r w:rsidRPr="001F5887">
        <w:rPr>
          <w:iCs/>
        </w:rPr>
        <w:t>(Johannesburgo, 2008; Dub</w:t>
      </w:r>
      <w:r w:rsidR="00691A08">
        <w:rPr>
          <w:iCs/>
        </w:rPr>
        <w:t>á</w:t>
      </w:r>
      <w:r w:rsidRPr="001F5887">
        <w:rPr>
          <w:iCs/>
        </w:rPr>
        <w:t>i, 2012)</w:t>
      </w:r>
    </w:p>
    <w:p w14:paraId="5DB32446" w14:textId="54F0E970" w:rsidR="00136437" w:rsidRPr="001F5887" w:rsidRDefault="00136437" w:rsidP="00136437">
      <w:pPr>
        <w:pStyle w:val="Normalaftertitle0"/>
        <w:rPr>
          <w:lang w:val="es-ES_tradnl"/>
        </w:rPr>
      </w:pPr>
      <w:r w:rsidRPr="001F5887">
        <w:rPr>
          <w:lang w:val="es-ES_tradnl"/>
        </w:rPr>
        <w:t>La Asamblea Mundial de Normalización de las Telecomunicaciones (Dub</w:t>
      </w:r>
      <w:r w:rsidR="00691A08">
        <w:rPr>
          <w:lang w:val="es-ES_tradnl"/>
        </w:rPr>
        <w:t>á</w:t>
      </w:r>
      <w:r w:rsidRPr="001F5887">
        <w:rPr>
          <w:lang w:val="es-ES_tradnl"/>
        </w:rPr>
        <w:t>i, 2012),</w:t>
      </w:r>
    </w:p>
    <w:p w14:paraId="3C83748F" w14:textId="77777777" w:rsidR="00136437" w:rsidRPr="00FA2F81" w:rsidRDefault="00136437" w:rsidP="00136437">
      <w:pPr>
        <w:pStyle w:val="Call"/>
        <w:rPr>
          <w:rtl/>
        </w:rPr>
      </w:pPr>
      <w:r w:rsidRPr="001F5887">
        <w:t>considerando</w:t>
      </w:r>
    </w:p>
    <w:p w14:paraId="1A1B77B4" w14:textId="77777777" w:rsidR="00136437" w:rsidRPr="001F5887" w:rsidRDefault="00136437" w:rsidP="00136437">
      <w:r w:rsidRPr="001F5887">
        <w:rPr>
          <w:i/>
          <w:iCs/>
        </w:rPr>
        <w:t>a)</w:t>
      </w:r>
      <w:r w:rsidRPr="001F5887">
        <w:tab/>
        <w:t>que las tasas de penetración de Internet siguen siendo bajas en los países en desarrollo</w:t>
      </w:r>
      <w:r w:rsidRPr="001F5887">
        <w:rPr>
          <w:rStyle w:val="FootnoteReference"/>
        </w:rPr>
        <w:footnoteReference w:customMarkFollows="1" w:id="1"/>
        <w:t>1</w:t>
      </w:r>
      <w:r w:rsidRPr="001F5887">
        <w:t>, sobre todo en comparación con las tasas de penetración de la telefonía móvil, y que el ritmo de aumento de la penetración de Internet en los países en desarrollo también es muy bajo si se compara con el correspondiente a la telefonía móvil;</w:t>
      </w:r>
    </w:p>
    <w:p w14:paraId="2ACC017E" w14:textId="77777777" w:rsidR="00136437" w:rsidRPr="001F5887" w:rsidRDefault="00136437" w:rsidP="00136437">
      <w:r w:rsidRPr="001F5887">
        <w:rPr>
          <w:i/>
          <w:iCs/>
        </w:rPr>
        <w:t>b)</w:t>
      </w:r>
      <w:r w:rsidRPr="001F5887">
        <w:tab/>
        <w:t>el creciente desequilibrio que existe actualmente entre los países desarrollados y en desarrollo en lo que respecta a su crecimiento económico y sus progresos tecnológicos;</w:t>
      </w:r>
    </w:p>
    <w:p w14:paraId="6F621517" w14:textId="77777777" w:rsidR="00136437" w:rsidRPr="001F5887" w:rsidRDefault="00136437" w:rsidP="00136437">
      <w:r w:rsidRPr="001F5887">
        <w:rPr>
          <w:i/>
          <w:iCs/>
        </w:rPr>
        <w:t>c)</w:t>
      </w:r>
      <w:r w:rsidRPr="001F5887">
        <w:tab/>
        <w:t xml:space="preserve">que se han proporcionado numerosas explicaciones a los fenómenos arriba mencionados, </w:t>
      </w:r>
    </w:p>
    <w:p w14:paraId="20CFF6CA" w14:textId="77777777" w:rsidR="00136437" w:rsidRPr="001F5887" w:rsidRDefault="00136437" w:rsidP="00136437">
      <w:pPr>
        <w:pStyle w:val="Call"/>
      </w:pPr>
      <w:r w:rsidRPr="001F5887">
        <w:t>reconociendo</w:t>
      </w:r>
    </w:p>
    <w:p w14:paraId="653B585B" w14:textId="77777777" w:rsidR="00136437" w:rsidRPr="001F5887" w:rsidRDefault="00136437" w:rsidP="00136437">
      <w:r w:rsidRPr="001F5887">
        <w:rPr>
          <w:i/>
          <w:iCs/>
        </w:rPr>
        <w:t>a)</w:t>
      </w:r>
      <w:r w:rsidRPr="001F5887">
        <w:tab/>
        <w:t>que el continuo subdesarrollo social y económico de una gran parte del mundo es uno de los problemas más graves que afectan no sólo a los países afectados, sino también a la comunidad internacional en su conjunto;</w:t>
      </w:r>
    </w:p>
    <w:p w14:paraId="30B98502" w14:textId="77777777" w:rsidR="00136437" w:rsidRPr="001F5887" w:rsidRDefault="00136437" w:rsidP="00136437">
      <w:r w:rsidRPr="001F5887">
        <w:rPr>
          <w:i/>
          <w:iCs/>
        </w:rPr>
        <w:t>b)</w:t>
      </w:r>
      <w:r w:rsidRPr="001F5887">
        <w:tab/>
        <w:t>que el desarrollo de la infraestructura y de los servicios de telecomunicaciones/la tecnología de la información y la comunicación (TIC) es una condición previa para el desarrollo económico y social;</w:t>
      </w:r>
    </w:p>
    <w:p w14:paraId="5830716C" w14:textId="77777777" w:rsidR="00136437" w:rsidRPr="001F5887" w:rsidRDefault="00136437" w:rsidP="00136437">
      <w:r w:rsidRPr="001F5887">
        <w:rPr>
          <w:i/>
          <w:iCs/>
        </w:rPr>
        <w:t>c)</w:t>
      </w:r>
      <w:r w:rsidRPr="001F5887">
        <w:tab/>
        <w:t>que un acceso desigual a los medios de telecomunicación a escala mundial tiene como resultado un agravamiento de las disparidades entre los países desarrollados y en desarrollo en lo que atañe al crecimiento económico y al progreso tecnológico;</w:t>
      </w:r>
    </w:p>
    <w:p w14:paraId="557C11F4" w14:textId="77777777" w:rsidR="00136437" w:rsidRPr="001F5887" w:rsidRDefault="00136437" w:rsidP="00136437">
      <w:r w:rsidRPr="001F5887">
        <w:rPr>
          <w:i/>
          <w:iCs/>
        </w:rPr>
        <w:t>d)</w:t>
      </w:r>
      <w:r w:rsidRPr="001F5887">
        <w:tab/>
        <w:t>que muchos países han manifestado su acuerdo con la cláusula sobre solución de controversias en materia de interconexión, consignada en el documento de referencia de la Organización Mundial del Comercio (OMC) sobre definiciones y principios relativos al marco reglamentario de los servicios de telecomunicaciones básicas,</w:t>
      </w:r>
    </w:p>
    <w:p w14:paraId="13C98FB1" w14:textId="77777777" w:rsidR="00136437" w:rsidRPr="001F5887" w:rsidRDefault="00136437" w:rsidP="00136437">
      <w:pPr>
        <w:pStyle w:val="Call"/>
      </w:pPr>
      <w:r w:rsidRPr="001F5887">
        <w:t>observando</w:t>
      </w:r>
    </w:p>
    <w:p w14:paraId="369A28CE" w14:textId="77777777" w:rsidR="00136437" w:rsidRPr="001F5887" w:rsidRDefault="00136437" w:rsidP="00136437">
      <w:r w:rsidRPr="001F5887">
        <w:t>la contribución de la Comisión de Estudio 3 del Sector de Normalización de las Telecomunicaciones de la UIT (UIT-T) a la segunda reunión del Foro para la Gobernanza de Internet,</w:t>
      </w:r>
    </w:p>
    <w:p w14:paraId="531C46D1" w14:textId="77777777" w:rsidR="00136437" w:rsidRPr="001F5887" w:rsidRDefault="00136437" w:rsidP="00136437">
      <w:pPr>
        <w:pStyle w:val="Call"/>
      </w:pPr>
      <w:r w:rsidRPr="001F5887">
        <w:t>resuelve encargar a la Comisión de Estudio 3 del UIT-T</w:t>
      </w:r>
    </w:p>
    <w:p w14:paraId="7ED5B3E9" w14:textId="77777777" w:rsidR="00136437" w:rsidRPr="001F5887" w:rsidRDefault="00136437" w:rsidP="00136437">
      <w:r w:rsidRPr="001F5887">
        <w:t>1</w:t>
      </w:r>
      <w:r w:rsidRPr="001F5887">
        <w:tab/>
        <w:t>que acelere su labor en el ámbito de la conectividad internacional, con miras a facilitar la aplicación de las Resoluciones pertinentes;</w:t>
      </w:r>
    </w:p>
    <w:p w14:paraId="6763F8BD" w14:textId="77777777" w:rsidR="00136437" w:rsidRPr="001F5887" w:rsidRDefault="00136437" w:rsidP="00136437">
      <w:r w:rsidRPr="001F5887">
        <w:t>2</w:t>
      </w:r>
      <w:r w:rsidRPr="001F5887">
        <w:tab/>
        <w:t>que recopile datos sobre la aplicación de las Resoluciones pertinentes y de las Recomendaciones de la serie UIT</w:t>
      </w:r>
      <w:r w:rsidRPr="001F5887">
        <w:noBreakHyphen/>
        <w:t>T D, y sobre los efectos prácticos de dicha aplicación,</w:t>
      </w:r>
    </w:p>
    <w:p w14:paraId="014A57AF" w14:textId="77777777" w:rsidR="00136437" w:rsidRPr="001F5887" w:rsidRDefault="00136437" w:rsidP="00136437">
      <w:pPr>
        <w:pStyle w:val="Call"/>
      </w:pPr>
      <w:r w:rsidRPr="001F5887">
        <w:t>invita a los Estados Miembros</w:t>
      </w:r>
    </w:p>
    <w:p w14:paraId="1C129311" w14:textId="77777777" w:rsidR="00136437" w:rsidRPr="001F5887" w:rsidRDefault="00136437" w:rsidP="00136437">
      <w:r w:rsidRPr="001F5887">
        <w:t>1</w:t>
      </w:r>
      <w:r w:rsidRPr="001F5887">
        <w:tab/>
        <w:t>a alentar individualmente a las partes en una negociación o un acuerdo sobre asuntos relativos a la conectividad internacional a incluir una cláusula de solución de controversias en dichos acuerdos;</w:t>
      </w:r>
    </w:p>
    <w:p w14:paraId="0FA0B963" w14:textId="77777777" w:rsidR="00136437" w:rsidRPr="001F5887" w:rsidRDefault="00136437" w:rsidP="00136437">
      <w:r w:rsidRPr="001F5887">
        <w:t>2</w:t>
      </w:r>
      <w:r w:rsidRPr="001F5887">
        <w:tab/>
        <w:t>a alentar a todos los organismos de explotación domiciliados en sus territorios a aplicar las correspondientes Recomendaciones del Sector de Normalización de las Telecomunicaciones de la UIT (UIT</w:t>
      </w:r>
      <w:r w:rsidRPr="001F5887">
        <w:noBreakHyphen/>
        <w:t>T);</w:t>
      </w:r>
    </w:p>
    <w:p w14:paraId="23F4D183" w14:textId="77777777" w:rsidR="00136437" w:rsidRPr="001F5887" w:rsidRDefault="00136437" w:rsidP="00136437">
      <w:r w:rsidRPr="001F5887">
        <w:lastRenderedPageBreak/>
        <w:t>3</w:t>
      </w:r>
      <w:r w:rsidRPr="001F5887">
        <w:tab/>
        <w:t>a contribuir a los trabajos ulteriores del UIT-T en las esferas mencionadas en la presente Resolución,</w:t>
      </w:r>
    </w:p>
    <w:p w14:paraId="021655D0" w14:textId="77777777" w:rsidR="00136437" w:rsidRPr="001F5887" w:rsidRDefault="00136437" w:rsidP="00136437">
      <w:pPr>
        <w:pStyle w:val="Call"/>
      </w:pPr>
      <w:r w:rsidRPr="001F5887">
        <w:t>encarga al Director de la Oficina de Normalización de las Telecomunicaciones</w:t>
      </w:r>
    </w:p>
    <w:p w14:paraId="2DE6C5C6" w14:textId="77777777" w:rsidR="00136437" w:rsidRPr="001F5887" w:rsidRDefault="00136437" w:rsidP="00136437">
      <w:r w:rsidRPr="001F5887">
        <w:t>1</w:t>
      </w:r>
      <w:r w:rsidRPr="001F5887">
        <w:tab/>
        <w:t>que presente al Consejo de la UIT un Informe anual sobre la aplicación de la presente Resolución;</w:t>
      </w:r>
    </w:p>
    <w:p w14:paraId="093DF76B" w14:textId="77777777" w:rsidR="00136437" w:rsidRPr="001F5887" w:rsidRDefault="00136437" w:rsidP="00136437">
      <w:r w:rsidRPr="001F5887">
        <w:t>2</w:t>
      </w:r>
      <w:r w:rsidRPr="001F5887">
        <w:tab/>
        <w:t>que proporcione todo el apoyo necesario a la Comisión de Estudio 3 para promover su labor en este ámbito, con sujeción al presupuesto disponible.</w:t>
      </w:r>
    </w:p>
    <w:p w14:paraId="2949725E" w14:textId="77777777" w:rsidR="00136437" w:rsidRDefault="00136437" w:rsidP="00136437">
      <w:pPr>
        <w:pStyle w:val="Reasons"/>
        <w:rPr>
          <w:lang w:val="es-ES_tradnl"/>
        </w:rPr>
      </w:pPr>
    </w:p>
    <w:p w14:paraId="01B53B9C" w14:textId="77777777" w:rsidR="00136437" w:rsidRDefault="00136437" w:rsidP="00136437">
      <w:pPr>
        <w:pStyle w:val="Reasons"/>
        <w:rPr>
          <w:lang w:val="es-ES_tradnl"/>
        </w:rPr>
      </w:pPr>
    </w:p>
    <w:p w14:paraId="20BC7507" w14:textId="77777777" w:rsidR="00136437" w:rsidRDefault="00136437" w:rsidP="00136437">
      <w:pPr>
        <w:pStyle w:val="Reasons"/>
        <w:rPr>
          <w:lang w:val="es-ES_tradnl"/>
        </w:rPr>
      </w:pPr>
    </w:p>
    <w:p w14:paraId="78E242DB" w14:textId="77777777" w:rsidR="00136437" w:rsidRDefault="00136437" w:rsidP="00136437">
      <w:pPr>
        <w:pStyle w:val="Reasons"/>
        <w:rPr>
          <w:lang w:val="es-ES_tradnl"/>
        </w:rPr>
      </w:pPr>
    </w:p>
    <w:p w14:paraId="1B2BB253" w14:textId="77777777" w:rsidR="00136437" w:rsidRDefault="00136437" w:rsidP="00136437">
      <w:pPr>
        <w:pStyle w:val="Reasons"/>
        <w:rPr>
          <w:lang w:val="es-ES_tradnl"/>
        </w:rPr>
      </w:pPr>
    </w:p>
    <w:p w14:paraId="7664E574" w14:textId="77777777" w:rsidR="00136437" w:rsidRDefault="00136437" w:rsidP="00136437">
      <w:pPr>
        <w:pStyle w:val="Reasons"/>
        <w:rPr>
          <w:lang w:val="es-ES_tradnl"/>
        </w:rPr>
      </w:pPr>
    </w:p>
    <w:p w14:paraId="17C3820A" w14:textId="77777777" w:rsidR="00136437" w:rsidRDefault="00136437" w:rsidP="00136437">
      <w:pPr>
        <w:pStyle w:val="Reasons"/>
        <w:rPr>
          <w:lang w:val="es-ES_tradnl"/>
        </w:rPr>
      </w:pPr>
    </w:p>
    <w:p w14:paraId="42606684" w14:textId="77777777" w:rsidR="00136437" w:rsidRDefault="00136437" w:rsidP="00136437">
      <w:pPr>
        <w:pStyle w:val="Reasons"/>
        <w:rPr>
          <w:lang w:val="es-ES_tradnl"/>
        </w:rPr>
      </w:pPr>
    </w:p>
    <w:p w14:paraId="0749A83A" w14:textId="77777777" w:rsidR="00136437" w:rsidRDefault="00136437" w:rsidP="00136437">
      <w:pPr>
        <w:pStyle w:val="Reasons"/>
        <w:rPr>
          <w:lang w:val="es-ES_tradnl"/>
        </w:rPr>
      </w:pPr>
    </w:p>
    <w:p w14:paraId="2FC77D7B" w14:textId="77777777" w:rsidR="00136437" w:rsidRDefault="00136437" w:rsidP="00136437">
      <w:pPr>
        <w:pStyle w:val="Reasons"/>
        <w:rPr>
          <w:lang w:val="es-ES_tradnl"/>
        </w:rPr>
      </w:pPr>
    </w:p>
    <w:p w14:paraId="1325AB4E" w14:textId="77777777" w:rsidR="00136437" w:rsidRDefault="00136437" w:rsidP="00136437">
      <w:pPr>
        <w:pStyle w:val="Reasons"/>
        <w:rPr>
          <w:lang w:val="es-ES_tradnl"/>
        </w:rPr>
      </w:pPr>
    </w:p>
    <w:p w14:paraId="27299E16" w14:textId="77777777" w:rsidR="00136437" w:rsidRDefault="00136437" w:rsidP="00136437">
      <w:pPr>
        <w:pStyle w:val="Reasons"/>
        <w:rPr>
          <w:lang w:val="es-ES_tradnl"/>
        </w:rPr>
      </w:pPr>
    </w:p>
    <w:p w14:paraId="02A2882A" w14:textId="77777777" w:rsidR="00136437" w:rsidRDefault="00136437" w:rsidP="00136437">
      <w:pPr>
        <w:pStyle w:val="Reasons"/>
        <w:rPr>
          <w:lang w:val="es-ES_tradnl"/>
        </w:rPr>
      </w:pPr>
    </w:p>
    <w:p w14:paraId="304E6264" w14:textId="77777777" w:rsidR="00136437" w:rsidRDefault="00136437" w:rsidP="00136437">
      <w:pPr>
        <w:pStyle w:val="Reasons"/>
        <w:rPr>
          <w:lang w:val="es-ES_tradnl"/>
        </w:rPr>
      </w:pPr>
    </w:p>
    <w:p w14:paraId="4A215379" w14:textId="77777777" w:rsidR="00136437" w:rsidRDefault="00136437" w:rsidP="00136437">
      <w:pPr>
        <w:pStyle w:val="Reasons"/>
        <w:rPr>
          <w:lang w:val="es-ES_tradnl"/>
        </w:rPr>
      </w:pPr>
    </w:p>
    <w:p w14:paraId="7B8C1BD3" w14:textId="77777777" w:rsidR="00136437" w:rsidRDefault="00136437" w:rsidP="00136437">
      <w:pPr>
        <w:pStyle w:val="Reasons"/>
        <w:rPr>
          <w:lang w:val="es-ES_tradnl"/>
        </w:rPr>
      </w:pPr>
    </w:p>
    <w:p w14:paraId="491469CF" w14:textId="77777777" w:rsidR="006C62D4" w:rsidRDefault="006C62D4" w:rsidP="00C87C51">
      <w:pPr>
        <w:spacing w:before="160" w:line="280" w:lineRule="exact"/>
      </w:pPr>
    </w:p>
    <w:p w14:paraId="2F2C034A" w14:textId="77777777" w:rsidR="00136437" w:rsidRDefault="00136437" w:rsidP="00C87C51">
      <w:pPr>
        <w:spacing w:before="160" w:line="280" w:lineRule="exact"/>
      </w:pPr>
    </w:p>
    <w:p w14:paraId="46870699" w14:textId="77777777" w:rsidR="00136437" w:rsidRDefault="00136437" w:rsidP="00C87C51">
      <w:pPr>
        <w:spacing w:before="160" w:line="280" w:lineRule="exact"/>
      </w:pPr>
    </w:p>
    <w:p w14:paraId="4514F7D2" w14:textId="77777777" w:rsidR="00136437" w:rsidRPr="00C87C51" w:rsidRDefault="00136437" w:rsidP="00C87C51">
      <w:pPr>
        <w:spacing w:before="160" w:line="280" w:lineRule="exact"/>
      </w:pPr>
    </w:p>
    <w:sectPr w:rsidR="00136437" w:rsidRPr="00C87C51" w:rsidSect="00DB1EE7">
      <w:headerReference w:type="even" r:id="rId11"/>
      <w:headerReference w:type="default" r:id="rId12"/>
      <w:footerReference w:type="even" r:id="rId13"/>
      <w:footerReference w:type="default" r:id="rId14"/>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8E888" w14:textId="77777777" w:rsidR="00AF20E3" w:rsidRDefault="00AF20E3">
      <w:r>
        <w:separator/>
      </w:r>
    </w:p>
  </w:endnote>
  <w:endnote w:type="continuationSeparator" w:id="0">
    <w:p w14:paraId="300DAD26" w14:textId="77777777" w:rsidR="00AF20E3" w:rsidRDefault="00AF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18047" w14:textId="77777777" w:rsidR="00877E7D" w:rsidRDefault="00877E7D" w:rsidP="00877E7D">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136437">
      <w:rPr>
        <w:b w:val="0"/>
        <w:noProof/>
        <w:lang w:val="es-ES"/>
      </w:rPr>
      <w:t>2</w:t>
    </w:r>
    <w:r w:rsidRPr="002D6EB1">
      <w:rPr>
        <w:b w:val="0"/>
      </w:rPr>
      <w:fldChar w:fldCharType="end"/>
    </w:r>
    <w:r w:rsidRPr="00877E7D">
      <w:rPr>
        <w:lang w:val="es-ES"/>
      </w:rPr>
      <w:tab/>
    </w:r>
    <w:r>
      <w:t>AMNT</w:t>
    </w:r>
    <w:r w:rsidRPr="00877E7D">
      <w:rPr>
        <w:lang w:val="es-ES"/>
      </w:rPr>
      <w:t>-12 –</w:t>
    </w:r>
    <w:r>
      <w:rPr>
        <w:lang w:val="es-ES"/>
      </w:rPr>
      <w:t xml:space="preserve"> </w:t>
    </w:r>
    <w:r w:rsidRPr="00877E7D">
      <w:rPr>
        <w:lang w:val="es-ES"/>
      </w:rPr>
      <w:t xml:space="preserve">Resolución </w:t>
    </w:r>
    <w:r w:rsidR="00136437">
      <w:rPr>
        <w:lang w:val="en-US"/>
      </w:rPr>
      <w:t>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17BC6" w14:textId="77777777" w:rsidR="00877E7D" w:rsidRPr="00877E7D" w:rsidRDefault="00877E7D" w:rsidP="00877E7D">
    <w:pPr>
      <w:pStyle w:val="FooterQP"/>
      <w:rPr>
        <w:b w:val="0"/>
        <w:lang w:val="en-US"/>
      </w:rPr>
    </w:pPr>
    <w:r>
      <w:tab/>
    </w:r>
    <w:r>
      <w:tab/>
      <w:t>AMNT</w:t>
    </w:r>
    <w:r>
      <w:rPr>
        <w:lang w:val="en-US"/>
      </w:rPr>
      <w:t xml:space="preserve">-12 – Resolución </w:t>
    </w:r>
    <w:r w:rsidR="00136437">
      <w:rPr>
        <w:lang w:val="en-US"/>
      </w:rPr>
      <w:t>62</w:t>
    </w:r>
    <w:r>
      <w:rPr>
        <w:lang w:val="en-US"/>
      </w:rPr>
      <w:tab/>
    </w:r>
    <w:r>
      <w:rPr>
        <w:b w:val="0"/>
      </w:rPr>
      <w:fldChar w:fldCharType="begin"/>
    </w:r>
    <w:r>
      <w:rPr>
        <w:b w:val="0"/>
        <w:lang w:val="en-US"/>
      </w:rPr>
      <w:instrText xml:space="preserve"> PAGE  \* MERGEFORMAT </w:instrText>
    </w:r>
    <w:r>
      <w:rPr>
        <w:b w:val="0"/>
      </w:rPr>
      <w:fldChar w:fldCharType="separate"/>
    </w:r>
    <w:r w:rsidR="00136437">
      <w:rPr>
        <w:b w:val="0"/>
        <w:noProof/>
        <w:lang w:val="en-US"/>
      </w:rPr>
      <w:t>1</w:t>
    </w:r>
    <w:r>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AC4BC" w14:textId="77777777" w:rsidR="00AF20E3" w:rsidRDefault="00AF20E3">
      <w:r>
        <w:t>____________________</w:t>
      </w:r>
    </w:p>
  </w:footnote>
  <w:footnote w:type="continuationSeparator" w:id="0">
    <w:p w14:paraId="0177D6C0" w14:textId="77777777" w:rsidR="00AF20E3" w:rsidRDefault="00AF20E3">
      <w:r>
        <w:continuationSeparator/>
      </w:r>
    </w:p>
  </w:footnote>
  <w:footnote w:id="1">
    <w:p w14:paraId="6C56C60C" w14:textId="77777777" w:rsidR="00136437" w:rsidRPr="001F5887" w:rsidRDefault="00136437" w:rsidP="00136437">
      <w:pPr>
        <w:pStyle w:val="FootnoteText"/>
      </w:pPr>
      <w:r w:rsidRPr="001F5887">
        <w:rPr>
          <w:rStyle w:val="FootnoteReference"/>
        </w:rPr>
        <w:t>1</w:t>
      </w:r>
      <w:r w:rsidRPr="001F5887">
        <w:t xml:space="preserve"> </w:t>
      </w:r>
      <w:r w:rsidRPr="001F5887">
        <w:tab/>
        <w:t>Este término incluye también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37EBF" w14:textId="77777777" w:rsidR="00691A08" w:rsidRDefault="00691A0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744A9" w14:textId="77777777" w:rsidR="00691A08" w:rsidRDefault="00691A08"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9337A" w14:textId="77777777" w:rsidR="006D0F26" w:rsidRPr="00D075E1" w:rsidRDefault="006D0F26" w:rsidP="00D075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D7983" w14:textId="77777777"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16cid:durableId="730352323">
    <w:abstractNumId w:val="9"/>
  </w:num>
  <w:num w:numId="2" w16cid:durableId="969482927">
    <w:abstractNumId w:val="7"/>
  </w:num>
  <w:num w:numId="3" w16cid:durableId="920214498">
    <w:abstractNumId w:val="6"/>
  </w:num>
  <w:num w:numId="4" w16cid:durableId="1147166671">
    <w:abstractNumId w:val="5"/>
  </w:num>
  <w:num w:numId="5" w16cid:durableId="1850213002">
    <w:abstractNumId w:val="4"/>
  </w:num>
  <w:num w:numId="6" w16cid:durableId="468861318">
    <w:abstractNumId w:val="8"/>
  </w:num>
  <w:num w:numId="7" w16cid:durableId="1584336389">
    <w:abstractNumId w:val="3"/>
  </w:num>
  <w:num w:numId="8" w16cid:durableId="1563642586">
    <w:abstractNumId w:val="2"/>
  </w:num>
  <w:num w:numId="9" w16cid:durableId="818500896">
    <w:abstractNumId w:val="1"/>
  </w:num>
  <w:num w:numId="10" w16cid:durableId="1061320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6D55"/>
    <w:rsid w:val="000040EB"/>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36437"/>
    <w:rsid w:val="00153A2F"/>
    <w:rsid w:val="00160F88"/>
    <w:rsid w:val="00164FB0"/>
    <w:rsid w:val="001958EC"/>
    <w:rsid w:val="001C4D78"/>
    <w:rsid w:val="001E3C05"/>
    <w:rsid w:val="001E47B2"/>
    <w:rsid w:val="001F5708"/>
    <w:rsid w:val="001F7101"/>
    <w:rsid w:val="00212260"/>
    <w:rsid w:val="0021547F"/>
    <w:rsid w:val="00217CDB"/>
    <w:rsid w:val="00241D6F"/>
    <w:rsid w:val="00245661"/>
    <w:rsid w:val="00256525"/>
    <w:rsid w:val="00256F54"/>
    <w:rsid w:val="0029052C"/>
    <w:rsid w:val="00295585"/>
    <w:rsid w:val="002A4E5E"/>
    <w:rsid w:val="00315C1E"/>
    <w:rsid w:val="0032280A"/>
    <w:rsid w:val="003518D5"/>
    <w:rsid w:val="00372B66"/>
    <w:rsid w:val="00377687"/>
    <w:rsid w:val="003C2D00"/>
    <w:rsid w:val="003E33A8"/>
    <w:rsid w:val="003F0680"/>
    <w:rsid w:val="00400600"/>
    <w:rsid w:val="00420D5F"/>
    <w:rsid w:val="00427DF1"/>
    <w:rsid w:val="004442F6"/>
    <w:rsid w:val="00466E41"/>
    <w:rsid w:val="004F1EA7"/>
    <w:rsid w:val="0052251F"/>
    <w:rsid w:val="005330B1"/>
    <w:rsid w:val="005428C5"/>
    <w:rsid w:val="005435AA"/>
    <w:rsid w:val="0055021E"/>
    <w:rsid w:val="00585ED1"/>
    <w:rsid w:val="005A4F08"/>
    <w:rsid w:val="006253EC"/>
    <w:rsid w:val="006349BE"/>
    <w:rsid w:val="00642735"/>
    <w:rsid w:val="00643BC7"/>
    <w:rsid w:val="00671751"/>
    <w:rsid w:val="00691A08"/>
    <w:rsid w:val="006A2304"/>
    <w:rsid w:val="006C1E98"/>
    <w:rsid w:val="006C5ED6"/>
    <w:rsid w:val="006C62D4"/>
    <w:rsid w:val="006D0F26"/>
    <w:rsid w:val="006E43AB"/>
    <w:rsid w:val="006F5455"/>
    <w:rsid w:val="007057EE"/>
    <w:rsid w:val="00712378"/>
    <w:rsid w:val="00743611"/>
    <w:rsid w:val="0079215F"/>
    <w:rsid w:val="007A0BE3"/>
    <w:rsid w:val="007B0D90"/>
    <w:rsid w:val="007C64E7"/>
    <w:rsid w:val="007C7F35"/>
    <w:rsid w:val="008222EF"/>
    <w:rsid w:val="00831A21"/>
    <w:rsid w:val="00841271"/>
    <w:rsid w:val="00862C3A"/>
    <w:rsid w:val="00877E7D"/>
    <w:rsid w:val="00892A35"/>
    <w:rsid w:val="00896AAF"/>
    <w:rsid w:val="008B2002"/>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AF20E3"/>
    <w:rsid w:val="00B122C8"/>
    <w:rsid w:val="00B24C2D"/>
    <w:rsid w:val="00B31246"/>
    <w:rsid w:val="00B450BE"/>
    <w:rsid w:val="00B57627"/>
    <w:rsid w:val="00B61661"/>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74EFE"/>
    <w:rsid w:val="00D9465C"/>
    <w:rsid w:val="00D962F2"/>
    <w:rsid w:val="00DB1EE7"/>
    <w:rsid w:val="00DC4B81"/>
    <w:rsid w:val="00DD71D5"/>
    <w:rsid w:val="00E16169"/>
    <w:rsid w:val="00E26A91"/>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F23D8"/>
    <w:rsid w:val="00FF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D18BA2D"/>
  <w15:docId w15:val="{550286B9-05F2-4378-A90E-D1C67635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qFormat/>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AnnexNo">
    <w:name w:val="Annex_No"/>
    <w:basedOn w:val="Normal"/>
    <w:next w:val="Normal"/>
    <w:rsid w:val="002A4E5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2A4E5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427DF1"/>
    <w:pPr>
      <w:tabs>
        <w:tab w:val="clear" w:pos="794"/>
        <w:tab w:val="clear" w:pos="1191"/>
        <w:tab w:val="left" w:pos="1134"/>
      </w:tabs>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AppData\Roaming\Microsoft\Templates\TSB%20PUB\T-REC-FINAL-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73ED7-17D1-4D90-B58C-4278ACA5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T-REC-FINAL-S.dotm</Template>
  <TotalTime>8</TotalTime>
  <Pages>6</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62 – Solución de controversias</dc:title>
  <dc:subject>ASAMBLEA MUNDIAL DE NORMALIZACIÓN DE LAS TELECOMUNICACIONES</dc:subject>
  <dc:creator>Comisión de Estudio 2 del UIT-T</dc:creator>
  <cp:keywords/>
  <dc:description/>
  <cp:lastModifiedBy>Saez Grau, Ricardo</cp:lastModifiedBy>
  <cp:revision>4</cp:revision>
  <cp:lastPrinted>2007-10-18T07:42:00Z</cp:lastPrinted>
  <dcterms:created xsi:type="dcterms:W3CDTF">2013-04-25T14:52:00Z</dcterms:created>
  <dcterms:modified xsi:type="dcterms:W3CDTF">2024-11-21T15:25:00Z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