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2FDE5CF2" w:rsidR="003425B8" w:rsidRPr="00E224A1" w:rsidRDefault="003425B8" w:rsidP="00DC7AEC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F8659E">
        <w:t>6</w:t>
      </w:r>
      <w:r w:rsidR="00DC7AEC">
        <w:t>1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bookmarkStart w:id="4" w:name="_Toc111642753"/>
      <w:bookmarkStart w:id="5" w:name="_Toc111646821"/>
      <w:r w:rsidR="00DC7AEC" w:rsidRPr="00DC7AEC">
        <w:rPr>
          <w:rFonts w:hint="cs"/>
          <w:rtl/>
          <w:lang w:bidi="ar-EG"/>
        </w:rPr>
        <w:t xml:space="preserve">مواجهة ومكافحة </w:t>
      </w:r>
      <w:r w:rsidR="00DC7AEC" w:rsidRPr="00DC7AEC">
        <w:rPr>
          <w:rFonts w:hint="eastAsia"/>
          <w:rtl/>
          <w:lang w:bidi="ar-EG"/>
        </w:rPr>
        <w:t>سوء</w:t>
      </w:r>
      <w:r w:rsidR="00DC7AEC" w:rsidRPr="00DC7AEC">
        <w:rPr>
          <w:rtl/>
          <w:lang w:bidi="ar-EG"/>
        </w:rPr>
        <w:t xml:space="preserve"> </w:t>
      </w:r>
      <w:r w:rsidR="00DC7AEC" w:rsidRPr="00DC7AEC">
        <w:rPr>
          <w:rFonts w:hint="eastAsia"/>
          <w:rtl/>
          <w:lang w:bidi="ar-EG"/>
        </w:rPr>
        <w:t>استغلال</w:t>
      </w:r>
      <w:r w:rsidR="00DC7AEC" w:rsidRPr="00DC7AEC">
        <w:rPr>
          <w:rtl/>
          <w:lang w:bidi="ar-EG"/>
        </w:rPr>
        <w:t xml:space="preserve"> </w:t>
      </w:r>
      <w:r w:rsidR="00DC7AEC" w:rsidRPr="00DC7AEC">
        <w:rPr>
          <w:rFonts w:hint="eastAsia"/>
          <w:rtl/>
          <w:lang w:bidi="ar-EG"/>
        </w:rPr>
        <w:t>وسوء</w:t>
      </w:r>
      <w:r w:rsidR="00DC7AEC" w:rsidRPr="00DC7AEC">
        <w:rPr>
          <w:rtl/>
          <w:lang w:bidi="ar-EG"/>
        </w:rPr>
        <w:t xml:space="preserve"> </w:t>
      </w:r>
      <w:r w:rsidR="00DC7AEC" w:rsidRPr="00DC7AEC">
        <w:rPr>
          <w:rFonts w:hint="eastAsia"/>
          <w:rtl/>
          <w:lang w:bidi="ar-EG"/>
        </w:rPr>
        <w:t>استعمال</w:t>
      </w:r>
      <w:r w:rsidR="00DC7AEC" w:rsidRPr="00DC7AEC">
        <w:rPr>
          <w:rFonts w:hint="cs"/>
          <w:rtl/>
          <w:lang w:bidi="ar-EG"/>
        </w:rPr>
        <w:t xml:space="preserve"> موارد الترقيم </w:t>
      </w:r>
      <w:r w:rsidR="00DC7AEC" w:rsidRPr="00DC7AEC">
        <w:rPr>
          <w:rFonts w:hint="eastAsia"/>
          <w:rtl/>
          <w:lang w:bidi="ar-EG"/>
        </w:rPr>
        <w:t>والتسمية</w:t>
      </w:r>
      <w:r w:rsidR="00DC7AEC" w:rsidRPr="00DC7AEC">
        <w:rPr>
          <w:rtl/>
          <w:lang w:bidi="ar-EG"/>
        </w:rPr>
        <w:t xml:space="preserve"> </w:t>
      </w:r>
      <w:r w:rsidR="00DC7AEC" w:rsidRPr="00DC7AEC">
        <w:rPr>
          <w:rFonts w:hint="eastAsia"/>
          <w:rtl/>
          <w:lang w:bidi="ar-EG"/>
        </w:rPr>
        <w:t>والعنونة</w:t>
      </w:r>
      <w:r w:rsidR="00DC7AEC" w:rsidRPr="00DC7AEC">
        <w:rPr>
          <w:rtl/>
          <w:lang w:bidi="ar-EG"/>
        </w:rPr>
        <w:t xml:space="preserve"> </w:t>
      </w:r>
      <w:r w:rsidR="00DC7AEC" w:rsidRPr="00DC7AEC">
        <w:rPr>
          <w:rFonts w:hint="eastAsia"/>
          <w:rtl/>
          <w:lang w:bidi="ar-EG"/>
        </w:rPr>
        <w:t>وتحديد</w:t>
      </w:r>
      <w:r w:rsidR="00DC7AEC" w:rsidRPr="00DC7AEC">
        <w:rPr>
          <w:rtl/>
          <w:lang w:bidi="ar-EG"/>
        </w:rPr>
        <w:t xml:space="preserve"> </w:t>
      </w:r>
      <w:r w:rsidR="00DC7AEC" w:rsidRPr="00DC7AEC">
        <w:rPr>
          <w:rFonts w:hint="eastAsia"/>
          <w:rtl/>
          <w:lang w:bidi="ar-EG"/>
        </w:rPr>
        <w:t>الهوية</w:t>
      </w:r>
      <w:r w:rsidR="00DC7AEC" w:rsidRPr="00DC7AEC">
        <w:rPr>
          <w:rFonts w:hint="cs"/>
          <w:rtl/>
          <w:lang w:bidi="ar-EG"/>
        </w:rPr>
        <w:t xml:space="preserve"> الدولية للاتصالات</w:t>
      </w:r>
      <w:bookmarkEnd w:id="4"/>
      <w:bookmarkEnd w:id="5"/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4F2D51AB" w:rsidR="00AF6585" w:rsidRPr="002B66D2" w:rsidRDefault="00FB4581" w:rsidP="00157183">
      <w:pPr>
        <w:pStyle w:val="ResNo"/>
        <w:rPr>
          <w:rtl/>
        </w:rPr>
      </w:pPr>
      <w:bookmarkStart w:id="6" w:name="_Toc111642708"/>
      <w:bookmarkStart w:id="7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F8659E">
        <w:rPr>
          <w:rStyle w:val="href"/>
        </w:rPr>
        <w:t>6</w:t>
      </w:r>
      <w:r w:rsidR="00DC7AEC">
        <w:rPr>
          <w:rStyle w:val="href"/>
        </w:rPr>
        <w:t>1</w:t>
      </w:r>
      <w:r w:rsidRPr="002B66D2">
        <w:rPr>
          <w:rFonts w:hint="cs"/>
          <w:rtl/>
        </w:rPr>
        <w:t xml:space="preserve"> (المراجَع في نيودلهي، 2024)</w:t>
      </w:r>
      <w:bookmarkEnd w:id="6"/>
      <w:bookmarkEnd w:id="7"/>
    </w:p>
    <w:p w14:paraId="4C2463DA" w14:textId="4F01DE26" w:rsidR="00AF6585" w:rsidRDefault="00DC7AEC" w:rsidP="00DC7AEC">
      <w:pPr>
        <w:pStyle w:val="Restitle"/>
      </w:pPr>
      <w:r w:rsidRPr="00DC7AEC">
        <w:rPr>
          <w:rFonts w:hint="cs"/>
          <w:rtl/>
          <w:lang w:bidi="ar-EG"/>
        </w:rPr>
        <w:t xml:space="preserve">مواجهة ومكافحة </w:t>
      </w:r>
      <w:r w:rsidRPr="00DC7AEC">
        <w:rPr>
          <w:rFonts w:hint="eastAsia"/>
          <w:rtl/>
          <w:lang w:bidi="ar-EG"/>
        </w:rPr>
        <w:t>سوء</w:t>
      </w:r>
      <w:r w:rsidRPr="00DC7AEC">
        <w:rPr>
          <w:rtl/>
          <w:lang w:bidi="ar-EG"/>
        </w:rPr>
        <w:t xml:space="preserve"> </w:t>
      </w:r>
      <w:r w:rsidRPr="00DC7AEC">
        <w:rPr>
          <w:rFonts w:hint="eastAsia"/>
          <w:rtl/>
          <w:lang w:bidi="ar-EG"/>
        </w:rPr>
        <w:t>استغلال</w:t>
      </w:r>
      <w:r w:rsidRPr="00DC7AEC">
        <w:rPr>
          <w:rtl/>
          <w:lang w:bidi="ar-EG"/>
        </w:rPr>
        <w:t xml:space="preserve"> </w:t>
      </w:r>
      <w:r w:rsidRPr="00DC7AEC">
        <w:rPr>
          <w:rFonts w:hint="eastAsia"/>
          <w:rtl/>
          <w:lang w:bidi="ar-EG"/>
        </w:rPr>
        <w:t>وسوء</w:t>
      </w:r>
      <w:r w:rsidRPr="00DC7AEC">
        <w:rPr>
          <w:rtl/>
          <w:lang w:bidi="ar-EG"/>
        </w:rPr>
        <w:t xml:space="preserve"> </w:t>
      </w:r>
      <w:r w:rsidRPr="00DC7AEC">
        <w:rPr>
          <w:rFonts w:hint="eastAsia"/>
          <w:rtl/>
          <w:lang w:bidi="ar-EG"/>
        </w:rPr>
        <w:t>استعمال</w:t>
      </w:r>
      <w:r w:rsidRPr="00DC7AEC">
        <w:rPr>
          <w:rFonts w:hint="cs"/>
          <w:rtl/>
          <w:lang w:bidi="ar-EG"/>
        </w:rPr>
        <w:t xml:space="preserve"> </w:t>
      </w:r>
      <w:r w:rsidRPr="00DC7AEC">
        <w:rPr>
          <w:rtl/>
          <w:lang w:bidi="ar-EG"/>
        </w:rPr>
        <w:br/>
      </w:r>
      <w:r w:rsidRPr="00DC7AEC">
        <w:rPr>
          <w:rFonts w:hint="cs"/>
          <w:rtl/>
          <w:lang w:bidi="ar-EG"/>
        </w:rPr>
        <w:t xml:space="preserve">موارد الترقيم </w:t>
      </w:r>
      <w:r w:rsidRPr="00DC7AEC">
        <w:rPr>
          <w:rFonts w:hint="eastAsia"/>
          <w:rtl/>
          <w:lang w:bidi="ar-EG"/>
        </w:rPr>
        <w:t>والتسمية</w:t>
      </w:r>
      <w:r w:rsidRPr="00DC7AEC">
        <w:rPr>
          <w:rtl/>
          <w:lang w:bidi="ar-EG"/>
        </w:rPr>
        <w:t xml:space="preserve"> </w:t>
      </w:r>
      <w:r w:rsidRPr="00DC7AEC">
        <w:rPr>
          <w:rFonts w:hint="eastAsia"/>
          <w:rtl/>
          <w:lang w:bidi="ar-EG"/>
        </w:rPr>
        <w:t>والعنونة</w:t>
      </w:r>
      <w:r w:rsidRPr="00DC7AEC">
        <w:rPr>
          <w:rtl/>
          <w:lang w:bidi="ar-EG"/>
        </w:rPr>
        <w:t xml:space="preserve"> </w:t>
      </w:r>
      <w:r w:rsidRPr="00DC7AEC">
        <w:rPr>
          <w:rFonts w:hint="eastAsia"/>
          <w:rtl/>
          <w:lang w:bidi="ar-EG"/>
        </w:rPr>
        <w:t>وتحديد</w:t>
      </w:r>
      <w:r w:rsidRPr="00DC7AEC">
        <w:rPr>
          <w:rtl/>
          <w:lang w:bidi="ar-EG"/>
        </w:rPr>
        <w:t xml:space="preserve"> </w:t>
      </w:r>
      <w:r w:rsidRPr="00DC7AEC">
        <w:rPr>
          <w:rFonts w:hint="eastAsia"/>
          <w:rtl/>
          <w:lang w:bidi="ar-EG"/>
        </w:rPr>
        <w:t>الهوية</w:t>
      </w:r>
      <w:r w:rsidRPr="00DC7AEC">
        <w:rPr>
          <w:rFonts w:hint="cs"/>
          <w:rtl/>
          <w:lang w:bidi="ar-EG"/>
        </w:rPr>
        <w:t xml:space="preserve"> الدولية للاتصالات</w:t>
      </w:r>
    </w:p>
    <w:p w14:paraId="6DF44296" w14:textId="77777777" w:rsidR="00DC7AEC" w:rsidRPr="00FC0F14" w:rsidRDefault="00DC7AEC" w:rsidP="00DC7AEC">
      <w:pPr>
        <w:pStyle w:val="Resref"/>
        <w:rPr>
          <w:iCs w:val="0"/>
          <w:rtl/>
        </w:rPr>
      </w:pPr>
      <w:r w:rsidRPr="00FC0F14">
        <w:rPr>
          <w:rFonts w:hint="cs"/>
          <w:rtl/>
        </w:rPr>
        <w:t xml:space="preserve">(جوهانسبرغ، </w:t>
      </w:r>
      <w:r w:rsidRPr="00FC0F14">
        <w:t>2008</w:t>
      </w:r>
      <w:r w:rsidRPr="00FC0F14">
        <w:rPr>
          <w:rFonts w:hint="cs"/>
          <w:rtl/>
        </w:rPr>
        <w:t xml:space="preserve">؛ دبي، </w:t>
      </w:r>
      <w:r w:rsidRPr="00FC0F14">
        <w:t>2012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r>
        <w:rPr>
          <w:rFonts w:hint="cs"/>
          <w:rtl/>
          <w:lang w:bidi="ar-EG"/>
        </w:rPr>
        <w:t xml:space="preserve">؛ نيودلهي، </w:t>
      </w:r>
      <w:r>
        <w:rPr>
          <w:lang w:bidi="ar-EG"/>
        </w:rPr>
        <w:t>2024</w:t>
      </w:r>
      <w:r w:rsidRPr="00FC0F14">
        <w:rPr>
          <w:rFonts w:hint="cs"/>
          <w:rtl/>
        </w:rPr>
        <w:t>)</w:t>
      </w:r>
    </w:p>
    <w:p w14:paraId="4EAB6FF9" w14:textId="77777777" w:rsidR="00DC7AEC" w:rsidRPr="00FC0F14" w:rsidRDefault="00DC7AEC" w:rsidP="00DC7AEC">
      <w:pPr>
        <w:pStyle w:val="Normalaftertitle"/>
        <w:keepNext/>
        <w:spacing w:before="360"/>
        <w:rPr>
          <w:rtl/>
        </w:rPr>
      </w:pPr>
      <w:r w:rsidRPr="00FC0F14">
        <w:rPr>
          <w:rFonts w:hint="cs"/>
          <w:rtl/>
        </w:rPr>
        <w:t xml:space="preserve">إن الجمعية العالمية لتقييس الاتصالات </w:t>
      </w:r>
      <w:r w:rsidRPr="00FC0F14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 xml:space="preserve">نيودلهي، </w:t>
      </w:r>
      <w:r>
        <w:rPr>
          <w:lang w:bidi="ar-EG"/>
        </w:rPr>
        <w:t>2024</w:t>
      </w:r>
      <w:r w:rsidRPr="00FC0F14">
        <w:rPr>
          <w:rFonts w:hint="cs"/>
          <w:rtl/>
          <w:lang w:bidi="ar-EG"/>
        </w:rPr>
        <w:t>)</w:t>
      </w:r>
      <w:r w:rsidRPr="00FC0F14">
        <w:rPr>
          <w:rFonts w:hint="cs"/>
          <w:rtl/>
        </w:rPr>
        <w:t>،</w:t>
      </w:r>
    </w:p>
    <w:p w14:paraId="21F38A7C" w14:textId="77777777" w:rsidR="00DC7AEC" w:rsidRPr="00FC0F14" w:rsidRDefault="00DC7AEC" w:rsidP="00DC7AEC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إذ تذك</w:t>
      </w:r>
      <w:r>
        <w:rPr>
          <w:rFonts w:hint="cs"/>
          <w:rtl/>
        </w:rPr>
        <w:t>ِ</w:t>
      </w:r>
      <w:r w:rsidRPr="00FC0F14">
        <w:rPr>
          <w:rFonts w:hint="cs"/>
          <w:rtl/>
        </w:rPr>
        <w:t>ّر</w:t>
      </w:r>
    </w:p>
    <w:p w14:paraId="17148786" w14:textId="77777777" w:rsidR="00DC7AEC" w:rsidRPr="00FC0F14" w:rsidRDefault="00DC7AEC" w:rsidP="00DC7AEC">
      <w:pPr>
        <w:rPr>
          <w:rtl/>
        </w:rPr>
      </w:pPr>
      <w:r w:rsidRPr="00FC0F14">
        <w:rPr>
          <w:i/>
          <w:iCs/>
          <w:rtl/>
        </w:rPr>
        <w:t xml:space="preserve"> أ 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بالقرار </w:t>
      </w:r>
      <w:r w:rsidRPr="00FC0F14">
        <w:t>190</w:t>
      </w:r>
      <w:r w:rsidRPr="00FC0F14">
        <w:rPr>
          <w:rtl/>
          <w:lang w:bidi="ar-EG"/>
        </w:rPr>
        <w:t xml:space="preserve"> (بوسان، </w:t>
      </w:r>
      <w:r w:rsidRPr="00FC0F14">
        <w:rPr>
          <w:lang w:bidi="ar-EG"/>
        </w:rPr>
        <w:t>2014</w:t>
      </w:r>
      <w:r w:rsidRPr="00FC0F14">
        <w:rPr>
          <w:rtl/>
          <w:lang w:bidi="ar-EG"/>
        </w:rPr>
        <w:t xml:space="preserve">) </w:t>
      </w:r>
      <w:r w:rsidRPr="00FC0F14">
        <w:rPr>
          <w:rFonts w:hint="eastAsia"/>
          <w:rtl/>
          <w:lang w:bidi="ar-EG"/>
        </w:rPr>
        <w:t>لمؤتمر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المندوبين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المفوضين</w:t>
      </w:r>
      <w:r w:rsidRPr="00FC0F14">
        <w:rPr>
          <w:rFonts w:hint="cs"/>
          <w:rtl/>
          <w:lang w:bidi="ar-EG"/>
        </w:rPr>
        <w:t xml:space="preserve">، </w:t>
      </w:r>
      <w:r w:rsidRPr="00FC0F14">
        <w:rPr>
          <w:rFonts w:hint="eastAsia"/>
          <w:rtl/>
        </w:rPr>
        <w:t>بشأن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مواجهة</w:t>
      </w:r>
      <w:r w:rsidRPr="00FC0F14">
        <w:rPr>
          <w:rtl/>
        </w:rPr>
        <w:t xml:space="preserve"> سوء استغلال و</w:t>
      </w:r>
      <w:r w:rsidRPr="00FC0F14">
        <w:rPr>
          <w:rFonts w:hint="cs"/>
          <w:rtl/>
        </w:rPr>
        <w:t xml:space="preserve">سوء </w:t>
      </w:r>
      <w:r w:rsidRPr="00FC0F14">
        <w:rPr>
          <w:rtl/>
        </w:rPr>
        <w:t>استعمال موارد الترقيم الدولية للاتصالات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الذي</w:t>
      </w:r>
      <w:r w:rsidRPr="00FC0F14">
        <w:rPr>
          <w:rtl/>
        </w:rPr>
        <w:t xml:space="preserve"> يحث قطاع تقييس الاتصالات بالاتحاد </w:t>
      </w:r>
      <w:r w:rsidRPr="00FC0F14">
        <w:t>(ITU-T)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على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مواصلة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دراسة</w:t>
      </w:r>
      <w:r w:rsidRPr="00FC0F14">
        <w:rPr>
          <w:rtl/>
          <w:lang w:bidi="ar-EG"/>
        </w:rPr>
        <w:t xml:space="preserve"> أساليب ووسائل تحسين فهم</w:t>
      </w:r>
      <w:r w:rsidRPr="00FC0F14">
        <w:rPr>
          <w:rFonts w:hint="cs"/>
          <w:rtl/>
          <w:lang w:bidi="ar-EG"/>
        </w:rPr>
        <w:t xml:space="preserve"> حالات</w:t>
      </w:r>
      <w:r w:rsidRPr="00FC0F14">
        <w:rPr>
          <w:rtl/>
          <w:lang w:bidi="ar-EG"/>
        </w:rPr>
        <w:t xml:space="preserve"> سوء استغلال و</w:t>
      </w:r>
      <w:r w:rsidRPr="00FC0F14">
        <w:rPr>
          <w:rFonts w:hint="cs"/>
          <w:rtl/>
          <w:lang w:bidi="ar-EG"/>
        </w:rPr>
        <w:t xml:space="preserve">سوء </w:t>
      </w:r>
      <w:r w:rsidRPr="00FC0F14">
        <w:rPr>
          <w:rtl/>
          <w:lang w:bidi="ar-EG"/>
        </w:rPr>
        <w:t>استعمال أ</w:t>
      </w:r>
      <w:r w:rsidRPr="00FC0F14">
        <w:rPr>
          <w:rFonts w:hint="cs"/>
          <w:rtl/>
          <w:lang w:bidi="ar-EG"/>
        </w:rPr>
        <w:t>رقام</w:t>
      </w:r>
      <w:r w:rsidRPr="00FC0F14">
        <w:rPr>
          <w:rtl/>
        </w:rPr>
        <w:t xml:space="preserve"> </w:t>
      </w:r>
      <w:r w:rsidRPr="00FC0F14">
        <w:rPr>
          <w:rtl/>
          <w:lang w:bidi="ar-EG"/>
        </w:rPr>
        <w:t xml:space="preserve">الهاتف المخصَّصة وفق التوصية </w:t>
      </w:r>
      <w:r w:rsidRPr="00FC0F14">
        <w:rPr>
          <w:lang w:bidi="ar-EG"/>
        </w:rPr>
        <w:t>ITU-T E.164</w:t>
      </w:r>
      <w:r w:rsidRPr="00FC0F14">
        <w:rPr>
          <w:rFonts w:hint="cs"/>
          <w:rtl/>
          <w:lang w:bidi="ar-EG"/>
        </w:rPr>
        <w:t xml:space="preserve"> وتحديدها وحلها</w:t>
      </w:r>
      <w:r w:rsidRPr="00FC0F14">
        <w:rPr>
          <w:rtl/>
          <w:lang w:bidi="ar-EG"/>
        </w:rPr>
        <w:t>؛</w:t>
      </w:r>
    </w:p>
    <w:p w14:paraId="099FD64E" w14:textId="77777777" w:rsidR="00DC7AEC" w:rsidRPr="00FC0F14" w:rsidRDefault="00DC7AEC" w:rsidP="00DC7AEC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 xml:space="preserve">بالقرار </w:t>
      </w:r>
      <w:r w:rsidRPr="00FC0F14">
        <w:t>29</w:t>
      </w:r>
      <w:r w:rsidRPr="00FC0F14">
        <w:rPr>
          <w:rFonts w:hint="cs"/>
          <w:rtl/>
          <w:lang w:bidi="ar-EG"/>
        </w:rPr>
        <w:t xml:space="preserve"> (المراجَع في </w:t>
      </w:r>
      <w:r>
        <w:rPr>
          <w:rFonts w:hint="cs"/>
          <w:rtl/>
          <w:lang w:bidi="ar-EG"/>
        </w:rPr>
        <w:t>نيودلهي، 2024</w:t>
      </w:r>
      <w:r w:rsidRPr="00FC0F14">
        <w:rPr>
          <w:rFonts w:hint="cs"/>
          <w:rtl/>
          <w:lang w:bidi="ar-SY"/>
        </w:rPr>
        <w:t xml:space="preserve">) </w:t>
      </w:r>
      <w:r w:rsidRPr="00FC0F14">
        <w:rPr>
          <w:rFonts w:hint="cs"/>
          <w:rtl/>
        </w:rPr>
        <w:t>لهذه الجمعية، فيما يتعلق بإجراءات النداء البديلة على شبكات الاتصالات الدولية والذي حث (</w:t>
      </w:r>
      <w:r>
        <w:rPr>
          <w:rFonts w:hint="cs"/>
          <w:rtl/>
        </w:rPr>
        <w:t>مستشهداً</w:t>
      </w:r>
      <w:r w:rsidRPr="00FC0F14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FC0F14">
        <w:rPr>
          <w:rFonts w:hint="cs"/>
          <w:rtl/>
        </w:rPr>
        <w:t xml:space="preserve">قرار مجلس الاتحاد </w:t>
      </w:r>
      <w:r w:rsidRPr="00FC0F14">
        <w:t>1099</w:t>
      </w:r>
      <w:r>
        <w:rPr>
          <w:rFonts w:hint="cs"/>
          <w:rtl/>
        </w:rPr>
        <w:t xml:space="preserve"> المعتمَد في دورته لعام 1996</w:t>
      </w:r>
      <w:r w:rsidRPr="00FC0F14">
        <w:rPr>
          <w:rFonts w:hint="cs"/>
          <w:rtl/>
          <w:lang w:bidi="ar-EG"/>
        </w:rPr>
        <w:t xml:space="preserve">) </w:t>
      </w:r>
      <w:r w:rsidRPr="00FC0F14">
        <w:rPr>
          <w:rFonts w:hint="cs"/>
          <w:rtl/>
        </w:rPr>
        <w:t xml:space="preserve">قطاع تقييس الاتصالات </w:t>
      </w:r>
      <w:r w:rsidRPr="00FC0F14">
        <w:t>(ITU</w:t>
      </w:r>
      <w:r w:rsidRPr="00FC0F14">
        <w:noBreakHyphen/>
        <w:t>T)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</w:rPr>
        <w:t>على أن يضع، في أقرب وقت ممكن، التوصيات الملائمة فيما يتعلق بإجراءات النداء البديلة؛</w:t>
      </w:r>
    </w:p>
    <w:p w14:paraId="53ED31C5" w14:textId="77777777" w:rsidR="00DC7AEC" w:rsidRPr="00FC0F14" w:rsidRDefault="00DC7AEC" w:rsidP="00DC7AEC">
      <w:pPr>
        <w:rPr>
          <w:rtl/>
        </w:rPr>
      </w:pPr>
      <w:r w:rsidRPr="00FC0F14">
        <w:rPr>
          <w:rFonts w:hint="eastAsia"/>
          <w:i/>
          <w:iCs/>
          <w:rtl/>
        </w:rPr>
        <w:t>ج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402092">
        <w:rPr>
          <w:rtl/>
        </w:rPr>
        <w:t>بالتوصية</w:t>
      </w:r>
      <w:r w:rsidRPr="00FC0F14">
        <w:rPr>
          <w:rtl/>
        </w:rPr>
        <w:t xml:space="preserve"> </w:t>
      </w:r>
      <w:r w:rsidRPr="00FC0F14">
        <w:t>ITU-T E.156</w:t>
      </w:r>
      <w:r w:rsidRPr="00FC0F14">
        <w:rPr>
          <w:rtl/>
        </w:rPr>
        <w:t xml:space="preserve"> التي تضع المبادئ التوجيهية لتدابير قطاع تقييس الاتصالات بشأن الحالات المبلغ عنها فيما</w:t>
      </w:r>
      <w:r w:rsidRPr="00FC0F14">
        <w:rPr>
          <w:rFonts w:hint="cs"/>
          <w:rtl/>
        </w:rPr>
        <w:t> </w:t>
      </w:r>
      <w:r w:rsidRPr="00FC0F14">
        <w:rPr>
          <w:rtl/>
        </w:rPr>
        <w:t xml:space="preserve">يتعلق بإساءة استعمال موارد الترقيم </w:t>
      </w:r>
      <w:r w:rsidRPr="00FC0F14">
        <w:t>ITU-T E.164</w:t>
      </w:r>
      <w:r w:rsidRPr="00FC0F14">
        <w:rPr>
          <w:rtl/>
        </w:rPr>
        <w:t xml:space="preserve">، والإضافة 1 للتوصية </w:t>
      </w:r>
      <w:r w:rsidRPr="00FC0F14">
        <w:t>ITU-T E.156</w:t>
      </w:r>
      <w:r w:rsidRPr="00FC0F14">
        <w:rPr>
          <w:rtl/>
        </w:rPr>
        <w:t xml:space="preserve"> التي توفر دليلاً عن الممارسات </w:t>
      </w:r>
      <w:r>
        <w:rPr>
          <w:rFonts w:hint="cs"/>
          <w:rtl/>
        </w:rPr>
        <w:t xml:space="preserve">الفضلى </w:t>
      </w:r>
      <w:r w:rsidRPr="00FC0F14">
        <w:rPr>
          <w:rtl/>
        </w:rPr>
        <w:t xml:space="preserve">في التصدي لسوء استعمال موارد الترقيم </w:t>
      </w:r>
      <w:r w:rsidRPr="00FC0F14">
        <w:t>ITU-T E.164</w:t>
      </w:r>
      <w:r w:rsidRPr="00FC0F14">
        <w:rPr>
          <w:rtl/>
        </w:rPr>
        <w:t xml:space="preserve">، والإضافة 2 للتوصية </w:t>
      </w:r>
      <w:r w:rsidRPr="00FC0F14">
        <w:t>ITU-T E.156</w:t>
      </w:r>
      <w:r w:rsidRPr="00FC0F14">
        <w:rPr>
          <w:rtl/>
        </w:rPr>
        <w:t xml:space="preserve"> التي تقدم مجموعة من الإجراءات الممكنة لمكافحة سوء الاستعمال؛</w:t>
      </w:r>
    </w:p>
    <w:p w14:paraId="4D9B3EB0" w14:textId="77777777" w:rsidR="00DC7AEC" w:rsidRPr="00FC0F14" w:rsidRDefault="00DC7AEC" w:rsidP="00DC7AEC">
      <w:pPr>
        <w:rPr>
          <w:rtl/>
        </w:rPr>
      </w:pPr>
      <w:r w:rsidRPr="00FC0F14">
        <w:rPr>
          <w:rFonts w:hint="cs"/>
          <w:i/>
          <w:iCs/>
          <w:rtl/>
        </w:rPr>
        <w:t>د )</w:t>
      </w:r>
      <w:r w:rsidRPr="00FC0F14">
        <w:rPr>
          <w:rFonts w:hint="cs"/>
          <w:rtl/>
        </w:rPr>
        <w:tab/>
        <w:t>بأن أحد أهداف الاتحاد يتمثل في تعزيز التعاون بين الأعضاء تحقيقاً لانسجام تنمية الاتصالات وتمكيناً لتقديم الخدمات بأقل تكلفة،</w:t>
      </w:r>
    </w:p>
    <w:p w14:paraId="57C0C3E5" w14:textId="77777777" w:rsidR="00DC7AEC" w:rsidRPr="00FC0F14" w:rsidRDefault="00DC7AEC" w:rsidP="00DC7AEC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تلاحظ</w:t>
      </w:r>
    </w:p>
    <w:p w14:paraId="19281FDB" w14:textId="77777777" w:rsidR="00DC7AEC" w:rsidRPr="00FC0F14" w:rsidRDefault="00DC7AEC" w:rsidP="00DC7AEC">
      <w:pPr>
        <w:rPr>
          <w:rtl/>
          <w:lang w:bidi="ar-EG"/>
        </w:rPr>
      </w:pPr>
      <w:r w:rsidRPr="00FC0F14">
        <w:rPr>
          <w:rFonts w:hint="cs"/>
          <w:rtl/>
        </w:rPr>
        <w:t>عدد الحالات المبلغ عنها حتى الآن إلى مدير مكتب تقييس الاتصالات</w:t>
      </w:r>
      <w:r w:rsidRPr="00FC0F14">
        <w:rPr>
          <w:rFonts w:hint="eastAsia"/>
          <w:rtl/>
        </w:rPr>
        <w:t> </w:t>
      </w:r>
      <w:r w:rsidRPr="00FC0F14">
        <w:t>(TSB)</w:t>
      </w:r>
      <w:r w:rsidRPr="00FC0F14">
        <w:rPr>
          <w:rFonts w:hint="cs"/>
          <w:rtl/>
        </w:rPr>
        <w:t xml:space="preserve"> والمتعلقة بسوء استغلال وسوء استعمال أرقام التوصية </w:t>
      </w:r>
      <w:r w:rsidRPr="00FC0F14">
        <w:rPr>
          <w:szCs w:val="24"/>
          <w:lang w:eastAsia="en-AU"/>
        </w:rPr>
        <w:t>ITU</w:t>
      </w:r>
      <w:r w:rsidRPr="00FC0F14">
        <w:rPr>
          <w:szCs w:val="24"/>
          <w:lang w:eastAsia="en-AU"/>
        </w:rPr>
        <w:noBreakHyphen/>
        <w:t>T </w:t>
      </w:r>
      <w:r w:rsidRPr="00FC0F14">
        <w:rPr>
          <w:szCs w:val="24"/>
          <w:lang w:val="en-AU" w:eastAsia="en-AU"/>
        </w:rPr>
        <w:t>E.164</w:t>
      </w:r>
      <w:r w:rsidRPr="00FC0F14">
        <w:rPr>
          <w:rFonts w:hint="cs"/>
          <w:rtl/>
          <w:lang w:bidi="ar-EG"/>
        </w:rPr>
        <w:t>،</w:t>
      </w:r>
    </w:p>
    <w:p w14:paraId="335ACB1C" w14:textId="77777777" w:rsidR="00DC7AEC" w:rsidRPr="00FC0F14" w:rsidRDefault="00DC7AEC" w:rsidP="00DC7AEC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تدرك</w:t>
      </w:r>
    </w:p>
    <w:p w14:paraId="3D2EADA4" w14:textId="77777777" w:rsidR="00DC7AEC" w:rsidRPr="00FC0F14" w:rsidRDefault="00DC7AEC" w:rsidP="00DC7AEC">
      <w:pPr>
        <w:rPr>
          <w:spacing w:val="2"/>
          <w:rtl/>
        </w:rPr>
      </w:pPr>
      <w:r w:rsidRPr="00FC0F14">
        <w:rPr>
          <w:rFonts w:hint="cs"/>
          <w:i/>
          <w:iCs/>
          <w:spacing w:val="2"/>
          <w:rtl/>
        </w:rPr>
        <w:t xml:space="preserve"> </w:t>
      </w:r>
      <w:r w:rsidRPr="00FC0F14">
        <w:rPr>
          <w:rFonts w:hint="eastAsia"/>
          <w:i/>
          <w:iCs/>
          <w:spacing w:val="2"/>
          <w:rtl/>
        </w:rPr>
        <w:t>أ</w:t>
      </w:r>
      <w:r w:rsidRPr="00FC0F14">
        <w:rPr>
          <w:i/>
          <w:iCs/>
          <w:spacing w:val="2"/>
          <w:rtl/>
        </w:rPr>
        <w:t xml:space="preserve"> )</w:t>
      </w:r>
      <w:r w:rsidRPr="00FC0F14">
        <w:rPr>
          <w:spacing w:val="2"/>
          <w:rtl/>
        </w:rPr>
        <w:tab/>
      </w:r>
      <w:r w:rsidRPr="00FC0F14">
        <w:rPr>
          <w:rFonts w:hint="eastAsia"/>
          <w:spacing w:val="2"/>
          <w:rtl/>
        </w:rPr>
        <w:t>أن</w:t>
      </w:r>
      <w:r w:rsidRPr="00FC0F14">
        <w:rPr>
          <w:spacing w:val="2"/>
          <w:rtl/>
        </w:rPr>
        <w:t xml:space="preserve"> </w:t>
      </w:r>
      <w:r w:rsidRPr="00FC0F14">
        <w:rPr>
          <w:rFonts w:hint="cs"/>
          <w:spacing w:val="2"/>
          <w:rtl/>
        </w:rPr>
        <w:t>سوء الاستغلال</w:t>
      </w:r>
      <w:r w:rsidRPr="00FC0F14">
        <w:rPr>
          <w:spacing w:val="2"/>
          <w:rtl/>
        </w:rPr>
        <w:t xml:space="preserve"> الاحتيالي </w:t>
      </w:r>
      <w:r w:rsidRPr="00FC0F14">
        <w:rPr>
          <w:rFonts w:hint="cs"/>
          <w:spacing w:val="2"/>
          <w:rtl/>
        </w:rPr>
        <w:t xml:space="preserve">وسوء استعمال </w:t>
      </w:r>
      <w:r w:rsidRPr="00FC0F14">
        <w:rPr>
          <w:rFonts w:hint="eastAsia"/>
          <w:spacing w:val="2"/>
          <w:rtl/>
        </w:rPr>
        <w:t>أرقام</w:t>
      </w:r>
      <w:r w:rsidRPr="00FC0F14">
        <w:rPr>
          <w:spacing w:val="2"/>
          <w:rtl/>
        </w:rPr>
        <w:t xml:space="preserve"> </w:t>
      </w:r>
      <w:r w:rsidRPr="00FC0F14">
        <w:rPr>
          <w:rFonts w:hint="eastAsia"/>
          <w:spacing w:val="2"/>
          <w:rtl/>
        </w:rPr>
        <w:t>الهاتف</w:t>
      </w:r>
      <w:r w:rsidRPr="00FC0F14">
        <w:rPr>
          <w:spacing w:val="2"/>
          <w:rtl/>
        </w:rPr>
        <w:t xml:space="preserve"> </w:t>
      </w:r>
      <w:r w:rsidRPr="00FC0F14">
        <w:rPr>
          <w:rFonts w:hint="eastAsia"/>
          <w:spacing w:val="2"/>
          <w:rtl/>
        </w:rPr>
        <w:t>الوطنية</w:t>
      </w:r>
      <w:r w:rsidRPr="00FC0F14">
        <w:rPr>
          <w:spacing w:val="2"/>
          <w:rtl/>
        </w:rPr>
        <w:t xml:space="preserve"> </w:t>
      </w:r>
      <w:r w:rsidRPr="00FC0F14">
        <w:rPr>
          <w:rFonts w:hint="eastAsia"/>
          <w:spacing w:val="2"/>
          <w:rtl/>
        </w:rPr>
        <w:t>والرموز</w:t>
      </w:r>
      <w:r w:rsidRPr="00FC0F14">
        <w:rPr>
          <w:spacing w:val="2"/>
          <w:rtl/>
        </w:rPr>
        <w:t xml:space="preserve"> </w:t>
      </w:r>
      <w:r w:rsidRPr="00FC0F14">
        <w:rPr>
          <w:rFonts w:hint="eastAsia"/>
          <w:spacing w:val="2"/>
          <w:rtl/>
        </w:rPr>
        <w:t>الدليلية</w:t>
      </w:r>
      <w:r w:rsidRPr="00FC0F14">
        <w:rPr>
          <w:spacing w:val="2"/>
          <w:rtl/>
        </w:rPr>
        <w:t xml:space="preserve"> </w:t>
      </w:r>
      <w:r w:rsidRPr="00FC0F14">
        <w:rPr>
          <w:rFonts w:hint="eastAsia"/>
          <w:spacing w:val="2"/>
          <w:rtl/>
        </w:rPr>
        <w:t>الق</w:t>
      </w:r>
      <w:r>
        <w:rPr>
          <w:rFonts w:hint="cs"/>
          <w:spacing w:val="2"/>
          <w:rtl/>
        </w:rPr>
        <w:t>ُ</w:t>
      </w:r>
      <w:r w:rsidRPr="00FC0F14">
        <w:rPr>
          <w:rFonts w:hint="eastAsia"/>
          <w:spacing w:val="2"/>
          <w:rtl/>
        </w:rPr>
        <w:t>طرية</w:t>
      </w:r>
      <w:r w:rsidRPr="00FC0F14">
        <w:rPr>
          <w:spacing w:val="2"/>
          <w:rtl/>
        </w:rPr>
        <w:t xml:space="preserve"> </w:t>
      </w:r>
      <w:r w:rsidRPr="00FC0F14">
        <w:rPr>
          <w:rFonts w:hint="eastAsia"/>
          <w:spacing w:val="2"/>
          <w:rtl/>
        </w:rPr>
        <w:t>عمل</w:t>
      </w:r>
      <w:r w:rsidRPr="00FC0F14">
        <w:rPr>
          <w:spacing w:val="2"/>
          <w:rtl/>
        </w:rPr>
        <w:t xml:space="preserve"> </w:t>
      </w:r>
      <w:r w:rsidRPr="00FC0F14">
        <w:rPr>
          <w:rFonts w:hint="eastAsia"/>
          <w:spacing w:val="2"/>
          <w:rtl/>
        </w:rPr>
        <w:t>ضار</w:t>
      </w:r>
      <w:r w:rsidRPr="00FC0F14">
        <w:rPr>
          <w:rFonts w:hint="cs"/>
          <w:spacing w:val="2"/>
          <w:rtl/>
        </w:rPr>
        <w:t xml:space="preserve"> ويؤثر على الإيرادات وجودة الخدمة</w:t>
      </w:r>
      <w:r>
        <w:rPr>
          <w:rFonts w:hint="cs"/>
          <w:spacing w:val="2"/>
          <w:rtl/>
        </w:rPr>
        <w:t xml:space="preserve"> والموثوقية</w:t>
      </w:r>
      <w:r w:rsidRPr="00FC0F14">
        <w:rPr>
          <w:rFonts w:hint="cs"/>
          <w:spacing w:val="2"/>
          <w:rtl/>
        </w:rPr>
        <w:t xml:space="preserve"> وثقة العملاء</w:t>
      </w:r>
      <w:r>
        <w:rPr>
          <w:rFonts w:hint="cs"/>
          <w:spacing w:val="2"/>
          <w:rtl/>
        </w:rPr>
        <w:t>،</w:t>
      </w:r>
      <w:r>
        <w:rPr>
          <w:rFonts w:hint="cs"/>
          <w:spacing w:val="2"/>
          <w:rtl/>
          <w:lang w:bidi="ar-EG"/>
        </w:rPr>
        <w:t xml:space="preserve"> و</w:t>
      </w:r>
      <w:r w:rsidRPr="00024AED">
        <w:rPr>
          <w:spacing w:val="2"/>
          <w:rtl/>
          <w:lang w:bidi="ar-EG"/>
        </w:rPr>
        <w:t>النفاذ إلى خدمات الطوارئ</w:t>
      </w:r>
      <w:r w:rsidRPr="00FC0F14">
        <w:rPr>
          <w:rFonts w:hint="eastAsia"/>
          <w:spacing w:val="2"/>
          <w:rtl/>
        </w:rPr>
        <w:t>؛</w:t>
      </w:r>
    </w:p>
    <w:p w14:paraId="15DE0418" w14:textId="77777777" w:rsidR="00DC7AEC" w:rsidRPr="00FC0F14" w:rsidRDefault="00DC7AEC" w:rsidP="00DC7AEC">
      <w:pPr>
        <w:rPr>
          <w:spacing w:val="2"/>
          <w:rtl/>
        </w:rPr>
      </w:pPr>
      <w:r w:rsidRPr="00FC0F14">
        <w:rPr>
          <w:rFonts w:hint="cs"/>
          <w:i/>
          <w:iCs/>
          <w:spacing w:val="2"/>
          <w:rtl/>
        </w:rPr>
        <w:t>ب)</w:t>
      </w:r>
      <w:r w:rsidRPr="00FC0F14">
        <w:rPr>
          <w:rFonts w:hint="cs"/>
          <w:spacing w:val="2"/>
          <w:rtl/>
        </w:rPr>
        <w:tab/>
        <w:t>أن حجب النداءات بتعطيل الرمز الدليلي لبلد ما درءاً للاحتيال عمل ضار؛</w:t>
      </w:r>
    </w:p>
    <w:p w14:paraId="014FBB2E" w14:textId="77777777" w:rsidR="00DC7AEC" w:rsidRPr="00FC0F14" w:rsidRDefault="00DC7AEC" w:rsidP="00DC7AEC">
      <w:pPr>
        <w:rPr>
          <w:spacing w:val="2"/>
          <w:rtl/>
          <w:lang w:bidi="ar-SY"/>
        </w:rPr>
      </w:pPr>
      <w:r w:rsidRPr="00FC0F14">
        <w:rPr>
          <w:rFonts w:hint="cs"/>
          <w:i/>
          <w:iCs/>
          <w:spacing w:val="2"/>
          <w:rtl/>
        </w:rPr>
        <w:t>ج)</w:t>
      </w:r>
      <w:r w:rsidRPr="00FC0F14">
        <w:rPr>
          <w:rFonts w:hint="cs"/>
          <w:spacing w:val="2"/>
          <w:rtl/>
        </w:rPr>
        <w:tab/>
        <w:t>أن الأنشطة غير الملائمة التي تتسبب في خسائر في الإيرادات تعد قضية هامة تستدعي مواصلة دراستها؛</w:t>
      </w:r>
    </w:p>
    <w:p w14:paraId="104A6CED" w14:textId="56839A79" w:rsidR="00B24A26" w:rsidRDefault="00DC7AEC" w:rsidP="00B24A26">
      <w:pPr>
        <w:rPr>
          <w:spacing w:val="2"/>
          <w:rtl/>
          <w:lang w:bidi="ar-EG"/>
        </w:rPr>
      </w:pPr>
      <w:r w:rsidRPr="00FC0F14">
        <w:rPr>
          <w:rFonts w:hint="cs"/>
          <w:i/>
          <w:iCs/>
          <w:spacing w:val="2"/>
          <w:rtl/>
        </w:rPr>
        <w:t>د )</w:t>
      </w:r>
      <w:r w:rsidRPr="00FC0F14">
        <w:rPr>
          <w:rFonts w:hint="cs"/>
          <w:spacing w:val="2"/>
          <w:rtl/>
        </w:rPr>
        <w:tab/>
        <w:t>الأحكام ذات الصلة في ديباجة دستور الاتحاد التي تقر بالحق السيادي لكل دولة في تنظيم اتصالاتها؛</w:t>
      </w:r>
    </w:p>
    <w:p w14:paraId="5084E4B3" w14:textId="33BB6386" w:rsidR="00B24A26" w:rsidRDefault="00B24A26" w:rsidP="00B24A26">
      <w:pPr>
        <w:rPr>
          <w:spacing w:val="2"/>
          <w:rtl/>
          <w:lang w:bidi="ar-EG"/>
        </w:rPr>
      </w:pPr>
      <w:r>
        <w:rPr>
          <w:spacing w:val="2"/>
          <w:rtl/>
          <w:lang w:bidi="ar-EG"/>
        </w:rPr>
        <w:br w:type="page"/>
      </w:r>
    </w:p>
    <w:p w14:paraId="4137A775" w14:textId="77777777" w:rsidR="00DC7AEC" w:rsidRPr="00FC0F14" w:rsidRDefault="00DC7AEC" w:rsidP="00DC7AEC">
      <w:pPr>
        <w:rPr>
          <w:spacing w:val="2"/>
          <w:rtl/>
        </w:rPr>
      </w:pPr>
      <w:r w:rsidRPr="00FC0F14">
        <w:rPr>
          <w:rFonts w:hint="eastAsia"/>
          <w:i/>
          <w:iCs/>
          <w:spacing w:val="2"/>
          <w:rtl/>
        </w:rPr>
        <w:lastRenderedPageBreak/>
        <w:t>هـ</w:t>
      </w:r>
      <w:r w:rsidRPr="00FC0F14">
        <w:rPr>
          <w:i/>
          <w:iCs/>
          <w:spacing w:val="2"/>
          <w:rtl/>
        </w:rPr>
        <w:t xml:space="preserve"> )</w:t>
      </w:r>
      <w:r w:rsidRPr="00FC0F14">
        <w:rPr>
          <w:i/>
          <w:iCs/>
          <w:spacing w:val="2"/>
          <w:rtl/>
        </w:rPr>
        <w:tab/>
      </w:r>
      <w:r w:rsidRPr="00FC0F14">
        <w:rPr>
          <w:spacing w:val="2"/>
          <w:rtl/>
        </w:rPr>
        <w:t>أن المنازعات المتعلقة بسوء استعمال وسوء استغلال موارد الترقيم الدولية للاتصالات ل</w:t>
      </w:r>
      <w:r w:rsidRPr="00FC0F14">
        <w:rPr>
          <w:rFonts w:hint="cs"/>
          <w:spacing w:val="2"/>
          <w:rtl/>
        </w:rPr>
        <w:t>ل</w:t>
      </w:r>
      <w:r w:rsidRPr="00FC0F14">
        <w:rPr>
          <w:spacing w:val="2"/>
          <w:rtl/>
        </w:rPr>
        <w:t>مناطق الجغرافية، التي تديرها الدول الأعضاء، تمثل مسألة على الدول الأعضاء المعنية أن تحلها</w:t>
      </w:r>
      <w:r w:rsidRPr="00FC0F14">
        <w:rPr>
          <w:rFonts w:hint="cs"/>
          <w:spacing w:val="2"/>
          <w:rtl/>
        </w:rPr>
        <w:t xml:space="preserve"> بمساعدة مدير مكتب تقييس الاتصالات عند الطلب</w:t>
      </w:r>
      <w:r w:rsidRPr="00FC0F14">
        <w:rPr>
          <w:spacing w:val="2"/>
          <w:rtl/>
        </w:rPr>
        <w:t>،</w:t>
      </w:r>
    </w:p>
    <w:p w14:paraId="0F201A89" w14:textId="77777777" w:rsidR="00DC7AEC" w:rsidRPr="00FC0F14" w:rsidRDefault="00DC7AEC" w:rsidP="00DC7AEC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تقرر أن تدعو الدول الأعضاء</w:t>
      </w:r>
      <w:r w:rsidRPr="00FC0F14">
        <w:rPr>
          <w:rFonts w:hint="cs"/>
          <w:spacing w:val="-2"/>
          <w:rtl/>
        </w:rPr>
        <w:t xml:space="preserve"> إلى</w:t>
      </w:r>
    </w:p>
    <w:p w14:paraId="5DA6A3E1" w14:textId="77777777" w:rsidR="00DC7AEC" w:rsidRPr="00FC0F14" w:rsidRDefault="00DC7AEC" w:rsidP="00DC7AEC">
      <w:pPr>
        <w:rPr>
          <w:rtl/>
          <w:lang w:bidi="ar-SY"/>
        </w:rPr>
      </w:pPr>
      <w:r w:rsidRPr="00FC0F14">
        <w:t>1</w:t>
      </w:r>
      <w:r w:rsidRPr="00FC0F14">
        <w:tab/>
      </w:r>
      <w:r w:rsidRPr="00FC0F14">
        <w:rPr>
          <w:rFonts w:hint="cs"/>
          <w:spacing w:val="-2"/>
          <w:rtl/>
        </w:rPr>
        <w:t xml:space="preserve">التأكد من أن موارد </w:t>
      </w:r>
      <w:r>
        <w:rPr>
          <w:color w:val="000000"/>
          <w:rtl/>
        </w:rPr>
        <w:t>الترقيم والتسمية والعنونة وتحديد الهوية</w:t>
      </w:r>
      <w:r>
        <w:rPr>
          <w:color w:val="000000"/>
        </w:rPr>
        <w:t xml:space="preserve"> (NNAI) </w:t>
      </w:r>
      <w:r w:rsidRPr="00FC0F14">
        <w:rPr>
          <w:rFonts w:hint="cs"/>
          <w:spacing w:val="-2"/>
          <w:rtl/>
        </w:rPr>
        <w:t>لا تستعمل إلا من جانب الجهات المخصصة لها وللأغراض المخصصة لها؛</w:t>
      </w:r>
      <w:r w:rsidRPr="00FC0F14">
        <w:rPr>
          <w:rFonts w:hint="cs"/>
          <w:rtl/>
        </w:rPr>
        <w:t xml:space="preserve"> مع عدم استعمال الموارد غير </w:t>
      </w:r>
      <w:proofErr w:type="gramStart"/>
      <w:r w:rsidRPr="00FC0F14">
        <w:rPr>
          <w:rFonts w:hint="cs"/>
          <w:rtl/>
        </w:rPr>
        <w:t>المخصصة؛</w:t>
      </w:r>
      <w:proofErr w:type="gramEnd"/>
    </w:p>
    <w:p w14:paraId="5CE9CBB9" w14:textId="77777777" w:rsidR="00DC7AEC" w:rsidRPr="00FC0F14" w:rsidRDefault="00DC7AEC" w:rsidP="00DC7AEC">
      <w:pPr>
        <w:rPr>
          <w:rtl/>
        </w:rPr>
      </w:pPr>
      <w:r w:rsidRPr="00FC0F14">
        <w:t>2</w:t>
      </w:r>
      <w:r w:rsidRPr="00FC0F14">
        <w:rPr>
          <w:rtl/>
        </w:rPr>
        <w:tab/>
      </w:r>
      <w:r w:rsidRPr="00FC0F14">
        <w:rPr>
          <w:rFonts w:hint="cs"/>
          <w:rtl/>
          <w:lang w:val="ru-RU" w:bidi="ar-EG"/>
        </w:rPr>
        <w:t xml:space="preserve">السعي </w:t>
      </w:r>
      <w:r w:rsidRPr="00FC0F14">
        <w:rPr>
          <w:rFonts w:hint="cs"/>
          <w:rtl/>
        </w:rPr>
        <w:t>ل</w:t>
      </w:r>
      <w:r w:rsidRPr="00FC0F14">
        <w:rPr>
          <w:rtl/>
        </w:rPr>
        <w:t>قيام وكالات التشغيل</w:t>
      </w:r>
      <w:r w:rsidRPr="00FC0F14">
        <w:rPr>
          <w:rFonts w:hint="cs"/>
          <w:rtl/>
        </w:rPr>
        <w:t xml:space="preserve"> المرخص لها من الدول الأعضاء</w:t>
      </w:r>
      <w:r w:rsidRPr="00FC0F14">
        <w:rPr>
          <w:rtl/>
        </w:rPr>
        <w:t xml:space="preserve"> بالإفصاح </w:t>
      </w:r>
      <w:r w:rsidRPr="00FC0F14">
        <w:rPr>
          <w:rFonts w:hint="eastAsia"/>
          <w:rtl/>
        </w:rPr>
        <w:t>عن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معلومات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التسيير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للوكالات</w:t>
      </w:r>
      <w:r w:rsidRPr="00FC0F14">
        <w:rPr>
          <w:rtl/>
        </w:rPr>
        <w:t xml:space="preserve"> المخولة على النحو الواجب في </w:t>
      </w:r>
      <w:r w:rsidRPr="00FC0F14">
        <w:rPr>
          <w:rFonts w:hint="eastAsia"/>
          <w:rtl/>
        </w:rPr>
        <w:t>حالات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الاحتيال</w:t>
      </w:r>
      <w:r w:rsidRPr="00FC0F14">
        <w:rPr>
          <w:rFonts w:hint="cs"/>
          <w:rtl/>
        </w:rPr>
        <w:t xml:space="preserve"> أو سوء استعمال/سوء استغلال موارد الترقيم</w:t>
      </w:r>
      <w:r>
        <w:rPr>
          <w:rFonts w:hint="cs"/>
          <w:rtl/>
        </w:rPr>
        <w:t xml:space="preserve"> والتسمية والعنونة وتحديد الهوية</w:t>
      </w:r>
      <w:r w:rsidRPr="00FC0F14">
        <w:rPr>
          <w:rFonts w:hint="cs"/>
          <w:rtl/>
        </w:rPr>
        <w:t xml:space="preserve">، وفقاً للقوانين </w:t>
      </w:r>
      <w:proofErr w:type="gramStart"/>
      <w:r w:rsidRPr="00FC0F14">
        <w:rPr>
          <w:rFonts w:hint="cs"/>
          <w:rtl/>
        </w:rPr>
        <w:t>الوطنية؛</w:t>
      </w:r>
      <w:proofErr w:type="gramEnd"/>
    </w:p>
    <w:p w14:paraId="10396202" w14:textId="77777777" w:rsidR="00DC7AEC" w:rsidRPr="00FC0F14" w:rsidRDefault="00DC7AEC" w:rsidP="00DC7AEC">
      <w:pPr>
        <w:rPr>
          <w:spacing w:val="2"/>
          <w:rtl/>
        </w:rPr>
      </w:pPr>
      <w:r w:rsidRPr="00FC0F14">
        <w:rPr>
          <w:spacing w:val="2"/>
        </w:rPr>
        <w:t>3</w:t>
      </w:r>
      <w:r w:rsidRPr="00FC0F14">
        <w:rPr>
          <w:spacing w:val="2"/>
          <w:rtl/>
        </w:rPr>
        <w:tab/>
      </w:r>
      <w:r w:rsidRPr="00FC0F14">
        <w:rPr>
          <w:rFonts w:hint="cs"/>
          <w:spacing w:val="2"/>
          <w:rtl/>
        </w:rPr>
        <w:t xml:space="preserve">تشجيع الإدارات ووكالات التشغيل والهيئات التنظيمية الوطنية على التعاون </w:t>
      </w:r>
      <w:r>
        <w:rPr>
          <w:rFonts w:hint="cs"/>
          <w:spacing w:val="2"/>
          <w:rtl/>
        </w:rPr>
        <w:t xml:space="preserve">وتبادل </w:t>
      </w:r>
      <w:r w:rsidRPr="00FC0F14">
        <w:rPr>
          <w:rFonts w:hint="cs"/>
          <w:spacing w:val="2"/>
          <w:rtl/>
        </w:rPr>
        <w:t xml:space="preserve">المعلومات عن </w:t>
      </w:r>
      <w:r w:rsidRPr="00FC0F14">
        <w:rPr>
          <w:rFonts w:hint="eastAsia"/>
          <w:spacing w:val="2"/>
          <w:rtl/>
        </w:rPr>
        <w:t>الأنشطة</w:t>
      </w:r>
      <w:r w:rsidRPr="00FC0F14">
        <w:rPr>
          <w:spacing w:val="2"/>
          <w:rtl/>
        </w:rPr>
        <w:t xml:space="preserve"> </w:t>
      </w:r>
      <w:r w:rsidRPr="00FC0F14">
        <w:rPr>
          <w:rFonts w:hint="eastAsia"/>
          <w:spacing w:val="2"/>
          <w:rtl/>
        </w:rPr>
        <w:t>الاحتيالية</w:t>
      </w:r>
      <w:r w:rsidRPr="00FC0F14">
        <w:rPr>
          <w:spacing w:val="2"/>
          <w:rtl/>
        </w:rPr>
        <w:t xml:space="preserve"> </w:t>
      </w:r>
      <w:r w:rsidRPr="00FC0F14">
        <w:rPr>
          <w:rFonts w:hint="eastAsia"/>
          <w:spacing w:val="2"/>
          <w:rtl/>
        </w:rPr>
        <w:t>المتعلقة</w:t>
      </w:r>
      <w:r w:rsidRPr="00FC0F14">
        <w:rPr>
          <w:rFonts w:hint="cs"/>
          <w:spacing w:val="2"/>
          <w:rtl/>
        </w:rPr>
        <w:t xml:space="preserve"> بسوء استغلال وسوء </w:t>
      </w:r>
      <w:r w:rsidRPr="00FC0F14">
        <w:rPr>
          <w:rFonts w:hint="eastAsia"/>
          <w:spacing w:val="2"/>
          <w:rtl/>
        </w:rPr>
        <w:t>استعمال</w:t>
      </w:r>
      <w:r w:rsidRPr="00FC0F14"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ال</w:t>
      </w:r>
      <w:r w:rsidRPr="00FC0F14">
        <w:rPr>
          <w:rFonts w:hint="eastAsia"/>
          <w:spacing w:val="2"/>
          <w:rtl/>
        </w:rPr>
        <w:t>موارد</w:t>
      </w:r>
      <w:r w:rsidRPr="00FC0F14"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>الدولية للترقيم</w:t>
      </w:r>
      <w:r w:rsidRPr="00FC0F14">
        <w:rPr>
          <w:spacing w:val="2"/>
          <w:rtl/>
        </w:rPr>
        <w:t xml:space="preserve"> </w:t>
      </w:r>
      <w:r>
        <w:rPr>
          <w:rFonts w:hint="cs"/>
          <w:spacing w:val="2"/>
          <w:rtl/>
        </w:rPr>
        <w:t xml:space="preserve">والتسمية والعنونة تحديد الهوية </w:t>
      </w:r>
      <w:r w:rsidRPr="00FC0F14">
        <w:rPr>
          <w:rFonts w:hint="cs"/>
          <w:spacing w:val="2"/>
          <w:rtl/>
        </w:rPr>
        <w:t xml:space="preserve">والتعاون في مواجهة ومكافحة </w:t>
      </w:r>
      <w:r w:rsidRPr="00FC0F14">
        <w:rPr>
          <w:rFonts w:hint="eastAsia"/>
          <w:spacing w:val="2"/>
          <w:rtl/>
        </w:rPr>
        <w:t>هذه</w:t>
      </w:r>
      <w:r w:rsidRPr="00FC0F14">
        <w:rPr>
          <w:spacing w:val="2"/>
          <w:rtl/>
        </w:rPr>
        <w:t xml:space="preserve"> </w:t>
      </w:r>
      <w:proofErr w:type="gramStart"/>
      <w:r w:rsidRPr="00FC0F14">
        <w:rPr>
          <w:rFonts w:hint="eastAsia"/>
          <w:spacing w:val="2"/>
          <w:rtl/>
        </w:rPr>
        <w:t>الأنشطة؛</w:t>
      </w:r>
      <w:proofErr w:type="gramEnd"/>
    </w:p>
    <w:p w14:paraId="0471AC7D" w14:textId="77777777" w:rsidR="00DC7AEC" w:rsidRPr="00FC0F14" w:rsidRDefault="00DC7AEC" w:rsidP="00DC7AEC">
      <w:pPr>
        <w:rPr>
          <w:spacing w:val="-2"/>
          <w:kern w:val="16"/>
          <w:rtl/>
          <w:lang w:bidi="ar-EG"/>
        </w:rPr>
      </w:pPr>
      <w:r w:rsidRPr="00FC0F14">
        <w:rPr>
          <w:spacing w:val="-2"/>
        </w:rPr>
        <w:t>4</w:t>
      </w:r>
      <w:r w:rsidRPr="00FC0F14">
        <w:rPr>
          <w:rFonts w:hint="cs"/>
          <w:spacing w:val="-2"/>
          <w:rtl/>
        </w:rPr>
        <w:tab/>
        <w:t xml:space="preserve">تشجيع جميع شركات تشغيل الاتصالات الدولية على تعزيز فعالية دور الاتحاد الدولي للاتصالات وتطبيق توصياته، خاصة التوصيات الصادرة عن لجنة الدراسات </w:t>
      </w:r>
      <w:r w:rsidRPr="00FC0F14">
        <w:rPr>
          <w:spacing w:val="-2"/>
        </w:rPr>
        <w:t>2</w:t>
      </w:r>
      <w:r w:rsidRPr="00FC0F14">
        <w:rPr>
          <w:rFonts w:hint="cs"/>
          <w:spacing w:val="-2"/>
          <w:rtl/>
        </w:rPr>
        <w:t xml:space="preserve"> </w:t>
      </w:r>
      <w:r>
        <w:rPr>
          <w:rFonts w:hint="cs"/>
          <w:spacing w:val="-2"/>
          <w:rtl/>
        </w:rPr>
        <w:t>ب</w:t>
      </w:r>
      <w:r w:rsidRPr="00FC0F14">
        <w:rPr>
          <w:rFonts w:hint="cs"/>
          <w:spacing w:val="-2"/>
          <w:rtl/>
        </w:rPr>
        <w:t xml:space="preserve">قطاع تقييس الاتصالات بهدف العمل على وضع أساس جديد أكثر فعالية لمواجهة ومكافحة الأنشطة الاحتيالية الناجمة عن سوء استغلال وسوء استعمال </w:t>
      </w:r>
      <w:r>
        <w:rPr>
          <w:rFonts w:hint="cs"/>
          <w:color w:val="000000"/>
          <w:rtl/>
        </w:rPr>
        <w:t xml:space="preserve">موارد </w:t>
      </w:r>
      <w:r>
        <w:rPr>
          <w:color w:val="000000"/>
          <w:rtl/>
        </w:rPr>
        <w:t>الترقيم والتسمية والعنونة وتحديد الهوية</w:t>
      </w:r>
      <w:r>
        <w:rPr>
          <w:rFonts w:hint="cs"/>
          <w:color w:val="000000"/>
          <w:rtl/>
        </w:rPr>
        <w:t xml:space="preserve"> </w:t>
      </w:r>
      <w:r w:rsidRPr="00FC0F14">
        <w:rPr>
          <w:rFonts w:hint="cs"/>
          <w:spacing w:val="-2"/>
          <w:rtl/>
        </w:rPr>
        <w:t xml:space="preserve">والتصدي لها، بما يساعد على التخفيف منها والحد من التأثيرات السلبية لهذه الأنشطة الاحتيالية ولحجب النداءات </w:t>
      </w:r>
      <w:proofErr w:type="gramStart"/>
      <w:r w:rsidRPr="00FC0F14">
        <w:rPr>
          <w:rFonts w:hint="cs"/>
          <w:spacing w:val="-2"/>
          <w:rtl/>
        </w:rPr>
        <w:t>الدولية</w:t>
      </w:r>
      <w:r w:rsidRPr="00FC0F14">
        <w:rPr>
          <w:rFonts w:hint="cs"/>
          <w:spacing w:val="-2"/>
          <w:kern w:val="16"/>
          <w:rtl/>
        </w:rPr>
        <w:t>؛</w:t>
      </w:r>
      <w:proofErr w:type="gramEnd"/>
    </w:p>
    <w:p w14:paraId="17F2EF02" w14:textId="77777777" w:rsidR="00DC7AEC" w:rsidRDefault="00DC7AEC" w:rsidP="00DC7AEC">
      <w:pPr>
        <w:rPr>
          <w:rtl/>
        </w:rPr>
      </w:pPr>
      <w:r w:rsidRPr="00FC0F14">
        <w:t>5</w:t>
      </w:r>
      <w:r w:rsidRPr="00FC0F14">
        <w:rPr>
          <w:rFonts w:hint="cs"/>
          <w:rtl/>
        </w:rPr>
        <w:tab/>
        <w:t xml:space="preserve">تشجيع الإدارات وشركات تشغيل الاتصالات الدولية على تطبيق توصيات قطاع تقييس الاتصالات بهدف التخفيف من التأثيرات السلبية لسوء استغلال الأرقام وسوء استعمالها، بما في ذلك حجب النداءات نحو بعض </w:t>
      </w:r>
      <w:proofErr w:type="gramStart"/>
      <w:r w:rsidRPr="00FC0F14">
        <w:rPr>
          <w:rFonts w:hint="cs"/>
          <w:rtl/>
        </w:rPr>
        <w:t>البلدان</w:t>
      </w:r>
      <w:r>
        <w:rPr>
          <w:rFonts w:hint="cs"/>
          <w:rtl/>
        </w:rPr>
        <w:t>؛</w:t>
      </w:r>
      <w:proofErr w:type="gramEnd"/>
    </w:p>
    <w:p w14:paraId="5DC7F106" w14:textId="77777777" w:rsidR="00DC7AEC" w:rsidRPr="00FC0F14" w:rsidRDefault="00DC7AEC" w:rsidP="00DC7AEC">
      <w:pPr>
        <w:rPr>
          <w:rtl/>
          <w:lang w:bidi="ar-EG"/>
        </w:rPr>
      </w:pPr>
      <w:r>
        <w:t>6</w:t>
      </w:r>
      <w:r>
        <w:tab/>
      </w:r>
      <w:r w:rsidRPr="00841466">
        <w:rPr>
          <w:rtl/>
        </w:rPr>
        <w:t xml:space="preserve">تشجيع الإدارات على استعراض اللوائح الوطنية وتحديثها دورياً، وتبادل الممارسات </w:t>
      </w:r>
      <w:r>
        <w:rPr>
          <w:rFonts w:hint="cs"/>
          <w:rtl/>
        </w:rPr>
        <w:t xml:space="preserve">الفضلى </w:t>
      </w:r>
      <w:r w:rsidRPr="00841466">
        <w:rPr>
          <w:rtl/>
        </w:rPr>
        <w:t>في ن</w:t>
      </w:r>
      <w:r>
        <w:rPr>
          <w:rFonts w:hint="cs"/>
          <w:rtl/>
        </w:rPr>
        <w:t>ُ</w:t>
      </w:r>
      <w:r w:rsidRPr="00841466">
        <w:rPr>
          <w:rtl/>
        </w:rPr>
        <w:t>هجها الوطني</w:t>
      </w:r>
      <w:r>
        <w:rPr>
          <w:rFonts w:hint="cs"/>
          <w:rtl/>
        </w:rPr>
        <w:t>ة</w:t>
      </w:r>
      <w:r w:rsidRPr="00841466">
        <w:rPr>
          <w:rtl/>
        </w:rPr>
        <w:t xml:space="preserve"> </w:t>
      </w:r>
      <w:r>
        <w:rPr>
          <w:rFonts w:hint="cs"/>
          <w:rtl/>
        </w:rPr>
        <w:t xml:space="preserve">تجاه </w:t>
      </w:r>
      <w:r>
        <w:rPr>
          <w:rFonts w:hint="cs"/>
          <w:color w:val="000000"/>
          <w:rtl/>
        </w:rPr>
        <w:t xml:space="preserve">مواجهة </w:t>
      </w:r>
      <w:r>
        <w:rPr>
          <w:color w:val="000000"/>
          <w:rtl/>
        </w:rPr>
        <w:t xml:space="preserve">ومكافحة اختطاف وسوء استعمال </w:t>
      </w:r>
      <w:r>
        <w:rPr>
          <w:rFonts w:hint="cs"/>
          <w:color w:val="000000"/>
          <w:rtl/>
        </w:rPr>
        <w:t>الموارد الدولية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ل</w:t>
      </w:r>
      <w:r>
        <w:rPr>
          <w:color w:val="000000"/>
          <w:rtl/>
        </w:rPr>
        <w:t xml:space="preserve">لترقيم والتسمية والعنونة </w:t>
      </w:r>
      <w:r>
        <w:rPr>
          <w:rFonts w:hint="cs"/>
          <w:color w:val="000000"/>
          <w:rtl/>
        </w:rPr>
        <w:t>وتحديد</w:t>
      </w:r>
      <w:r>
        <w:rPr>
          <w:color w:val="000000"/>
          <w:rtl/>
        </w:rPr>
        <w:t xml:space="preserve"> الهوية </w:t>
      </w:r>
      <w:r>
        <w:rPr>
          <w:rFonts w:hint="cs"/>
          <w:rtl/>
        </w:rPr>
        <w:t>في مجال الاتصالات،</w:t>
      </w:r>
    </w:p>
    <w:p w14:paraId="5A765017" w14:textId="77777777" w:rsidR="00DC7AEC" w:rsidRPr="00FC0F14" w:rsidRDefault="00DC7AEC" w:rsidP="00DC7AEC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تقرر كذلك</w:t>
      </w:r>
    </w:p>
    <w:p w14:paraId="07EB6531" w14:textId="77777777" w:rsidR="00DC7AEC" w:rsidRPr="00FC0F14" w:rsidRDefault="00DC7AEC" w:rsidP="00DC7AEC">
      <w:pPr>
        <w:rPr>
          <w:spacing w:val="-2"/>
          <w:rtl/>
          <w:lang w:bidi="ar-EG"/>
        </w:rPr>
      </w:pPr>
      <w:r w:rsidRPr="00FC0F14">
        <w:rPr>
          <w:spacing w:val="-2"/>
        </w:rPr>
        <w:t>1</w:t>
      </w:r>
      <w:r w:rsidRPr="00FC0F14">
        <w:rPr>
          <w:rFonts w:hint="cs"/>
          <w:spacing w:val="-2"/>
          <w:rtl/>
        </w:rPr>
        <w:tab/>
        <w:t>أن تتخذ الإدارات ووكالات التشغيل المرخص لها من الدول الأعضاء أقصى ما يمكن من تدابير معقولة لتقديم المعلومات اللازمة لمعالجة القضايا المتعلقة بسوء استغلال</w:t>
      </w:r>
      <w:r>
        <w:rPr>
          <w:rFonts w:hint="cs"/>
          <w:spacing w:val="-2"/>
          <w:rtl/>
        </w:rPr>
        <w:t xml:space="preserve"> وسوء استعمال</w:t>
      </w:r>
      <w:r w:rsidRPr="00FC0F14">
        <w:rPr>
          <w:rFonts w:hint="cs"/>
          <w:spacing w:val="-2"/>
          <w:rtl/>
        </w:rPr>
        <w:t xml:space="preserve"> </w:t>
      </w:r>
      <w:r>
        <w:rPr>
          <w:rFonts w:hint="cs"/>
          <w:spacing w:val="-2"/>
          <w:rtl/>
        </w:rPr>
        <w:t>موارد</w:t>
      </w:r>
      <w:r w:rsidRPr="0060593A">
        <w:rPr>
          <w:color w:val="000000"/>
          <w:rtl/>
        </w:rPr>
        <w:t xml:space="preserve"> </w:t>
      </w:r>
      <w:r>
        <w:rPr>
          <w:color w:val="000000"/>
          <w:rtl/>
        </w:rPr>
        <w:t xml:space="preserve">الترقيم والتسمية والعنونة وتحديد </w:t>
      </w:r>
      <w:proofErr w:type="gramStart"/>
      <w:r>
        <w:rPr>
          <w:color w:val="000000"/>
          <w:rtl/>
        </w:rPr>
        <w:t>الهوية</w:t>
      </w:r>
      <w:r w:rsidRPr="00FC0F14">
        <w:rPr>
          <w:rFonts w:hint="cs"/>
          <w:spacing w:val="-2"/>
          <w:rtl/>
        </w:rPr>
        <w:t>؛</w:t>
      </w:r>
      <w:proofErr w:type="gramEnd"/>
    </w:p>
    <w:p w14:paraId="45007D03" w14:textId="77777777" w:rsidR="00DC7AEC" w:rsidRPr="00FC0F14" w:rsidRDefault="00DC7AEC" w:rsidP="00DC7AEC">
      <w:pPr>
        <w:rPr>
          <w:rtl/>
          <w:lang w:bidi="ar-EG"/>
        </w:rPr>
      </w:pPr>
      <w:r w:rsidRPr="00FC0F14">
        <w:t>2</w:t>
      </w:r>
      <w:r w:rsidRPr="00FC0F14">
        <w:rPr>
          <w:rFonts w:hint="cs"/>
          <w:rtl/>
        </w:rPr>
        <w:tab/>
        <w:t xml:space="preserve">أن تأخذ الإدارات ووكالات التشغيل المرخص لها من الدول الأعضاء التي تعمل على أراضيها علماً "بالمبادئ التوجيهية المقترحة للهيئات التنظيمية والإدارات ووكالات التشغيل الرخص لها من </w:t>
      </w:r>
      <w:r w:rsidRPr="00FC0F14">
        <w:rPr>
          <w:rFonts w:hint="cs"/>
          <w:spacing w:val="-6"/>
          <w:kern w:val="16"/>
          <w:rtl/>
        </w:rPr>
        <w:t>الدول الأعضاء</w:t>
      </w:r>
      <w:r w:rsidRPr="00FC0F14">
        <w:rPr>
          <w:rFonts w:hint="cs"/>
          <w:rtl/>
        </w:rPr>
        <w:t xml:space="preserve"> للتعامل مع سوء استغلال الأرقام"، وأن تنظر فيها إلى أقصى حد ممكن عملياً</w:t>
      </w:r>
      <w:r>
        <w:rPr>
          <w:rFonts w:hint="cs"/>
          <w:rtl/>
        </w:rPr>
        <w:t xml:space="preserve"> وفقاً للعملية المحددة في التوصية </w:t>
      </w:r>
      <w:r>
        <w:rPr>
          <w:lang w:val="en-GB"/>
        </w:rPr>
        <w:t>ITU-T E.</w:t>
      </w:r>
      <w:proofErr w:type="gramStart"/>
      <w:r>
        <w:rPr>
          <w:lang w:val="en-GB"/>
        </w:rPr>
        <w:t>156</w:t>
      </w:r>
      <w:r w:rsidRPr="00FC0F14">
        <w:rPr>
          <w:rFonts w:hint="cs"/>
          <w:rtl/>
        </w:rPr>
        <w:t>؛</w:t>
      </w:r>
      <w:proofErr w:type="gramEnd"/>
    </w:p>
    <w:p w14:paraId="3EC8B0FC" w14:textId="77777777" w:rsidR="00DC7AEC" w:rsidRDefault="00DC7AEC" w:rsidP="00DC7AEC">
      <w:pPr>
        <w:rPr>
          <w:rtl/>
        </w:rPr>
      </w:pPr>
      <w:r w:rsidRPr="00FC0F14">
        <w:t>3</w:t>
      </w:r>
      <w:r w:rsidRPr="00FC0F14">
        <w:rPr>
          <w:rtl/>
        </w:rPr>
        <w:tab/>
      </w:r>
      <w:r w:rsidRPr="00FC0F14">
        <w:rPr>
          <w:rFonts w:hint="eastAsia"/>
          <w:rtl/>
        </w:rPr>
        <w:t>ضرورة</w:t>
      </w:r>
      <w:r w:rsidRPr="00FC0F14">
        <w:rPr>
          <w:rtl/>
        </w:rPr>
        <w:t xml:space="preserve"> أن تأخذ الدول الأعضاء والمنظمون الوطنيون علماً </w:t>
      </w:r>
      <w:r>
        <w:rPr>
          <w:rFonts w:hint="cs"/>
          <w:rtl/>
        </w:rPr>
        <w:t xml:space="preserve">بشكل استباقي </w:t>
      </w:r>
      <w:r w:rsidRPr="00FC0F14">
        <w:rPr>
          <w:rtl/>
        </w:rPr>
        <w:t xml:space="preserve">بما يجري من أنشطة تتعلق </w:t>
      </w:r>
      <w:r w:rsidRPr="00FC0F14">
        <w:rPr>
          <w:rFonts w:hint="eastAsia"/>
          <w:rtl/>
        </w:rPr>
        <w:t>بسوء</w:t>
      </w:r>
      <w:r w:rsidRPr="00FC0F14">
        <w:rPr>
          <w:rtl/>
        </w:rPr>
        <w:t xml:space="preserve"> استغلال وسوء </w:t>
      </w:r>
      <w:r w:rsidRPr="00FC0F14">
        <w:rPr>
          <w:rFonts w:hint="eastAsia"/>
          <w:rtl/>
        </w:rPr>
        <w:t>استعمال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موارد</w:t>
      </w:r>
      <w:r w:rsidRPr="000644F2">
        <w:rPr>
          <w:color w:val="000000"/>
          <w:rtl/>
        </w:rPr>
        <w:t xml:space="preserve"> </w:t>
      </w:r>
      <w:r>
        <w:rPr>
          <w:color w:val="000000"/>
          <w:rtl/>
        </w:rPr>
        <w:t>الترقيم والتسمية والعنونة وتحديد الهوية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التي يجري الإبلاغ عنها إما </w:t>
      </w:r>
      <w:r w:rsidRPr="00FC0F14">
        <w:rPr>
          <w:rFonts w:hint="eastAsia"/>
          <w:rtl/>
        </w:rPr>
        <w:t>من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خلال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موارد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قطاع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ذات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الصلة</w:t>
      </w:r>
      <w:r w:rsidRPr="00FC0F14">
        <w:rPr>
          <w:rtl/>
        </w:rPr>
        <w:t xml:space="preserve"> (مثل </w:t>
      </w:r>
      <w:r w:rsidRPr="00FC0F14">
        <w:rPr>
          <w:rFonts w:hint="eastAsia"/>
          <w:rtl/>
        </w:rPr>
        <w:t>النشرة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التشغيلية</w:t>
      </w:r>
      <w:r w:rsidRPr="00FC0F14">
        <w:rPr>
          <w:rtl/>
        </w:rPr>
        <w:t xml:space="preserve"> </w:t>
      </w:r>
      <w:r>
        <w:rPr>
          <w:rFonts w:hint="cs"/>
          <w:rtl/>
        </w:rPr>
        <w:t xml:space="preserve">من </w:t>
      </w:r>
      <w:r w:rsidRPr="00FC0F14">
        <w:rPr>
          <w:rFonts w:hint="eastAsia"/>
          <w:rtl/>
        </w:rPr>
        <w:t>قطاع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تقييس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الاتصالات</w:t>
      </w:r>
      <w:r w:rsidRPr="00FC0F14">
        <w:rPr>
          <w:rtl/>
        </w:rPr>
        <w:t>)</w:t>
      </w:r>
      <w:r w:rsidRPr="00FC0F14">
        <w:rPr>
          <w:rFonts w:hint="cs"/>
          <w:rtl/>
        </w:rPr>
        <w:t xml:space="preserve"> أو بشكل </w:t>
      </w:r>
      <w:proofErr w:type="gramStart"/>
      <w:r w:rsidRPr="00FC0F14">
        <w:rPr>
          <w:rFonts w:hint="cs"/>
          <w:rtl/>
        </w:rPr>
        <w:t>مباشر</w:t>
      </w:r>
      <w:r w:rsidRPr="00FC0F14">
        <w:rPr>
          <w:rFonts w:hint="eastAsia"/>
          <w:rtl/>
        </w:rPr>
        <w:t>؛</w:t>
      </w:r>
      <w:proofErr w:type="gramEnd"/>
    </w:p>
    <w:p w14:paraId="7D8BB370" w14:textId="3266527C" w:rsidR="00B24A26" w:rsidRDefault="00B24A26" w:rsidP="00DC7AEC">
      <w:pPr>
        <w:rPr>
          <w:rtl/>
        </w:rPr>
      </w:pPr>
      <w:r>
        <w:rPr>
          <w:rtl/>
        </w:rPr>
        <w:br w:type="page"/>
      </w:r>
    </w:p>
    <w:p w14:paraId="343A85AB" w14:textId="77777777" w:rsidR="00DC7AEC" w:rsidRPr="00FC0F14" w:rsidRDefault="00DC7AEC" w:rsidP="00DC7AEC">
      <w:pPr>
        <w:rPr>
          <w:rtl/>
          <w:lang w:bidi="ar-EG"/>
        </w:rPr>
      </w:pPr>
      <w:r w:rsidRPr="00FC0F14">
        <w:lastRenderedPageBreak/>
        <w:t>4</w:t>
      </w:r>
      <w:r w:rsidRPr="00FC0F14">
        <w:rPr>
          <w:rFonts w:hint="cs"/>
          <w:rtl/>
        </w:rPr>
        <w:tab/>
        <w:t>أن تطلب من لجنة الدراسات</w:t>
      </w:r>
      <w:r w:rsidRPr="00FC0F14">
        <w:rPr>
          <w:rFonts w:hint="eastAsia"/>
          <w:rtl/>
        </w:rPr>
        <w:t> </w:t>
      </w:r>
      <w:r w:rsidRPr="00FC0F14">
        <w:t>2</w:t>
      </w:r>
      <w:r w:rsidRPr="00FC0F14">
        <w:rPr>
          <w:rFonts w:hint="cs"/>
          <w:rtl/>
        </w:rPr>
        <w:t xml:space="preserve"> </w:t>
      </w:r>
      <w:r>
        <w:rPr>
          <w:rFonts w:hint="cs"/>
          <w:rtl/>
        </w:rPr>
        <w:t xml:space="preserve">بقطاع تقييس الاتصالات </w:t>
      </w:r>
      <w:r w:rsidRPr="00FC0F14">
        <w:rPr>
          <w:rFonts w:hint="cs"/>
          <w:rtl/>
        </w:rPr>
        <w:t xml:space="preserve">مواصلة دراسة كل جوانب وأشكال سوء استغلال موارد </w:t>
      </w:r>
      <w:r>
        <w:rPr>
          <w:color w:val="000000"/>
          <w:rtl/>
        </w:rPr>
        <w:t>الترقيم والتسمية والعنونة وتحديد الهوية</w:t>
      </w:r>
      <w:r>
        <w:rPr>
          <w:color w:val="000000"/>
        </w:rPr>
        <w:t xml:space="preserve"> </w:t>
      </w:r>
      <w:r w:rsidRPr="00FC0F14">
        <w:rPr>
          <w:rFonts w:hint="cs"/>
          <w:rtl/>
        </w:rPr>
        <w:t>وسوء استعمالها، ضمن اختصاصها، خاصة الرموز الدولية للبلدان بغية تعديل 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E.156</w:t>
      </w:r>
      <w:r w:rsidRPr="00FC0F14">
        <w:rPr>
          <w:rFonts w:hint="cs"/>
          <w:rtl/>
        </w:rPr>
        <w:t xml:space="preserve"> وإضافاتها ومبادئها التوجيهية لتحديد وسائل لدعم مواجهة ومكافحة هذه </w:t>
      </w:r>
      <w:proofErr w:type="gramStart"/>
      <w:r w:rsidRPr="00FC0F14">
        <w:rPr>
          <w:rFonts w:hint="cs"/>
          <w:rtl/>
        </w:rPr>
        <w:t>الأنشطة؛</w:t>
      </w:r>
      <w:proofErr w:type="gramEnd"/>
    </w:p>
    <w:p w14:paraId="4426CDF5" w14:textId="77777777" w:rsidR="00DC7AEC" w:rsidRPr="00FC0F14" w:rsidRDefault="00DC7AEC" w:rsidP="00DC7AEC">
      <w:pPr>
        <w:rPr>
          <w:lang w:bidi="ar-SY"/>
        </w:rPr>
      </w:pPr>
      <w:r w:rsidRPr="00FC0F14">
        <w:rPr>
          <w:lang w:bidi="ar-EG"/>
        </w:rPr>
        <w:t>5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SY"/>
        </w:rPr>
        <w:t xml:space="preserve">أن تطلب من لجنة الدراسات </w:t>
      </w:r>
      <w:r w:rsidRPr="00FC0F14">
        <w:rPr>
          <w:lang w:bidi="ar-SY"/>
        </w:rPr>
        <w:t>3</w:t>
      </w:r>
      <w:r w:rsidRPr="00FC0F1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 w:rsidRPr="00FC0F14">
        <w:rPr>
          <w:rFonts w:hint="cs"/>
          <w:rtl/>
          <w:lang w:bidi="ar-SY"/>
        </w:rPr>
        <w:t xml:space="preserve">قطاع تقييس الاتصالات أن تضع، بالتعاون مع لجنة الدراسات </w:t>
      </w:r>
      <w:r w:rsidRPr="00FC0F14">
        <w:rPr>
          <w:lang w:bidi="ar-SY"/>
        </w:rPr>
        <w:t>2</w:t>
      </w:r>
      <w:r w:rsidRPr="00FC0F14">
        <w:rPr>
          <w:rFonts w:hint="cs"/>
          <w:rtl/>
          <w:lang w:bidi="ar-SY"/>
        </w:rPr>
        <w:t>، تعاريف للأنشطة غير الملائمة بما</w:t>
      </w:r>
      <w:r w:rsidRPr="00FC0F14">
        <w:rPr>
          <w:rFonts w:hint="eastAsia"/>
          <w:rtl/>
          <w:lang w:bidi="ar-SY"/>
        </w:rPr>
        <w:t xml:space="preserve"> في </w:t>
      </w:r>
      <w:r w:rsidRPr="00FC0F14">
        <w:rPr>
          <w:rFonts w:hint="cs"/>
          <w:rtl/>
          <w:lang w:bidi="ar-SY"/>
        </w:rPr>
        <w:t xml:space="preserve">ذلك تلك التي تتسبب في خسائر الإيرادات، المتعلقة بسوء استغلال </w:t>
      </w:r>
      <w:r>
        <w:rPr>
          <w:rFonts w:hint="cs"/>
          <w:rtl/>
          <w:lang w:bidi="ar-SY"/>
        </w:rPr>
        <w:t>ال</w:t>
      </w:r>
      <w:r w:rsidRPr="00FC0F14">
        <w:rPr>
          <w:rFonts w:hint="cs"/>
          <w:rtl/>
          <w:lang w:bidi="ar-SY"/>
        </w:rPr>
        <w:t xml:space="preserve">موارد الدولية </w:t>
      </w:r>
      <w:r>
        <w:rPr>
          <w:rFonts w:hint="cs"/>
          <w:rtl/>
          <w:lang w:bidi="ar-SY"/>
        </w:rPr>
        <w:t xml:space="preserve">للترقيم </w:t>
      </w:r>
      <w:r>
        <w:rPr>
          <w:color w:val="000000"/>
          <w:rtl/>
        </w:rPr>
        <w:t>والتسمية والعنونة وتحديد الهوية</w:t>
      </w:r>
      <w:r>
        <w:rPr>
          <w:color w:val="000000"/>
        </w:rPr>
        <w:t xml:space="preserve"> </w:t>
      </w:r>
      <w:r w:rsidRPr="00FC0F14">
        <w:rPr>
          <w:rFonts w:hint="cs"/>
          <w:rtl/>
          <w:lang w:bidi="ar-SY"/>
        </w:rPr>
        <w:t xml:space="preserve">المحددة في توصيات قطاع تقييس الاتصالات ذات الصلة وإساءة استعمال هذه الموارد ومواصلة دراسة هذه </w:t>
      </w:r>
      <w:proofErr w:type="gramStart"/>
      <w:r w:rsidRPr="00FC0F14">
        <w:rPr>
          <w:rFonts w:hint="cs"/>
          <w:rtl/>
          <w:lang w:bidi="ar-SY"/>
        </w:rPr>
        <w:t>الأمور؛</w:t>
      </w:r>
      <w:proofErr w:type="gramEnd"/>
    </w:p>
    <w:p w14:paraId="1FB80BDE" w14:textId="77777777" w:rsidR="00DC7AEC" w:rsidRDefault="00DC7AEC" w:rsidP="00DC7AEC">
      <w:pPr>
        <w:rPr>
          <w:rtl/>
        </w:rPr>
      </w:pPr>
      <w:r w:rsidRPr="00FC0F14">
        <w:t>6</w:t>
      </w:r>
      <w:r w:rsidRPr="00FC0F14">
        <w:rPr>
          <w:rFonts w:hint="cs"/>
          <w:rtl/>
        </w:rPr>
        <w:tab/>
        <w:t>أن تطلب من لجنة الدراسات</w:t>
      </w:r>
      <w:r w:rsidRPr="00FC0F14">
        <w:rPr>
          <w:rFonts w:hint="eastAsia"/>
          <w:rtl/>
        </w:rPr>
        <w:t> </w:t>
      </w:r>
      <w:r w:rsidRPr="00FC0F14">
        <w:t>3</w:t>
      </w:r>
      <w:r w:rsidRPr="00FC0F14">
        <w:rPr>
          <w:rFonts w:hint="cs"/>
          <w:rtl/>
        </w:rPr>
        <w:t xml:space="preserve"> مواصلة دراسة الآثار الاقتصادية الناجمة عن سوء استغلال موارد الترقيم وسوء استعمالها بما في ذلك حجب النداءات</w:t>
      </w:r>
      <w:r>
        <w:rPr>
          <w:rFonts w:hint="cs"/>
          <w:rtl/>
        </w:rPr>
        <w:t>،</w:t>
      </w:r>
    </w:p>
    <w:p w14:paraId="72AC11A5" w14:textId="77777777" w:rsidR="00DC7AEC" w:rsidRPr="00FC0F14" w:rsidRDefault="00DC7AEC" w:rsidP="00DC7AEC">
      <w:pPr>
        <w:pStyle w:val="Call"/>
        <w:spacing w:before="160"/>
        <w:rPr>
          <w:rtl/>
        </w:rPr>
      </w:pPr>
      <w:r>
        <w:rPr>
          <w:rFonts w:hint="cs"/>
          <w:rtl/>
        </w:rPr>
        <w:t>تدعو الدول الأعضاء</w:t>
      </w:r>
    </w:p>
    <w:p w14:paraId="4E2DEA84" w14:textId="77777777" w:rsidR="00DC7AEC" w:rsidRPr="00FC0F14" w:rsidRDefault="00DC7AEC" w:rsidP="00DC7AEC">
      <w:pPr>
        <w:rPr>
          <w:rtl/>
        </w:rPr>
      </w:pPr>
      <w:r w:rsidRPr="0053402D">
        <w:rPr>
          <w:rtl/>
        </w:rPr>
        <w:t xml:space="preserve">‏إلى تنظيم حملات توعية </w:t>
      </w:r>
      <w:r>
        <w:rPr>
          <w:rFonts w:hint="cs"/>
          <w:rtl/>
        </w:rPr>
        <w:t>للعموم</w:t>
      </w:r>
      <w:r w:rsidRPr="0053402D">
        <w:rPr>
          <w:rtl/>
        </w:rPr>
        <w:t xml:space="preserve"> بشأن </w:t>
      </w:r>
      <w:r>
        <w:rPr>
          <w:rFonts w:hint="cs"/>
          <w:rtl/>
        </w:rPr>
        <w:t>سوء استغلال وسوء استعمال موارد الترقيم و</w:t>
      </w:r>
      <w:r w:rsidRPr="0053402D">
        <w:rPr>
          <w:rtl/>
        </w:rPr>
        <w:t xml:space="preserve">التسمية </w:t>
      </w:r>
      <w:r>
        <w:rPr>
          <w:rFonts w:hint="cs"/>
          <w:rtl/>
        </w:rPr>
        <w:t>والعنونة</w:t>
      </w:r>
      <w:r w:rsidRPr="0053402D">
        <w:rPr>
          <w:rtl/>
        </w:rPr>
        <w:t xml:space="preserve"> </w:t>
      </w:r>
      <w:r>
        <w:rPr>
          <w:rFonts w:hint="cs"/>
          <w:rtl/>
        </w:rPr>
        <w:t>وتحديد الهوية</w:t>
      </w:r>
      <w:r w:rsidRPr="0053402D">
        <w:rPr>
          <w:rtl/>
        </w:rPr>
        <w:t xml:space="preserve">، وتبادل الممارسات </w:t>
      </w:r>
      <w:r>
        <w:rPr>
          <w:rFonts w:hint="cs"/>
          <w:rtl/>
        </w:rPr>
        <w:t xml:space="preserve">الفضلى </w:t>
      </w:r>
      <w:r w:rsidRPr="0053402D">
        <w:rPr>
          <w:rtl/>
        </w:rPr>
        <w:t xml:space="preserve">بشأن آليات الإبلاغ العامة عن </w:t>
      </w:r>
      <w:r>
        <w:rPr>
          <w:rFonts w:hint="cs"/>
          <w:rtl/>
        </w:rPr>
        <w:t>سوء استغلال وسوء استعمال هذه الموارد.</w:t>
      </w:r>
    </w:p>
    <w:p w14:paraId="4A8E12DB" w14:textId="0F61AE17" w:rsidR="00103191" w:rsidRDefault="00103191" w:rsidP="001B41F3">
      <w:pPr>
        <w:rPr>
          <w:rtl/>
        </w:rPr>
      </w:pPr>
    </w:p>
    <w:p w14:paraId="622DC647" w14:textId="77777777" w:rsidR="00B24A26" w:rsidRDefault="00B24A26" w:rsidP="001B41F3">
      <w:pPr>
        <w:rPr>
          <w:rtl/>
        </w:rPr>
      </w:pPr>
    </w:p>
    <w:p w14:paraId="61B14087" w14:textId="77777777" w:rsidR="00B24A26" w:rsidRDefault="00B24A26" w:rsidP="001B41F3">
      <w:pPr>
        <w:rPr>
          <w:rtl/>
        </w:rPr>
      </w:pPr>
    </w:p>
    <w:p w14:paraId="7D91298B" w14:textId="77777777" w:rsidR="00B24A26" w:rsidRDefault="00B24A26" w:rsidP="001B41F3">
      <w:pPr>
        <w:rPr>
          <w:rtl/>
        </w:rPr>
      </w:pPr>
    </w:p>
    <w:p w14:paraId="01029F8A" w14:textId="77777777" w:rsidR="00B24A26" w:rsidRDefault="00B24A26" w:rsidP="001B41F3">
      <w:pPr>
        <w:rPr>
          <w:rtl/>
        </w:rPr>
      </w:pPr>
    </w:p>
    <w:p w14:paraId="6AAD2624" w14:textId="77777777" w:rsidR="00B24A26" w:rsidRDefault="00B24A26" w:rsidP="001B41F3">
      <w:pPr>
        <w:rPr>
          <w:rtl/>
        </w:rPr>
      </w:pPr>
    </w:p>
    <w:p w14:paraId="74164331" w14:textId="77777777" w:rsidR="00B24A26" w:rsidRDefault="00B24A26" w:rsidP="001B41F3">
      <w:pPr>
        <w:rPr>
          <w:rtl/>
        </w:rPr>
      </w:pPr>
    </w:p>
    <w:p w14:paraId="521D27E2" w14:textId="77777777" w:rsidR="00B24A26" w:rsidRDefault="00B24A26" w:rsidP="001B41F3">
      <w:pPr>
        <w:rPr>
          <w:rtl/>
        </w:rPr>
      </w:pPr>
    </w:p>
    <w:p w14:paraId="08DB33F4" w14:textId="77777777" w:rsidR="00B24A26" w:rsidRDefault="00B24A26" w:rsidP="001B41F3">
      <w:pPr>
        <w:rPr>
          <w:rtl/>
        </w:rPr>
      </w:pPr>
    </w:p>
    <w:p w14:paraId="541E1CBC" w14:textId="77777777" w:rsidR="00B24A26" w:rsidRDefault="00B24A26" w:rsidP="001B41F3">
      <w:pPr>
        <w:rPr>
          <w:rtl/>
        </w:rPr>
      </w:pPr>
    </w:p>
    <w:p w14:paraId="579A352D" w14:textId="77777777" w:rsidR="00B24A26" w:rsidRDefault="00B24A26" w:rsidP="001B41F3">
      <w:pPr>
        <w:rPr>
          <w:rtl/>
        </w:rPr>
      </w:pPr>
    </w:p>
    <w:p w14:paraId="6C570EA9" w14:textId="77777777" w:rsidR="00B24A26" w:rsidRDefault="00B24A26" w:rsidP="001B41F3">
      <w:pPr>
        <w:rPr>
          <w:rtl/>
        </w:rPr>
      </w:pPr>
    </w:p>
    <w:p w14:paraId="48873216" w14:textId="77777777" w:rsidR="00B24A26" w:rsidRDefault="00B24A26" w:rsidP="001B41F3">
      <w:pPr>
        <w:rPr>
          <w:rtl/>
        </w:rPr>
      </w:pPr>
    </w:p>
    <w:p w14:paraId="65EB4091" w14:textId="77777777" w:rsidR="00B24A26" w:rsidRDefault="00B24A26" w:rsidP="001B41F3">
      <w:pPr>
        <w:rPr>
          <w:rtl/>
        </w:rPr>
      </w:pPr>
    </w:p>
    <w:p w14:paraId="43F310C7" w14:textId="77777777" w:rsidR="00B24A26" w:rsidRDefault="00B24A26" w:rsidP="001B41F3">
      <w:pPr>
        <w:rPr>
          <w:rtl/>
        </w:rPr>
      </w:pPr>
    </w:p>
    <w:p w14:paraId="18F6FAB3" w14:textId="77777777" w:rsidR="00B24A26" w:rsidRDefault="00B24A26" w:rsidP="001B41F3">
      <w:pPr>
        <w:rPr>
          <w:rtl/>
        </w:rPr>
      </w:pPr>
    </w:p>
    <w:p w14:paraId="28A7F546" w14:textId="77777777" w:rsidR="00B24A26" w:rsidRDefault="00B24A26" w:rsidP="001B41F3">
      <w:pPr>
        <w:rPr>
          <w:rtl/>
        </w:rPr>
      </w:pPr>
    </w:p>
    <w:p w14:paraId="711AFA12" w14:textId="77777777" w:rsidR="00B24A26" w:rsidRDefault="00B24A26" w:rsidP="001B41F3">
      <w:pPr>
        <w:rPr>
          <w:rtl/>
        </w:rPr>
      </w:pPr>
    </w:p>
    <w:p w14:paraId="6B5FF155" w14:textId="77777777" w:rsidR="00B24A26" w:rsidRDefault="00B24A26" w:rsidP="001B41F3">
      <w:pPr>
        <w:rPr>
          <w:rtl/>
        </w:rPr>
      </w:pPr>
    </w:p>
    <w:p w14:paraId="210D046E" w14:textId="77777777" w:rsidR="00B24A26" w:rsidRPr="00103191" w:rsidRDefault="00B24A26" w:rsidP="001B41F3"/>
    <w:sectPr w:rsidR="00B24A26" w:rsidRPr="00103191" w:rsidSect="00B24A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22613489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A57F3F">
      <w:rPr>
        <w:b/>
        <w:bCs/>
        <w:noProof/>
      </w:rPr>
      <w:t>61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13448AF0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A57F3F">
      <w:rPr>
        <w:b/>
        <w:bCs/>
        <w:noProof/>
        <w:rtl/>
        <w:lang w:bidi="ar-EG"/>
      </w:rPr>
      <w:t>61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5F56516F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A57F3F">
      <w:rPr>
        <w:b/>
        <w:bCs/>
        <w:noProof/>
        <w:rtl/>
        <w:lang w:bidi="ar-EG"/>
      </w:rPr>
      <w:t>61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5D474DF0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F8659E">
      <w:rPr>
        <w:b/>
        <w:bCs/>
        <w:rtl/>
        <w:lang w:bidi="ar-EG"/>
      </w:rPr>
      <w:fldChar w:fldCharType="begin"/>
    </w:r>
    <w:r w:rsidRPr="00F8659E">
      <w:rPr>
        <w:b/>
        <w:bCs/>
        <w:rtl/>
        <w:lang w:bidi="ar-EG"/>
      </w:rPr>
      <w:instrText xml:space="preserve"> </w:instrText>
    </w:r>
    <w:r w:rsidRPr="00F8659E">
      <w:rPr>
        <w:b/>
        <w:bCs/>
        <w:lang w:bidi="ar-EG"/>
      </w:rPr>
      <w:instrText>STYLEREF  href  \* MERGEFORMAT</w:instrText>
    </w:r>
    <w:r w:rsidRPr="00F8659E">
      <w:rPr>
        <w:b/>
        <w:bCs/>
        <w:rtl/>
        <w:lang w:bidi="ar-EG"/>
      </w:rPr>
      <w:instrText xml:space="preserve"> </w:instrText>
    </w:r>
    <w:r w:rsidRPr="00F8659E">
      <w:rPr>
        <w:b/>
        <w:bCs/>
        <w:rtl/>
        <w:lang w:bidi="ar-EG"/>
      </w:rPr>
      <w:fldChar w:fldCharType="separate"/>
    </w:r>
    <w:r w:rsidR="00A57F3F">
      <w:rPr>
        <w:b/>
        <w:bCs/>
        <w:noProof/>
        <w:rtl/>
        <w:lang w:bidi="ar-EG"/>
      </w:rPr>
      <w:t>61</w:t>
    </w:r>
    <w:r w:rsidRPr="00F8659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191"/>
    <w:rsid w:val="0010363F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B3EA7"/>
    <w:rsid w:val="001B41F3"/>
    <w:rsid w:val="001B52FC"/>
    <w:rsid w:val="001B5953"/>
    <w:rsid w:val="001B6830"/>
    <w:rsid w:val="001D41C7"/>
    <w:rsid w:val="001D746E"/>
    <w:rsid w:val="001E190C"/>
    <w:rsid w:val="001E51EE"/>
    <w:rsid w:val="001E54F6"/>
    <w:rsid w:val="001E5A8C"/>
    <w:rsid w:val="00201A0A"/>
    <w:rsid w:val="002057E9"/>
    <w:rsid w:val="002075D4"/>
    <w:rsid w:val="00211B2A"/>
    <w:rsid w:val="00213171"/>
    <w:rsid w:val="002138BD"/>
    <w:rsid w:val="002145C6"/>
    <w:rsid w:val="00223C6C"/>
    <w:rsid w:val="002267FF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CE9"/>
    <w:rsid w:val="00311E3F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D7750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5F9E"/>
    <w:rsid w:val="00486B2B"/>
    <w:rsid w:val="004878FE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073DF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257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4BE3"/>
    <w:rsid w:val="005A4F02"/>
    <w:rsid w:val="005B00A1"/>
    <w:rsid w:val="005C29C8"/>
    <w:rsid w:val="005C3880"/>
    <w:rsid w:val="005C5D25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37F69"/>
    <w:rsid w:val="00653585"/>
    <w:rsid w:val="00653DF2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923CA"/>
    <w:rsid w:val="007A0802"/>
    <w:rsid w:val="007A3A06"/>
    <w:rsid w:val="007A4E61"/>
    <w:rsid w:val="007A75B5"/>
    <w:rsid w:val="007B1C4F"/>
    <w:rsid w:val="007B1FCA"/>
    <w:rsid w:val="007B47BB"/>
    <w:rsid w:val="007C2C12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4AC"/>
    <w:rsid w:val="008261C2"/>
    <w:rsid w:val="00830D96"/>
    <w:rsid w:val="008362DC"/>
    <w:rsid w:val="0084009C"/>
    <w:rsid w:val="008412A0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1548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6ACC"/>
    <w:rsid w:val="008D753F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14CE"/>
    <w:rsid w:val="009151F1"/>
    <w:rsid w:val="00917DC9"/>
    <w:rsid w:val="009234D3"/>
    <w:rsid w:val="0093046E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A3D30"/>
    <w:rsid w:val="009C13BE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7684"/>
    <w:rsid w:val="00A5053E"/>
    <w:rsid w:val="00A57144"/>
    <w:rsid w:val="00A57F3F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4AF9"/>
    <w:rsid w:val="00AA6493"/>
    <w:rsid w:val="00AA6EF1"/>
    <w:rsid w:val="00AB2A33"/>
    <w:rsid w:val="00AB5D38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4A26"/>
    <w:rsid w:val="00B25708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727C"/>
    <w:rsid w:val="00BA7D44"/>
    <w:rsid w:val="00BB68D7"/>
    <w:rsid w:val="00BC5542"/>
    <w:rsid w:val="00BD6291"/>
    <w:rsid w:val="00BD6EF3"/>
    <w:rsid w:val="00BE3AAE"/>
    <w:rsid w:val="00BE4DD7"/>
    <w:rsid w:val="00BE69C3"/>
    <w:rsid w:val="00BF0FE4"/>
    <w:rsid w:val="00BF1159"/>
    <w:rsid w:val="00C03302"/>
    <w:rsid w:val="00C05E12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046"/>
    <w:rsid w:val="00C53C8E"/>
    <w:rsid w:val="00C53F6F"/>
    <w:rsid w:val="00C5489D"/>
    <w:rsid w:val="00C71759"/>
    <w:rsid w:val="00C8199C"/>
    <w:rsid w:val="00C84112"/>
    <w:rsid w:val="00C841EB"/>
    <w:rsid w:val="00C8665F"/>
    <w:rsid w:val="00C917B5"/>
    <w:rsid w:val="00C921C9"/>
    <w:rsid w:val="00C94DFA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D3AC8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576B"/>
    <w:rsid w:val="00D179AA"/>
    <w:rsid w:val="00D209B5"/>
    <w:rsid w:val="00D21D8E"/>
    <w:rsid w:val="00D25120"/>
    <w:rsid w:val="00D34C24"/>
    <w:rsid w:val="00D353FE"/>
    <w:rsid w:val="00D3725C"/>
    <w:rsid w:val="00D419CB"/>
    <w:rsid w:val="00D44350"/>
    <w:rsid w:val="00D44E3F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755D"/>
    <w:rsid w:val="00DA1AE0"/>
    <w:rsid w:val="00DA4259"/>
    <w:rsid w:val="00DB0FDE"/>
    <w:rsid w:val="00DB484D"/>
    <w:rsid w:val="00DB77D1"/>
    <w:rsid w:val="00DC29DD"/>
    <w:rsid w:val="00DC7AEC"/>
    <w:rsid w:val="00DC7C0E"/>
    <w:rsid w:val="00DE1E82"/>
    <w:rsid w:val="00DE5245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2CA3"/>
    <w:rsid w:val="00E16E67"/>
    <w:rsid w:val="00E21DF0"/>
    <w:rsid w:val="00E224A1"/>
    <w:rsid w:val="00E2489D"/>
    <w:rsid w:val="00E26520"/>
    <w:rsid w:val="00E30733"/>
    <w:rsid w:val="00E3101E"/>
    <w:rsid w:val="00E32D82"/>
    <w:rsid w:val="00E343A3"/>
    <w:rsid w:val="00E41EAC"/>
    <w:rsid w:val="00E41FE6"/>
    <w:rsid w:val="00E51BFA"/>
    <w:rsid w:val="00E55E21"/>
    <w:rsid w:val="00E621A3"/>
    <w:rsid w:val="00E7682F"/>
    <w:rsid w:val="00E833BC"/>
    <w:rsid w:val="00E8580E"/>
    <w:rsid w:val="00E946AD"/>
    <w:rsid w:val="00E97E21"/>
    <w:rsid w:val="00EA1B76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59E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0049"/>
    <w:rsid w:val="00FC170F"/>
    <w:rsid w:val="00FC2CD0"/>
    <w:rsid w:val="00FC369E"/>
    <w:rsid w:val="00FC7FD8"/>
    <w:rsid w:val="00FD0594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bf6fb32c-fdd7-4c1d-9827-aab97e27f707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60 – التصدي لتحديات تطور نظام تعرف الهوية/الترقيم وتقاربه مع الأنظمة/الشبكات القائمة على بروتوكول الإنترنت</vt:lpstr>
    </vt:vector>
  </TitlesOfParts>
  <Manager>General Secretariat - Pool</Manager>
  <Company>International Telecommunication Union (ITU)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61 – مواجهة ومكافحة سوء استغلال وسوء استعمال موارد الترقيم والتسمية والعنونة وتحديد الهوية الدولية للاتصالات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63</cp:revision>
  <cp:lastPrinted>2024-11-26T14:30:00Z</cp:lastPrinted>
  <dcterms:created xsi:type="dcterms:W3CDTF">2024-11-08T10:24:00Z</dcterms:created>
  <dcterms:modified xsi:type="dcterms:W3CDTF">2024-11-26T14:32:00Z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