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D650A1" w:rsidRPr="00026DC0" w14:paraId="4CBCF652" w14:textId="77777777" w:rsidTr="00F960A1">
        <w:trPr>
          <w:trHeight w:hRule="exact" w:val="1418"/>
        </w:trPr>
        <w:tc>
          <w:tcPr>
            <w:tcW w:w="1428" w:type="dxa"/>
            <w:gridSpan w:val="2"/>
          </w:tcPr>
          <w:p w14:paraId="36DF564C" w14:textId="77777777" w:rsidR="00D650A1" w:rsidRPr="00026DC0" w:rsidRDefault="00D650A1" w:rsidP="00F960A1">
            <w:pPr>
              <w:rPr>
                <w:sz w:val="24"/>
                <w:lang w:val="fr-FR"/>
              </w:rPr>
            </w:pPr>
            <w:bookmarkStart w:id="0" w:name="_Toc475539599"/>
            <w:bookmarkStart w:id="1" w:name="_Toc475542308"/>
            <w:bookmarkStart w:id="2" w:name="_Toc476211412"/>
            <w:bookmarkStart w:id="3" w:name="_Toc476213349"/>
            <w:r w:rsidRPr="00026DC0">
              <w:rPr>
                <w:lang w:val="fr-FR" w:eastAsia="zh-CN"/>
              </w:rPr>
              <w:drawing>
                <wp:anchor distT="0" distB="0" distL="114300" distR="114300" simplePos="0" relativeHeight="251659264" behindDoc="0" locked="0" layoutInCell="0" allowOverlap="1" wp14:anchorId="51F1B048" wp14:editId="4004A30E">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E6D37" w14:textId="77777777" w:rsidR="00D650A1" w:rsidRPr="00026DC0" w:rsidRDefault="00D650A1" w:rsidP="00F960A1">
            <w:pPr>
              <w:spacing w:before="0"/>
              <w:rPr>
                <w:b/>
                <w:sz w:val="16"/>
                <w:lang w:val="fr-FR"/>
              </w:rPr>
            </w:pPr>
          </w:p>
        </w:tc>
        <w:tc>
          <w:tcPr>
            <w:tcW w:w="8520" w:type="dxa"/>
            <w:gridSpan w:val="3"/>
          </w:tcPr>
          <w:p w14:paraId="2BB09506" w14:textId="77777777" w:rsidR="00D650A1" w:rsidRPr="00026DC0" w:rsidRDefault="00D650A1" w:rsidP="00F960A1">
            <w:pPr>
              <w:spacing w:before="0"/>
              <w:rPr>
                <w:rFonts w:ascii="Arial" w:hAnsi="Arial" w:cs="Arial"/>
                <w:sz w:val="24"/>
                <w:lang w:val="fr-FR"/>
              </w:rPr>
            </w:pPr>
          </w:p>
          <w:p w14:paraId="3051C9F1" w14:textId="77777777" w:rsidR="00D650A1" w:rsidRPr="00026DC0" w:rsidRDefault="00D650A1" w:rsidP="00F960A1">
            <w:pPr>
              <w:spacing w:before="284"/>
              <w:rPr>
                <w:rFonts w:ascii="Arial" w:hAnsi="Arial" w:cs="Arial"/>
                <w:b/>
                <w:bCs/>
                <w:szCs w:val="22"/>
                <w:lang w:val="fr-FR"/>
              </w:rPr>
            </w:pPr>
            <w:r w:rsidRPr="00026DC0">
              <w:rPr>
                <w:rFonts w:ascii="Arial" w:hAnsi="Arial" w:cs="Arial"/>
                <w:b/>
                <w:bCs/>
                <w:color w:val="808080"/>
                <w:spacing w:val="72"/>
                <w:lang w:val="fr-FR"/>
              </w:rPr>
              <w:t>Union internationale des télécommunications</w:t>
            </w:r>
          </w:p>
        </w:tc>
      </w:tr>
      <w:tr w:rsidR="00D650A1" w:rsidRPr="00026DC0" w14:paraId="2652E922" w14:textId="77777777" w:rsidTr="00F960A1">
        <w:trPr>
          <w:trHeight w:hRule="exact" w:val="992"/>
        </w:trPr>
        <w:tc>
          <w:tcPr>
            <w:tcW w:w="1428" w:type="dxa"/>
            <w:gridSpan w:val="2"/>
          </w:tcPr>
          <w:p w14:paraId="0842847B" w14:textId="77777777" w:rsidR="00D650A1" w:rsidRPr="00026DC0" w:rsidRDefault="00D650A1" w:rsidP="00F960A1">
            <w:pPr>
              <w:spacing w:before="0"/>
              <w:rPr>
                <w:sz w:val="24"/>
                <w:lang w:val="fr-FR"/>
              </w:rPr>
            </w:pPr>
          </w:p>
        </w:tc>
        <w:tc>
          <w:tcPr>
            <w:tcW w:w="8520" w:type="dxa"/>
            <w:gridSpan w:val="3"/>
          </w:tcPr>
          <w:p w14:paraId="7AE10A3E" w14:textId="77777777" w:rsidR="00D650A1" w:rsidRPr="00026DC0" w:rsidRDefault="00D650A1" w:rsidP="00F960A1">
            <w:pPr>
              <w:rPr>
                <w:sz w:val="24"/>
                <w:lang w:val="fr-FR"/>
              </w:rPr>
            </w:pPr>
          </w:p>
        </w:tc>
      </w:tr>
      <w:tr w:rsidR="00D650A1" w:rsidRPr="00026DC0" w14:paraId="04028B65" w14:textId="77777777" w:rsidTr="00F960A1">
        <w:tblPrEx>
          <w:tblCellMar>
            <w:left w:w="85" w:type="dxa"/>
            <w:right w:w="85" w:type="dxa"/>
          </w:tblCellMar>
        </w:tblPrEx>
        <w:trPr>
          <w:gridBefore w:val="2"/>
          <w:wBefore w:w="1428" w:type="dxa"/>
        </w:trPr>
        <w:tc>
          <w:tcPr>
            <w:tcW w:w="2520" w:type="dxa"/>
          </w:tcPr>
          <w:p w14:paraId="55C67386" w14:textId="77777777" w:rsidR="00D650A1" w:rsidRPr="00026DC0" w:rsidRDefault="00D650A1" w:rsidP="00F960A1">
            <w:pPr>
              <w:rPr>
                <w:b/>
                <w:sz w:val="18"/>
                <w:lang w:val="fr-FR"/>
              </w:rPr>
            </w:pPr>
            <w:bookmarkStart w:id="4" w:name="dnume" w:colFirst="1" w:colLast="1"/>
            <w:r w:rsidRPr="00026DC0">
              <w:rPr>
                <w:rFonts w:ascii="Arial" w:hAnsi="Arial"/>
                <w:b/>
                <w:spacing w:val="40"/>
                <w:sz w:val="72"/>
                <w:lang w:val="fr-FR"/>
              </w:rPr>
              <w:t>UIT-T</w:t>
            </w:r>
          </w:p>
        </w:tc>
        <w:tc>
          <w:tcPr>
            <w:tcW w:w="6000" w:type="dxa"/>
            <w:gridSpan w:val="2"/>
          </w:tcPr>
          <w:p w14:paraId="394AC208" w14:textId="77777777" w:rsidR="00D650A1" w:rsidRPr="00026DC0" w:rsidRDefault="00D650A1" w:rsidP="00F960A1">
            <w:pPr>
              <w:spacing w:before="240"/>
              <w:jc w:val="right"/>
              <w:rPr>
                <w:b/>
                <w:sz w:val="18"/>
                <w:lang w:val="fr-FR"/>
              </w:rPr>
            </w:pPr>
          </w:p>
        </w:tc>
      </w:tr>
      <w:tr w:rsidR="00D650A1" w:rsidRPr="00026DC0" w14:paraId="336781FA" w14:textId="77777777" w:rsidTr="00F960A1">
        <w:tblPrEx>
          <w:tblCellMar>
            <w:left w:w="85" w:type="dxa"/>
            <w:right w:w="85" w:type="dxa"/>
          </w:tblCellMar>
        </w:tblPrEx>
        <w:trPr>
          <w:gridBefore w:val="2"/>
          <w:wBefore w:w="1428" w:type="dxa"/>
          <w:trHeight w:val="974"/>
        </w:trPr>
        <w:tc>
          <w:tcPr>
            <w:tcW w:w="4549" w:type="dxa"/>
            <w:gridSpan w:val="2"/>
          </w:tcPr>
          <w:p w14:paraId="70AA570A" w14:textId="77777777" w:rsidR="00D650A1" w:rsidRPr="00026DC0" w:rsidRDefault="00D650A1" w:rsidP="00F960A1">
            <w:pPr>
              <w:jc w:val="left"/>
              <w:rPr>
                <w:b/>
                <w:sz w:val="20"/>
                <w:lang w:val="fr-FR"/>
              </w:rPr>
            </w:pPr>
            <w:bookmarkStart w:id="5" w:name="ddatee" w:colFirst="1" w:colLast="1"/>
            <w:bookmarkEnd w:id="4"/>
            <w:r w:rsidRPr="00026DC0">
              <w:rPr>
                <w:rFonts w:ascii="Arial" w:hAnsi="Arial"/>
                <w:sz w:val="20"/>
                <w:lang w:val="fr-FR"/>
              </w:rPr>
              <w:t>SECTEUR  DE  LA  NORMALISATION</w:t>
            </w:r>
            <w:r w:rsidRPr="00026DC0">
              <w:rPr>
                <w:rFonts w:ascii="Arial" w:hAnsi="Arial" w:cs="Arial"/>
                <w:sz w:val="20"/>
                <w:lang w:val="fr-FR"/>
              </w:rPr>
              <w:br/>
            </w:r>
            <w:r w:rsidRPr="00026DC0">
              <w:rPr>
                <w:rFonts w:ascii="Arial" w:hAnsi="Arial"/>
                <w:sz w:val="20"/>
                <w:lang w:val="fr-FR"/>
              </w:rPr>
              <w:t>DES  TÉLÉCOMMUNICATIONS</w:t>
            </w:r>
            <w:r w:rsidRPr="00026DC0">
              <w:rPr>
                <w:rFonts w:ascii="Arial" w:hAnsi="Arial"/>
                <w:sz w:val="20"/>
                <w:lang w:val="fr-FR"/>
              </w:rPr>
              <w:br/>
              <w:t>DE  L'UIT</w:t>
            </w:r>
          </w:p>
        </w:tc>
        <w:tc>
          <w:tcPr>
            <w:tcW w:w="3971" w:type="dxa"/>
          </w:tcPr>
          <w:p w14:paraId="51DA010F" w14:textId="77777777" w:rsidR="00D650A1" w:rsidRPr="00026DC0" w:rsidRDefault="00D650A1" w:rsidP="00F960A1">
            <w:pPr>
              <w:spacing w:before="0"/>
              <w:jc w:val="right"/>
              <w:rPr>
                <w:b/>
                <w:sz w:val="18"/>
                <w:lang w:val="fr-FR"/>
              </w:rPr>
            </w:pPr>
          </w:p>
        </w:tc>
      </w:tr>
      <w:tr w:rsidR="00D650A1" w:rsidRPr="00026DC0" w14:paraId="20A6E4AD" w14:textId="77777777" w:rsidTr="00F960A1">
        <w:trPr>
          <w:cantSplit/>
          <w:trHeight w:hRule="exact" w:val="3402"/>
        </w:trPr>
        <w:tc>
          <w:tcPr>
            <w:tcW w:w="1418" w:type="dxa"/>
          </w:tcPr>
          <w:p w14:paraId="24F23262" w14:textId="77777777" w:rsidR="00D650A1" w:rsidRPr="00026DC0" w:rsidRDefault="00D650A1"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7A8395EA" w14:textId="77777777" w:rsidR="00D650A1" w:rsidRPr="00026DC0" w:rsidRDefault="00D650A1" w:rsidP="00F960A1">
            <w:pPr>
              <w:tabs>
                <w:tab w:val="right" w:pos="9639"/>
              </w:tabs>
              <w:jc w:val="left"/>
              <w:rPr>
                <w:rFonts w:ascii="Arial" w:hAnsi="Arial"/>
                <w:sz w:val="32"/>
                <w:lang w:val="fr-FR"/>
              </w:rPr>
            </w:pPr>
            <w:r w:rsidRPr="00026DC0">
              <w:rPr>
                <w:rFonts w:ascii="Arial" w:hAnsi="Arial"/>
                <w:sz w:val="32"/>
                <w:lang w:val="fr-FR"/>
              </w:rPr>
              <w:t>ASSEMBLÉE MONDIALE DE NORMALISATION DES TÉLÉCOMMUNICATIONS</w:t>
            </w:r>
            <w:r w:rsidRPr="00026DC0">
              <w:rPr>
                <w:rFonts w:ascii="Arial" w:hAnsi="Arial"/>
                <w:sz w:val="32"/>
                <w:lang w:val="fr-FR"/>
              </w:rPr>
              <w:br/>
              <w:t>Genève, 1-9 mars 2022</w:t>
            </w:r>
          </w:p>
          <w:p w14:paraId="251B3AAE" w14:textId="77777777" w:rsidR="00D650A1" w:rsidRPr="00026DC0" w:rsidRDefault="00D650A1" w:rsidP="00F960A1">
            <w:pPr>
              <w:tabs>
                <w:tab w:val="right" w:pos="9639"/>
              </w:tabs>
              <w:jc w:val="left"/>
              <w:rPr>
                <w:rFonts w:ascii="Arial" w:hAnsi="Arial"/>
                <w:sz w:val="32"/>
                <w:lang w:val="fr-FR"/>
              </w:rPr>
            </w:pPr>
          </w:p>
        </w:tc>
      </w:tr>
      <w:tr w:rsidR="00D650A1" w:rsidRPr="00026DC0" w14:paraId="3B7B177B" w14:textId="77777777" w:rsidTr="00F960A1">
        <w:trPr>
          <w:cantSplit/>
          <w:trHeight w:hRule="exact" w:val="3912"/>
        </w:trPr>
        <w:tc>
          <w:tcPr>
            <w:tcW w:w="1418" w:type="dxa"/>
          </w:tcPr>
          <w:p w14:paraId="3D9F94EB" w14:textId="77777777" w:rsidR="00D650A1" w:rsidRPr="00026DC0" w:rsidRDefault="00D650A1" w:rsidP="00F960A1">
            <w:pPr>
              <w:tabs>
                <w:tab w:val="right" w:pos="9639"/>
              </w:tabs>
              <w:rPr>
                <w:rFonts w:ascii="Arial" w:hAnsi="Arial"/>
                <w:sz w:val="18"/>
                <w:lang w:val="fr-FR"/>
              </w:rPr>
            </w:pPr>
            <w:bookmarkStart w:id="7" w:name="c1tite" w:colFirst="1" w:colLast="1"/>
            <w:bookmarkEnd w:id="6"/>
          </w:p>
        </w:tc>
        <w:tc>
          <w:tcPr>
            <w:tcW w:w="8530" w:type="dxa"/>
            <w:gridSpan w:val="4"/>
          </w:tcPr>
          <w:p w14:paraId="2E20CD92" w14:textId="155D072F" w:rsidR="00D650A1" w:rsidRPr="00026DC0" w:rsidRDefault="00D650A1" w:rsidP="00D650A1">
            <w:pPr>
              <w:tabs>
                <w:tab w:val="right" w:pos="9639"/>
              </w:tabs>
              <w:jc w:val="left"/>
              <w:rPr>
                <w:rFonts w:ascii="Arial" w:hAnsi="Arial"/>
                <w:b/>
                <w:bCs/>
                <w:sz w:val="36"/>
                <w:lang w:val="fr-FR"/>
              </w:rPr>
            </w:pPr>
            <w:r w:rsidRPr="00026DC0">
              <w:rPr>
                <w:rFonts w:ascii="Arial" w:hAnsi="Arial"/>
                <w:b/>
                <w:bCs/>
                <w:sz w:val="36"/>
                <w:lang w:val="fr-FR"/>
              </w:rPr>
              <w:t>Résolution 61 – Lutter contre le détournement et l'utilisation abusive des ressources internationales de numérotage des télécommunications</w:t>
            </w:r>
          </w:p>
        </w:tc>
      </w:tr>
      <w:bookmarkEnd w:id="7"/>
      <w:tr w:rsidR="00D650A1" w:rsidRPr="00026DC0" w14:paraId="2C954A4C" w14:textId="77777777" w:rsidTr="00F960A1">
        <w:trPr>
          <w:cantSplit/>
          <w:trHeight w:hRule="exact" w:val="1418"/>
        </w:trPr>
        <w:tc>
          <w:tcPr>
            <w:tcW w:w="1418" w:type="dxa"/>
          </w:tcPr>
          <w:p w14:paraId="7C40A16C" w14:textId="77777777" w:rsidR="00D650A1" w:rsidRPr="00026DC0" w:rsidRDefault="00D650A1" w:rsidP="00F960A1">
            <w:pPr>
              <w:tabs>
                <w:tab w:val="right" w:pos="9639"/>
              </w:tabs>
              <w:rPr>
                <w:rFonts w:ascii="Arial" w:hAnsi="Arial"/>
                <w:sz w:val="18"/>
                <w:lang w:val="fr-FR"/>
              </w:rPr>
            </w:pPr>
          </w:p>
        </w:tc>
        <w:tc>
          <w:tcPr>
            <w:tcW w:w="8530" w:type="dxa"/>
            <w:gridSpan w:val="4"/>
            <w:vAlign w:val="bottom"/>
          </w:tcPr>
          <w:p w14:paraId="567DA0F9" w14:textId="77777777" w:rsidR="00D650A1" w:rsidRPr="00026DC0" w:rsidRDefault="00D650A1" w:rsidP="00F960A1">
            <w:pPr>
              <w:tabs>
                <w:tab w:val="right" w:pos="9639"/>
              </w:tabs>
              <w:spacing w:before="0"/>
              <w:jc w:val="left"/>
              <w:rPr>
                <w:rFonts w:ascii="Arial" w:hAnsi="Arial"/>
                <w:sz w:val="18"/>
                <w:lang w:val="fr-FR"/>
              </w:rPr>
            </w:pPr>
            <w:bookmarkStart w:id="8" w:name="dnum2e"/>
            <w:bookmarkEnd w:id="8"/>
          </w:p>
        </w:tc>
      </w:tr>
    </w:tbl>
    <w:p w14:paraId="76501747" w14:textId="77777777" w:rsidR="00D650A1" w:rsidRPr="00026DC0" w:rsidRDefault="00D650A1" w:rsidP="00D650A1">
      <w:pPr>
        <w:tabs>
          <w:tab w:val="right" w:pos="9639"/>
        </w:tabs>
        <w:spacing w:before="240"/>
        <w:jc w:val="right"/>
        <w:rPr>
          <w:sz w:val="20"/>
          <w:lang w:val="fr-FR"/>
        </w:rPr>
      </w:pPr>
      <w:bookmarkStart w:id="9" w:name="c2tope"/>
      <w:bookmarkEnd w:id="9"/>
      <w:r w:rsidRPr="00026DC0">
        <w:rPr>
          <w:lang w:val="fr-FR"/>
        </w:rPr>
        <w:drawing>
          <wp:inline distT="0" distB="0" distL="0" distR="0" wp14:anchorId="0CF03551" wp14:editId="763A271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7999FE8B" w14:textId="77777777" w:rsidR="00D650A1" w:rsidRPr="00026DC0" w:rsidRDefault="00D650A1" w:rsidP="00D650A1">
      <w:pPr>
        <w:spacing w:before="80"/>
        <w:jc w:val="left"/>
        <w:rPr>
          <w:i/>
          <w:sz w:val="20"/>
          <w:lang w:val="fr-FR"/>
        </w:rPr>
      </w:pPr>
    </w:p>
    <w:p w14:paraId="23C70F29" w14:textId="77777777" w:rsidR="00D650A1" w:rsidRPr="00026DC0" w:rsidRDefault="00D650A1" w:rsidP="00D650A1">
      <w:pPr>
        <w:jc w:val="left"/>
        <w:rPr>
          <w:sz w:val="24"/>
          <w:lang w:val="fr-FR"/>
        </w:rPr>
        <w:sectPr w:rsidR="00D650A1" w:rsidRPr="00026DC0" w:rsidSect="00D650A1">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269D6AB1" w14:textId="77777777" w:rsidR="00D650A1" w:rsidRPr="00026DC0" w:rsidRDefault="00D650A1" w:rsidP="00D650A1">
      <w:pPr>
        <w:spacing w:before="480"/>
        <w:jc w:val="center"/>
        <w:rPr>
          <w:lang w:val="fr-FR"/>
        </w:rPr>
      </w:pPr>
      <w:bookmarkStart w:id="10" w:name="irecnoe"/>
      <w:bookmarkEnd w:id="10"/>
      <w:r w:rsidRPr="00026DC0">
        <w:rPr>
          <w:lang w:val="fr-FR"/>
        </w:rPr>
        <w:lastRenderedPageBreak/>
        <w:t>AVANT-PROPOS</w:t>
      </w:r>
    </w:p>
    <w:p w14:paraId="0012D721" w14:textId="77777777" w:rsidR="00D650A1" w:rsidRPr="00026DC0" w:rsidRDefault="00D650A1" w:rsidP="00D650A1">
      <w:pPr>
        <w:rPr>
          <w:sz w:val="20"/>
          <w:lang w:val="fr-FR"/>
        </w:rPr>
      </w:pPr>
      <w:bookmarkStart w:id="11" w:name="iitextf"/>
      <w:r w:rsidRPr="00026DC0">
        <w:rPr>
          <w:sz w:val="20"/>
          <w:lang w:val="fr-FR"/>
        </w:rPr>
        <w:t>L'Union internationale des télécommunications (UIT) est une institution spécialisée des Nations Unies dans le domaine des télé</w:t>
      </w:r>
      <w:r w:rsidRPr="00026DC0">
        <w:rPr>
          <w:sz w:val="20"/>
          <w:lang w:val="fr-FR"/>
        </w:rPr>
        <w:softHyphen/>
        <w:t>com</w:t>
      </w:r>
      <w:r w:rsidRPr="00026DC0">
        <w:rPr>
          <w:sz w:val="20"/>
          <w:lang w:val="fr-FR"/>
        </w:rPr>
        <w:softHyphen/>
        <w:t>mu</w:t>
      </w:r>
      <w:r w:rsidRPr="00026DC0">
        <w:rPr>
          <w:sz w:val="20"/>
          <w:lang w:val="fr-FR"/>
        </w:rPr>
        <w:softHyphen/>
        <w:t>ni</w:t>
      </w:r>
      <w:r w:rsidRPr="00026DC0">
        <w:rPr>
          <w:sz w:val="20"/>
          <w:lang w:val="fr-FR"/>
        </w:rPr>
        <w:softHyphen/>
        <w:t>ca</w:t>
      </w:r>
      <w:r w:rsidRPr="00026DC0">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026DC0">
        <w:rPr>
          <w:sz w:val="20"/>
          <w:lang w:val="fr-FR"/>
        </w:rPr>
        <w:softHyphen/>
        <w:t>com</w:t>
      </w:r>
      <w:r w:rsidRPr="00026DC0">
        <w:rPr>
          <w:sz w:val="20"/>
          <w:lang w:val="fr-FR"/>
        </w:rPr>
        <w:softHyphen/>
        <w:t>mu</w:t>
      </w:r>
      <w:r w:rsidRPr="00026DC0">
        <w:rPr>
          <w:sz w:val="20"/>
          <w:lang w:val="fr-FR"/>
        </w:rPr>
        <w:softHyphen/>
        <w:t>ni</w:t>
      </w:r>
      <w:r w:rsidRPr="00026DC0">
        <w:rPr>
          <w:sz w:val="20"/>
          <w:lang w:val="fr-FR"/>
        </w:rPr>
        <w:softHyphen/>
        <w:t>ca</w:t>
      </w:r>
      <w:r w:rsidRPr="00026DC0">
        <w:rPr>
          <w:sz w:val="20"/>
          <w:lang w:val="fr-FR"/>
        </w:rPr>
        <w:softHyphen/>
        <w:t>tions à l'échelle mondiale.</w:t>
      </w:r>
    </w:p>
    <w:p w14:paraId="6DD3C3C2" w14:textId="77777777" w:rsidR="00D650A1" w:rsidRPr="00026DC0" w:rsidRDefault="00D650A1" w:rsidP="00D650A1">
      <w:pPr>
        <w:rPr>
          <w:sz w:val="20"/>
          <w:lang w:val="fr-FR"/>
        </w:rPr>
      </w:pPr>
      <w:r w:rsidRPr="00026DC0">
        <w:rPr>
          <w:sz w:val="20"/>
          <w:lang w:val="fr-FR"/>
        </w:rPr>
        <w:t>L'Assemblée mondiale de normalisation des télécommunications (AMNT), qui se réunit tous les quatre ans, détermine les thèmes d'étude à traiter par les Commissions d'études de l'UIT</w:t>
      </w:r>
      <w:r w:rsidRPr="00026DC0">
        <w:rPr>
          <w:sz w:val="20"/>
          <w:lang w:val="fr-FR"/>
        </w:rPr>
        <w:noBreakHyphen/>
        <w:t>T, lesquelles élaborent en retour des Recommandations sur ces thèmes.</w:t>
      </w:r>
    </w:p>
    <w:p w14:paraId="7009E136" w14:textId="77777777" w:rsidR="00D650A1" w:rsidRPr="00026DC0" w:rsidRDefault="00D650A1" w:rsidP="00D650A1">
      <w:pPr>
        <w:rPr>
          <w:sz w:val="20"/>
          <w:lang w:val="fr-FR"/>
        </w:rPr>
      </w:pPr>
      <w:r w:rsidRPr="00026DC0">
        <w:rPr>
          <w:sz w:val="20"/>
          <w:lang w:val="fr-FR"/>
        </w:rPr>
        <w:t>L'approbation des Recommandations par les Membres de l'UIT</w:t>
      </w:r>
      <w:r w:rsidRPr="00026DC0">
        <w:rPr>
          <w:sz w:val="20"/>
          <w:lang w:val="fr-FR"/>
        </w:rPr>
        <w:noBreakHyphen/>
        <w:t>T s'effectue selon la procédure définie dans la Résolution 1 de l'AMNT.</w:t>
      </w:r>
    </w:p>
    <w:p w14:paraId="4611C649" w14:textId="77777777" w:rsidR="00D650A1" w:rsidRPr="00026DC0" w:rsidRDefault="00D650A1" w:rsidP="00D650A1">
      <w:pPr>
        <w:rPr>
          <w:lang w:val="fr-FR"/>
        </w:rPr>
      </w:pPr>
      <w:r w:rsidRPr="00026DC0">
        <w:rPr>
          <w:sz w:val="20"/>
          <w:lang w:val="fr-FR"/>
        </w:rPr>
        <w:t>Dans certains secteurs des technologies de l'information qui correspondent à la sphère de compétence de l'UIT-T, les normes nécessaires se préparent en collaboration avec l'ISO et la CEI.</w:t>
      </w:r>
    </w:p>
    <w:bookmarkEnd w:id="11"/>
    <w:p w14:paraId="32F0A720" w14:textId="77777777" w:rsidR="00D650A1" w:rsidRPr="00026DC0" w:rsidRDefault="00D650A1" w:rsidP="00D650A1">
      <w:pPr>
        <w:jc w:val="center"/>
        <w:rPr>
          <w:lang w:val="fr-FR"/>
        </w:rPr>
      </w:pPr>
    </w:p>
    <w:p w14:paraId="554850D6" w14:textId="77777777" w:rsidR="00D650A1" w:rsidRPr="00026DC0" w:rsidRDefault="00D650A1" w:rsidP="00D650A1">
      <w:pPr>
        <w:jc w:val="center"/>
        <w:rPr>
          <w:lang w:val="fr-FR"/>
        </w:rPr>
      </w:pPr>
    </w:p>
    <w:p w14:paraId="52521641" w14:textId="77777777" w:rsidR="00D650A1" w:rsidRPr="00026DC0" w:rsidRDefault="00D650A1" w:rsidP="00D650A1">
      <w:pPr>
        <w:jc w:val="center"/>
        <w:rPr>
          <w:lang w:val="fr-FR"/>
        </w:rPr>
      </w:pPr>
    </w:p>
    <w:p w14:paraId="322CA6C3" w14:textId="77777777" w:rsidR="00D650A1" w:rsidRPr="00026DC0" w:rsidRDefault="00D650A1" w:rsidP="00D650A1">
      <w:pPr>
        <w:jc w:val="center"/>
        <w:rPr>
          <w:lang w:val="fr-FR"/>
        </w:rPr>
      </w:pPr>
    </w:p>
    <w:p w14:paraId="760656EF" w14:textId="77777777" w:rsidR="00D650A1" w:rsidRPr="00026DC0" w:rsidRDefault="00D650A1" w:rsidP="00D650A1">
      <w:pPr>
        <w:jc w:val="center"/>
        <w:rPr>
          <w:lang w:val="fr-FR"/>
        </w:rPr>
      </w:pPr>
    </w:p>
    <w:p w14:paraId="6C4215B1" w14:textId="77777777" w:rsidR="00D650A1" w:rsidRPr="00026DC0" w:rsidRDefault="00D650A1" w:rsidP="00D650A1">
      <w:pPr>
        <w:jc w:val="center"/>
        <w:rPr>
          <w:lang w:val="fr-FR"/>
        </w:rPr>
      </w:pPr>
    </w:p>
    <w:p w14:paraId="3E4725B5" w14:textId="77777777" w:rsidR="00D650A1" w:rsidRPr="00026DC0" w:rsidRDefault="00D650A1" w:rsidP="00D650A1">
      <w:pPr>
        <w:jc w:val="center"/>
        <w:rPr>
          <w:lang w:val="fr-FR"/>
        </w:rPr>
      </w:pPr>
    </w:p>
    <w:p w14:paraId="4A7E54B7" w14:textId="77777777" w:rsidR="00D650A1" w:rsidRPr="00026DC0" w:rsidRDefault="00D650A1" w:rsidP="00D650A1">
      <w:pPr>
        <w:jc w:val="center"/>
        <w:rPr>
          <w:lang w:val="fr-FR"/>
        </w:rPr>
      </w:pPr>
    </w:p>
    <w:p w14:paraId="6B84C0A7" w14:textId="77777777" w:rsidR="00D650A1" w:rsidRPr="00026DC0" w:rsidRDefault="00D650A1" w:rsidP="00D650A1">
      <w:pPr>
        <w:jc w:val="center"/>
        <w:rPr>
          <w:lang w:val="fr-FR"/>
        </w:rPr>
      </w:pPr>
    </w:p>
    <w:p w14:paraId="5EDFAE24" w14:textId="77777777" w:rsidR="00D650A1" w:rsidRPr="00026DC0" w:rsidRDefault="00D650A1" w:rsidP="00D650A1">
      <w:pPr>
        <w:jc w:val="center"/>
        <w:rPr>
          <w:lang w:val="fr-FR"/>
        </w:rPr>
      </w:pPr>
    </w:p>
    <w:p w14:paraId="46289570" w14:textId="77777777" w:rsidR="00D650A1" w:rsidRPr="00026DC0" w:rsidRDefault="00D650A1" w:rsidP="00D650A1">
      <w:pPr>
        <w:jc w:val="center"/>
        <w:rPr>
          <w:lang w:val="fr-FR"/>
        </w:rPr>
      </w:pPr>
    </w:p>
    <w:p w14:paraId="1DF9B4EB" w14:textId="77777777" w:rsidR="00D650A1" w:rsidRPr="00026DC0" w:rsidRDefault="00D650A1" w:rsidP="00D650A1">
      <w:pPr>
        <w:jc w:val="center"/>
        <w:rPr>
          <w:lang w:val="fr-FR"/>
        </w:rPr>
      </w:pPr>
    </w:p>
    <w:p w14:paraId="0F9E5CF0" w14:textId="77777777" w:rsidR="00D650A1" w:rsidRPr="00026DC0" w:rsidRDefault="00D650A1" w:rsidP="00D650A1">
      <w:pPr>
        <w:jc w:val="center"/>
        <w:rPr>
          <w:lang w:val="fr-FR"/>
        </w:rPr>
      </w:pPr>
    </w:p>
    <w:p w14:paraId="49601431" w14:textId="77777777" w:rsidR="00D650A1" w:rsidRPr="00026DC0" w:rsidRDefault="00D650A1" w:rsidP="00D650A1">
      <w:pPr>
        <w:jc w:val="center"/>
        <w:rPr>
          <w:lang w:val="fr-FR"/>
        </w:rPr>
      </w:pPr>
    </w:p>
    <w:p w14:paraId="05F36DB4" w14:textId="77777777" w:rsidR="00D650A1" w:rsidRPr="00026DC0" w:rsidRDefault="00D650A1" w:rsidP="00D650A1">
      <w:pPr>
        <w:jc w:val="center"/>
        <w:rPr>
          <w:lang w:val="fr-FR"/>
        </w:rPr>
      </w:pPr>
    </w:p>
    <w:p w14:paraId="66C433F5" w14:textId="77777777" w:rsidR="00D650A1" w:rsidRPr="00026DC0" w:rsidRDefault="00D650A1" w:rsidP="00D650A1">
      <w:pPr>
        <w:jc w:val="center"/>
        <w:rPr>
          <w:lang w:val="fr-FR"/>
        </w:rPr>
      </w:pPr>
    </w:p>
    <w:p w14:paraId="100A263B" w14:textId="77777777" w:rsidR="00D650A1" w:rsidRPr="00026DC0" w:rsidRDefault="00D650A1" w:rsidP="00D650A1">
      <w:pPr>
        <w:jc w:val="center"/>
        <w:rPr>
          <w:lang w:val="fr-FR"/>
        </w:rPr>
      </w:pPr>
    </w:p>
    <w:p w14:paraId="7069724F" w14:textId="77777777" w:rsidR="00D650A1" w:rsidRPr="00026DC0" w:rsidRDefault="00D650A1" w:rsidP="00D650A1">
      <w:pPr>
        <w:jc w:val="center"/>
        <w:rPr>
          <w:lang w:val="fr-FR"/>
        </w:rPr>
      </w:pPr>
    </w:p>
    <w:p w14:paraId="1853287A" w14:textId="77777777" w:rsidR="00D650A1" w:rsidRPr="00026DC0" w:rsidRDefault="00D650A1" w:rsidP="00D650A1">
      <w:pPr>
        <w:jc w:val="center"/>
        <w:rPr>
          <w:lang w:val="fr-FR"/>
        </w:rPr>
      </w:pPr>
    </w:p>
    <w:p w14:paraId="494499D3" w14:textId="77777777" w:rsidR="00D650A1" w:rsidRPr="00026DC0" w:rsidRDefault="00D650A1" w:rsidP="00D650A1">
      <w:pPr>
        <w:jc w:val="center"/>
        <w:rPr>
          <w:lang w:val="fr-FR"/>
        </w:rPr>
      </w:pPr>
    </w:p>
    <w:p w14:paraId="67CE14C2" w14:textId="77777777" w:rsidR="00D650A1" w:rsidRPr="00026DC0" w:rsidRDefault="00D650A1" w:rsidP="00D650A1">
      <w:pPr>
        <w:jc w:val="center"/>
        <w:rPr>
          <w:lang w:val="fr-FR"/>
        </w:rPr>
      </w:pPr>
    </w:p>
    <w:p w14:paraId="67FF3FE6" w14:textId="77777777" w:rsidR="00D650A1" w:rsidRPr="00026DC0" w:rsidRDefault="00D650A1" w:rsidP="00D650A1">
      <w:pPr>
        <w:jc w:val="center"/>
        <w:rPr>
          <w:lang w:val="fr-FR"/>
        </w:rPr>
      </w:pPr>
    </w:p>
    <w:p w14:paraId="46434A33" w14:textId="77777777" w:rsidR="00D650A1" w:rsidRPr="00026DC0" w:rsidRDefault="00D650A1" w:rsidP="00D650A1">
      <w:pPr>
        <w:jc w:val="center"/>
        <w:rPr>
          <w:lang w:val="fr-FR"/>
        </w:rPr>
      </w:pPr>
    </w:p>
    <w:p w14:paraId="1E8252BB" w14:textId="77777777" w:rsidR="00D650A1" w:rsidRPr="00026DC0" w:rsidRDefault="00D650A1" w:rsidP="00D650A1">
      <w:pPr>
        <w:jc w:val="center"/>
        <w:rPr>
          <w:lang w:val="fr-FR"/>
        </w:rPr>
      </w:pPr>
    </w:p>
    <w:p w14:paraId="08AC9F5C" w14:textId="77777777" w:rsidR="00D650A1" w:rsidRPr="00026DC0" w:rsidRDefault="00D650A1" w:rsidP="00D650A1">
      <w:pPr>
        <w:jc w:val="center"/>
        <w:rPr>
          <w:sz w:val="20"/>
          <w:lang w:val="fr-FR"/>
        </w:rPr>
      </w:pPr>
      <w:r w:rsidRPr="00026DC0">
        <w:rPr>
          <w:rFonts w:ascii="Symbol" w:hAnsi="Symbol"/>
          <w:sz w:val="20"/>
          <w:lang w:val="fr-FR"/>
        </w:rPr>
        <w:t></w:t>
      </w:r>
      <w:r w:rsidRPr="00026DC0">
        <w:rPr>
          <w:sz w:val="20"/>
          <w:lang w:val="fr-FR"/>
        </w:rPr>
        <w:t>  UIT  </w:t>
      </w:r>
      <w:bookmarkStart w:id="12" w:name="iiannef"/>
      <w:bookmarkEnd w:id="12"/>
      <w:r w:rsidRPr="00026DC0">
        <w:rPr>
          <w:sz w:val="20"/>
          <w:lang w:val="fr-FR"/>
        </w:rPr>
        <w:t>2022</w:t>
      </w:r>
    </w:p>
    <w:p w14:paraId="616A5493" w14:textId="77777777" w:rsidR="00D650A1" w:rsidRPr="00026DC0" w:rsidRDefault="00D650A1" w:rsidP="00D650A1">
      <w:pPr>
        <w:rPr>
          <w:lang w:val="fr-FR"/>
        </w:rPr>
      </w:pPr>
      <w:r w:rsidRPr="00026DC0">
        <w:rPr>
          <w:sz w:val="20"/>
          <w:lang w:val="fr-FR"/>
        </w:rPr>
        <w:t>Tous droits réservés. Aucune partie de cette publication ne peut être reproduite, par quelque procédé que ce soit, sans l'accord écrit préalable de l'UIT.</w:t>
      </w:r>
    </w:p>
    <w:p w14:paraId="473B8888" w14:textId="77777777" w:rsidR="00D650A1" w:rsidRPr="00026DC0" w:rsidRDefault="00D650A1" w:rsidP="00D650A1">
      <w:pPr>
        <w:pStyle w:val="ResNo"/>
        <w:rPr>
          <w:lang w:val="fr-FR"/>
        </w:rPr>
        <w:sectPr w:rsidR="00D650A1" w:rsidRPr="00026DC0"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6F3AB2B2" w14:textId="77777777" w:rsidR="008C1C15" w:rsidRPr="00026DC0" w:rsidRDefault="00500734" w:rsidP="008C1C15">
      <w:pPr>
        <w:pStyle w:val="ResNo"/>
        <w:rPr>
          <w:b/>
          <w:lang w:val="fr-FR"/>
        </w:rPr>
      </w:pPr>
      <w:r w:rsidRPr="00026DC0">
        <w:rPr>
          <w:lang w:val="fr-FR"/>
        </w:rPr>
        <w:lastRenderedPageBreak/>
        <w:t xml:space="preserve">RÉSOLUTION </w:t>
      </w:r>
      <w:r w:rsidRPr="00026DC0">
        <w:rPr>
          <w:rStyle w:val="href"/>
          <w:lang w:val="fr-FR"/>
        </w:rPr>
        <w:t>61</w:t>
      </w:r>
      <w:r w:rsidRPr="00026DC0">
        <w:rPr>
          <w:lang w:val="fr-FR"/>
        </w:rPr>
        <w:t xml:space="preserve"> (</w:t>
      </w:r>
      <w:r w:rsidRPr="00026DC0">
        <w:rPr>
          <w:caps w:val="0"/>
          <w:lang w:val="fr-FR"/>
        </w:rPr>
        <w:t>Rév</w:t>
      </w:r>
      <w:r w:rsidRPr="00026DC0">
        <w:rPr>
          <w:lang w:val="fr-FR"/>
        </w:rPr>
        <w:t xml:space="preserve">. </w:t>
      </w:r>
      <w:r w:rsidRPr="00026DC0">
        <w:rPr>
          <w:caps w:val="0"/>
          <w:lang w:val="fr-FR"/>
        </w:rPr>
        <w:t>Genève, 2022</w:t>
      </w:r>
      <w:r w:rsidRPr="00026DC0">
        <w:rPr>
          <w:lang w:val="fr-FR"/>
        </w:rPr>
        <w:t>)</w:t>
      </w:r>
      <w:bookmarkEnd w:id="0"/>
      <w:bookmarkEnd w:id="1"/>
      <w:bookmarkEnd w:id="2"/>
      <w:bookmarkEnd w:id="3"/>
    </w:p>
    <w:p w14:paraId="39E63693" w14:textId="77777777" w:rsidR="008C1C15" w:rsidRPr="00026DC0" w:rsidRDefault="00500734" w:rsidP="008C1C15">
      <w:pPr>
        <w:pStyle w:val="Restitle"/>
        <w:rPr>
          <w:lang w:val="fr-FR"/>
        </w:rPr>
      </w:pPr>
      <w:bookmarkStart w:id="13" w:name="_Toc475539600"/>
      <w:bookmarkStart w:id="14" w:name="_Toc475542309"/>
      <w:bookmarkStart w:id="15" w:name="_Toc476211413"/>
      <w:bookmarkStart w:id="16" w:name="_Toc476213350"/>
      <w:r w:rsidRPr="00026DC0">
        <w:rPr>
          <w:lang w:val="fr-FR"/>
        </w:rPr>
        <w:t>Lutter contre le d</w:t>
      </w:r>
      <w:r w:rsidRPr="00026DC0">
        <w:rPr>
          <w:lang w:val="fr-FR"/>
        </w:rPr>
        <w:t>é</w:t>
      </w:r>
      <w:r w:rsidRPr="00026DC0">
        <w:rPr>
          <w:lang w:val="fr-FR"/>
        </w:rPr>
        <w:t>tournement et l'utilisation abusive des ressources internationales de num</w:t>
      </w:r>
      <w:r w:rsidRPr="00026DC0">
        <w:rPr>
          <w:lang w:val="fr-FR"/>
        </w:rPr>
        <w:t>é</w:t>
      </w:r>
      <w:r w:rsidRPr="00026DC0">
        <w:rPr>
          <w:lang w:val="fr-FR"/>
        </w:rPr>
        <w:t>rotage des t</w:t>
      </w:r>
      <w:r w:rsidRPr="00026DC0">
        <w:rPr>
          <w:lang w:val="fr-FR"/>
        </w:rPr>
        <w:t>é</w:t>
      </w:r>
      <w:r w:rsidRPr="00026DC0">
        <w:rPr>
          <w:lang w:val="fr-FR"/>
        </w:rPr>
        <w:t>l</w:t>
      </w:r>
      <w:r w:rsidRPr="00026DC0">
        <w:rPr>
          <w:lang w:val="fr-FR"/>
        </w:rPr>
        <w:t>é</w:t>
      </w:r>
      <w:r w:rsidRPr="00026DC0">
        <w:rPr>
          <w:lang w:val="fr-FR"/>
        </w:rPr>
        <w:t>communications</w:t>
      </w:r>
      <w:bookmarkEnd w:id="13"/>
      <w:bookmarkEnd w:id="14"/>
      <w:bookmarkEnd w:id="15"/>
      <w:bookmarkEnd w:id="16"/>
    </w:p>
    <w:p w14:paraId="4FC86C0F" w14:textId="77777777" w:rsidR="008C1C15" w:rsidRPr="00026DC0" w:rsidRDefault="00500734" w:rsidP="008C1C15">
      <w:pPr>
        <w:pStyle w:val="Resref"/>
      </w:pPr>
      <w:r w:rsidRPr="00026DC0">
        <w:t>(Johannesburg, 2008; Dubaï, 2012; Genève, 2022)</w:t>
      </w:r>
    </w:p>
    <w:p w14:paraId="56E6604D" w14:textId="77777777" w:rsidR="008C1C15" w:rsidRPr="00026DC0" w:rsidRDefault="00500734" w:rsidP="008C1C15">
      <w:pPr>
        <w:pStyle w:val="Normalaftertitle00"/>
        <w:rPr>
          <w:lang w:val="fr-FR"/>
        </w:rPr>
      </w:pPr>
      <w:r w:rsidRPr="00026DC0">
        <w:rPr>
          <w:lang w:val="fr-FR"/>
        </w:rPr>
        <w:t>L'Assemblée mondiale de normalisation des télécommunications (Genève, 2022),</w:t>
      </w:r>
    </w:p>
    <w:p w14:paraId="5F09568B" w14:textId="77777777" w:rsidR="008C1C15" w:rsidRPr="00026DC0" w:rsidRDefault="00500734" w:rsidP="008C1C15">
      <w:pPr>
        <w:pStyle w:val="Call"/>
        <w:rPr>
          <w:lang w:val="fr-FR"/>
        </w:rPr>
      </w:pPr>
      <w:r w:rsidRPr="00026DC0">
        <w:rPr>
          <w:lang w:val="fr-FR"/>
        </w:rPr>
        <w:t>rappelant</w:t>
      </w:r>
    </w:p>
    <w:p w14:paraId="0449F3E8" w14:textId="77777777" w:rsidR="008C1C15" w:rsidRPr="00026DC0" w:rsidRDefault="00500734" w:rsidP="008C1C15">
      <w:pPr>
        <w:rPr>
          <w:i/>
          <w:iCs/>
          <w:lang w:val="fr-FR"/>
        </w:rPr>
      </w:pPr>
      <w:r w:rsidRPr="00026DC0">
        <w:rPr>
          <w:i/>
          <w:iCs/>
          <w:lang w:val="fr-FR"/>
        </w:rPr>
        <w:t>a)</w:t>
      </w:r>
      <w:r w:rsidRPr="00026DC0">
        <w:rPr>
          <w:i/>
          <w:iCs/>
          <w:lang w:val="fr-FR"/>
        </w:rPr>
        <w:tab/>
      </w:r>
      <w:r w:rsidRPr="00026DC0">
        <w:rPr>
          <w:lang w:val="fr-FR"/>
        </w:rPr>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026DC0">
        <w:rPr>
          <w:lang w:val="fr-FR"/>
        </w:rPr>
        <w:noBreakHyphen/>
        <w:t>T;</w:t>
      </w:r>
    </w:p>
    <w:p w14:paraId="241EC3DB" w14:textId="63D072C1" w:rsidR="008C1C15" w:rsidRPr="00026DC0" w:rsidRDefault="00500734" w:rsidP="008C1C15">
      <w:pPr>
        <w:rPr>
          <w:lang w:val="fr-FR"/>
        </w:rPr>
      </w:pPr>
      <w:r w:rsidRPr="00026DC0">
        <w:rPr>
          <w:i/>
          <w:iCs/>
          <w:lang w:val="fr-FR"/>
        </w:rPr>
        <w:t>b)</w:t>
      </w:r>
      <w:r w:rsidRPr="00026DC0">
        <w:rPr>
          <w:lang w:val="fr-FR"/>
        </w:rPr>
        <w:tab/>
        <w:t xml:space="preserve">la Résolution 29 (Rév. Genève, 2022) </w:t>
      </w:r>
      <w:r w:rsidRPr="00026DC0">
        <w:rPr>
          <w:lang w:val="fr-FR" w:eastAsia="zh-CN"/>
        </w:rPr>
        <w:t>de la présente Assemblée</w:t>
      </w:r>
      <w:r w:rsidRPr="00026DC0">
        <w:rPr>
          <w:lang w:val="fr-FR"/>
        </w:rPr>
        <w:t>, relative aux procédures d'appel alternatives utilisées sur les réseaux de télécommunication internationaux, par laquelle (selon la Résolution 1099 du Conseil de l'UIT) l'UIT</w:t>
      </w:r>
      <w:r w:rsidRPr="00026DC0">
        <w:rPr>
          <w:lang w:val="fr-FR"/>
        </w:rPr>
        <w:noBreakHyphen/>
        <w:t xml:space="preserve">T a été </w:t>
      </w:r>
      <w:r w:rsidR="00463A9C" w:rsidRPr="00026DC0">
        <w:rPr>
          <w:lang w:val="fr-FR"/>
        </w:rPr>
        <w:t xml:space="preserve">instamment </w:t>
      </w:r>
      <w:r w:rsidRPr="00026DC0">
        <w:rPr>
          <w:lang w:val="fr-FR"/>
        </w:rPr>
        <w:t>prié d'élaborer, dès que possible, les Recommandations appropriées relatives aux procédures d'appel alternatives;</w:t>
      </w:r>
    </w:p>
    <w:p w14:paraId="4B4C615B" w14:textId="77777777" w:rsidR="008C1C15" w:rsidRPr="00026DC0" w:rsidRDefault="00500734" w:rsidP="008C1C15">
      <w:pPr>
        <w:rPr>
          <w:i/>
          <w:iCs/>
          <w:lang w:val="fr-FR"/>
        </w:rPr>
      </w:pPr>
      <w:r w:rsidRPr="00026DC0">
        <w:rPr>
          <w:i/>
          <w:iCs/>
          <w:lang w:val="fr-FR"/>
        </w:rPr>
        <w:t>c)</w:t>
      </w:r>
      <w:r w:rsidRPr="00026DC0">
        <w:rPr>
          <w:i/>
          <w:iCs/>
          <w:lang w:val="fr-FR"/>
        </w:rPr>
        <w:tab/>
      </w:r>
      <w:r w:rsidRPr="00026DC0">
        <w:rPr>
          <w:lang w:val="fr-FR"/>
        </w:rPr>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 T E.156, qui prévoit une série de mesures possibles pour lutter contre l'utilisation abusive;</w:t>
      </w:r>
    </w:p>
    <w:p w14:paraId="4C3FADC2" w14:textId="036A1032" w:rsidR="008C1C15" w:rsidRPr="00026DC0" w:rsidRDefault="00500734" w:rsidP="008C1C15">
      <w:pPr>
        <w:rPr>
          <w:lang w:val="fr-FR"/>
        </w:rPr>
      </w:pPr>
      <w:r w:rsidRPr="00026DC0">
        <w:rPr>
          <w:i/>
          <w:iCs/>
          <w:lang w:val="fr-FR"/>
        </w:rPr>
        <w:t>d)</w:t>
      </w:r>
      <w:r w:rsidRPr="00026DC0">
        <w:rPr>
          <w:lang w:val="fr-FR"/>
        </w:rPr>
        <w:tab/>
      </w:r>
      <w:r w:rsidR="00AF4DB4" w:rsidRPr="00026DC0">
        <w:rPr>
          <w:lang w:val="fr-FR"/>
        </w:rPr>
        <w:t>que</w:t>
      </w:r>
      <w:r w:rsidRPr="00026DC0">
        <w:rPr>
          <w:lang w:val="fr-FR"/>
        </w:rPr>
        <w:t xml:space="preserve"> l'Union</w:t>
      </w:r>
      <w:r w:rsidR="00AF4DB4" w:rsidRPr="00026DC0">
        <w:rPr>
          <w:lang w:val="fr-FR"/>
        </w:rPr>
        <w:t xml:space="preserve"> a notamment pour objet</w:t>
      </w:r>
      <w:r w:rsidR="005F03CE" w:rsidRPr="00026DC0">
        <w:rPr>
          <w:lang w:val="fr-FR"/>
        </w:rPr>
        <w:t xml:space="preserve"> </w:t>
      </w:r>
      <w:r w:rsidRPr="00026DC0">
        <w:rPr>
          <w:lang w:val="fr-FR"/>
        </w:rPr>
        <w:t>de favoriser la collaboration entre ses membres en vue d'assurer le développement harmonieux des télécommunications et de permettre la fourniture des services à des prix aussi bas que possible,</w:t>
      </w:r>
    </w:p>
    <w:p w14:paraId="41F9D32D" w14:textId="77777777" w:rsidR="008C1C15" w:rsidRPr="00026DC0" w:rsidRDefault="00500734" w:rsidP="008C1C15">
      <w:pPr>
        <w:pStyle w:val="Call"/>
        <w:rPr>
          <w:lang w:val="fr-FR"/>
        </w:rPr>
      </w:pPr>
      <w:r w:rsidRPr="00026DC0">
        <w:rPr>
          <w:lang w:val="fr-FR"/>
        </w:rPr>
        <w:t>notant</w:t>
      </w:r>
    </w:p>
    <w:p w14:paraId="28274E2D" w14:textId="77777777" w:rsidR="008C1C15" w:rsidRPr="00026DC0" w:rsidRDefault="00500734" w:rsidP="008C1C15">
      <w:pPr>
        <w:rPr>
          <w:lang w:val="fr-FR"/>
        </w:rPr>
      </w:pPr>
      <w:r w:rsidRPr="00026DC0">
        <w:rPr>
          <w:lang w:val="fr-FR"/>
        </w:rPr>
        <w:t xml:space="preserve">le nombre de cas de détournement ou d'utilisation abusive de numéros UIT-T E.164 qui ont été signalés à ce jour au Directeur du </w:t>
      </w:r>
      <w:r w:rsidRPr="00026DC0">
        <w:rPr>
          <w:bCs/>
          <w:lang w:val="fr-FR"/>
        </w:rPr>
        <w:t>Bureau de la normalisation des télécommunications</w:t>
      </w:r>
      <w:r w:rsidRPr="00026DC0">
        <w:rPr>
          <w:lang w:val="fr-FR"/>
        </w:rPr>
        <w:t xml:space="preserve"> (TSB),</w:t>
      </w:r>
    </w:p>
    <w:p w14:paraId="06EECC3F" w14:textId="77777777" w:rsidR="008C1C15" w:rsidRPr="00026DC0" w:rsidRDefault="00500734" w:rsidP="008C1C15">
      <w:pPr>
        <w:pStyle w:val="Call"/>
        <w:rPr>
          <w:lang w:val="fr-FR"/>
        </w:rPr>
      </w:pPr>
      <w:r w:rsidRPr="00026DC0">
        <w:rPr>
          <w:lang w:val="fr-FR"/>
        </w:rPr>
        <w:t>reconnaissant</w:t>
      </w:r>
    </w:p>
    <w:p w14:paraId="121E53B2" w14:textId="77777777" w:rsidR="008C1C15" w:rsidRPr="00026DC0" w:rsidRDefault="00500734" w:rsidP="008C1C15">
      <w:pPr>
        <w:rPr>
          <w:lang w:val="fr-FR"/>
        </w:rPr>
      </w:pPr>
      <w:r w:rsidRPr="00026DC0">
        <w:rPr>
          <w:i/>
          <w:iCs/>
          <w:lang w:val="fr-FR"/>
        </w:rPr>
        <w:t>a)</w:t>
      </w:r>
      <w:r w:rsidRPr="00026DC0">
        <w:rPr>
          <w:lang w:val="fr-FR"/>
        </w:rPr>
        <w:tab/>
        <w:t>que le détournement frauduleux et l'utilisation abusive de numéros de téléphone nationaux et d'indicatifs de pays sont préjudiciables et ont des conséquences sur les recettes, la qualité de service et la confiance des consommateurs;</w:t>
      </w:r>
    </w:p>
    <w:p w14:paraId="307DA018" w14:textId="77777777" w:rsidR="008C1C15" w:rsidRPr="00026DC0" w:rsidRDefault="00500734" w:rsidP="008C1C15">
      <w:pPr>
        <w:rPr>
          <w:lang w:val="fr-FR"/>
        </w:rPr>
      </w:pPr>
      <w:r w:rsidRPr="00026DC0">
        <w:rPr>
          <w:i/>
          <w:iCs/>
          <w:lang w:val="fr-FR"/>
        </w:rPr>
        <w:t>b)</w:t>
      </w:r>
      <w:r w:rsidRPr="00026DC0">
        <w:rPr>
          <w:lang w:val="fr-FR"/>
        </w:rPr>
        <w:tab/>
        <w:t>que le blocage d'appels destinés à un pays du fait du blocage de l'indicatif de ce pays dans le but d'empêcher les fraudes est préjudiciable;</w:t>
      </w:r>
    </w:p>
    <w:p w14:paraId="5E7376AF" w14:textId="77777777" w:rsidR="008C1C15" w:rsidRPr="00026DC0" w:rsidRDefault="00500734" w:rsidP="008C1C15">
      <w:pPr>
        <w:rPr>
          <w:lang w:val="fr-FR"/>
        </w:rPr>
      </w:pPr>
      <w:r w:rsidRPr="00026DC0">
        <w:rPr>
          <w:i/>
          <w:iCs/>
          <w:lang w:val="fr-FR"/>
        </w:rPr>
        <w:t>c)</w:t>
      </w:r>
      <w:r w:rsidRPr="00026DC0">
        <w:rPr>
          <w:i/>
          <w:iCs/>
          <w:lang w:val="fr-FR"/>
        </w:rPr>
        <w:tab/>
      </w:r>
      <w:r w:rsidRPr="00026DC0">
        <w:rPr>
          <w:lang w:val="fr-FR"/>
        </w:rPr>
        <w:t>que les activités inappropriées qui occasionnent des pertes de recettes constituent un problème important qu'il faut continuer d'étudier;</w:t>
      </w:r>
    </w:p>
    <w:p w14:paraId="0E9CF9BC" w14:textId="77777777" w:rsidR="008C1C15" w:rsidRPr="00026DC0" w:rsidRDefault="00500734" w:rsidP="008C1C15">
      <w:pPr>
        <w:rPr>
          <w:lang w:val="fr-FR"/>
        </w:rPr>
      </w:pPr>
      <w:r w:rsidRPr="00026DC0">
        <w:rPr>
          <w:i/>
          <w:iCs/>
          <w:lang w:val="fr-FR"/>
        </w:rPr>
        <w:t>d)</w:t>
      </w:r>
      <w:r w:rsidRPr="00026DC0">
        <w:rPr>
          <w:lang w:val="fr-FR"/>
        </w:rPr>
        <w:tab/>
        <w:t>les dispositions pertinentes du préambule de la Constitution de l'UIT, qui reconnaît le droit souverain de chaque État de réglementer ses télécommunications;</w:t>
      </w:r>
    </w:p>
    <w:p w14:paraId="372552D3" w14:textId="77777777" w:rsidR="008C1C15" w:rsidRPr="00026DC0" w:rsidRDefault="00500734" w:rsidP="008C1C15">
      <w:pPr>
        <w:rPr>
          <w:lang w:val="fr-FR"/>
        </w:rPr>
      </w:pPr>
      <w:r w:rsidRPr="00026DC0">
        <w:rPr>
          <w:i/>
          <w:iCs/>
          <w:lang w:val="fr-FR"/>
        </w:rPr>
        <w:t>e)</w:t>
      </w:r>
      <w:r w:rsidRPr="00026DC0">
        <w:rPr>
          <w:lang w:val="fr-FR"/>
        </w:rPr>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0BF7B7BE" w14:textId="77777777" w:rsidR="00877F75" w:rsidRPr="00026DC0" w:rsidRDefault="00877F75" w:rsidP="008C1C15">
      <w:pPr>
        <w:pStyle w:val="Call"/>
        <w:rPr>
          <w:lang w:val="fr-FR"/>
        </w:rPr>
      </w:pPr>
      <w:r w:rsidRPr="00026DC0">
        <w:rPr>
          <w:lang w:val="fr-FR"/>
        </w:rPr>
        <w:br w:type="page"/>
      </w:r>
    </w:p>
    <w:p w14:paraId="2DE744F7" w14:textId="65B2807A" w:rsidR="008C1C15" w:rsidRPr="00026DC0" w:rsidRDefault="00500734" w:rsidP="008C1C15">
      <w:pPr>
        <w:pStyle w:val="Call"/>
        <w:rPr>
          <w:lang w:val="fr-FR"/>
        </w:rPr>
      </w:pPr>
      <w:r w:rsidRPr="00026DC0">
        <w:rPr>
          <w:lang w:val="fr-FR"/>
        </w:rPr>
        <w:lastRenderedPageBreak/>
        <w:t>décide d'inviter les États Membres</w:t>
      </w:r>
    </w:p>
    <w:p w14:paraId="1C4D892E" w14:textId="77777777" w:rsidR="008C1C15" w:rsidRPr="00026DC0" w:rsidRDefault="00500734" w:rsidP="008C1C15">
      <w:pPr>
        <w:rPr>
          <w:lang w:val="fr-FR"/>
        </w:rPr>
      </w:pPr>
      <w:r w:rsidRPr="00026DC0">
        <w:rPr>
          <w:lang w:val="fr-FR"/>
        </w:rPr>
        <w:t>1</w:t>
      </w:r>
      <w:r w:rsidRPr="00026DC0">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65946E32" w14:textId="77777777" w:rsidR="008C1C15" w:rsidRPr="00026DC0" w:rsidRDefault="00500734" w:rsidP="008C1C15">
      <w:pPr>
        <w:rPr>
          <w:lang w:val="fr-FR"/>
        </w:rPr>
      </w:pPr>
      <w:r w:rsidRPr="00026DC0">
        <w:rPr>
          <w:lang w:val="fr-FR"/>
        </w:rPr>
        <w:t>2</w:t>
      </w:r>
      <w:r w:rsidRPr="00026DC0">
        <w:rPr>
          <w:lang w:val="fr-FR"/>
        </w:rPr>
        <w:tab/>
        <w:t>à s'efforcer de veiller à ce que les exploitations autorisées par les États Membres communiquent les informations de routage à des organismes dûment autorisés en cas de fraude ou d'utilisation abusive/de détournement des ressources de numérotage, conformément à la législation nationale;</w:t>
      </w:r>
    </w:p>
    <w:p w14:paraId="0A544EC2" w14:textId="77777777" w:rsidR="008C1C15" w:rsidRPr="00026DC0" w:rsidRDefault="00500734" w:rsidP="008C1C15">
      <w:pPr>
        <w:rPr>
          <w:lang w:val="fr-FR"/>
        </w:rPr>
      </w:pPr>
      <w:r w:rsidRPr="00026DC0">
        <w:rPr>
          <w:lang w:val="fr-FR"/>
        </w:rPr>
        <w:t>3</w:t>
      </w:r>
      <w:r w:rsidRPr="00026DC0">
        <w:rPr>
          <w:lang w:val="fr-FR"/>
        </w:rPr>
        <w:tab/>
        <w:t>à encourager les administrations, les exploitations et les régulateurs nationaux à collaborer et à échanger des informations sur les activités frauduleuses liées au détournement et à l'utilisation abusive des ressources internationales de numérotage et à collaborer pour lutter contre ces activités;</w:t>
      </w:r>
    </w:p>
    <w:p w14:paraId="5F5E0CBE" w14:textId="77777777" w:rsidR="008C1C15" w:rsidRPr="00026DC0" w:rsidRDefault="00500734" w:rsidP="008C1C15">
      <w:pPr>
        <w:rPr>
          <w:lang w:val="fr-FR"/>
        </w:rPr>
      </w:pPr>
      <w:r w:rsidRPr="00026DC0">
        <w:rPr>
          <w:lang w:val="fr-FR"/>
        </w:rPr>
        <w:t>4</w:t>
      </w:r>
      <w:r w:rsidRPr="00026DC0">
        <w:rPr>
          <w:lang w:val="fr-FR"/>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y remédier et, ainsi, de limiter ces activités frauduleuses et leurs effets négatifs ainsi que le blocage des appels internationaux;</w:t>
      </w:r>
    </w:p>
    <w:p w14:paraId="361BAB91" w14:textId="77777777" w:rsidR="008C1C15" w:rsidRPr="00026DC0" w:rsidRDefault="00500734" w:rsidP="008C1C15">
      <w:pPr>
        <w:rPr>
          <w:lang w:val="fr-FR"/>
        </w:rPr>
      </w:pPr>
      <w:r w:rsidRPr="00026DC0">
        <w:rPr>
          <w:lang w:val="fr-FR"/>
        </w:rPr>
        <w:t>5</w:t>
      </w:r>
      <w:r w:rsidRPr="00026DC0">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p>
    <w:p w14:paraId="5E91ABA5" w14:textId="77777777" w:rsidR="008C1C15" w:rsidRPr="00026DC0" w:rsidRDefault="00500734" w:rsidP="008C1C15">
      <w:pPr>
        <w:pStyle w:val="Call"/>
        <w:rPr>
          <w:lang w:val="fr-FR"/>
        </w:rPr>
      </w:pPr>
      <w:r w:rsidRPr="00026DC0">
        <w:rPr>
          <w:lang w:val="fr-FR"/>
        </w:rPr>
        <w:t>décide en outre</w:t>
      </w:r>
    </w:p>
    <w:p w14:paraId="1572CE35" w14:textId="77777777" w:rsidR="008C1C15" w:rsidRPr="00026DC0" w:rsidRDefault="00500734" w:rsidP="008C1C15">
      <w:pPr>
        <w:rPr>
          <w:lang w:val="fr-FR"/>
        </w:rPr>
      </w:pPr>
      <w:r w:rsidRPr="00026DC0">
        <w:rPr>
          <w:lang w:val="fr-FR"/>
        </w:rPr>
        <w:t>1</w:t>
      </w:r>
      <w:r w:rsidRPr="00026DC0">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705D84FE" w14:textId="77777777" w:rsidR="008C1C15" w:rsidRPr="00026DC0" w:rsidRDefault="00500734" w:rsidP="008C1C15">
      <w:pPr>
        <w:rPr>
          <w:lang w:val="fr-FR"/>
        </w:rPr>
      </w:pPr>
      <w:r w:rsidRPr="00026DC0">
        <w:rPr>
          <w:lang w:val="fr-FR"/>
        </w:rPr>
        <w:t>2</w:t>
      </w:r>
      <w:r w:rsidRPr="00026DC0">
        <w:rPr>
          <w:lang w:val="fr-FR"/>
        </w:rPr>
        <w:tab/>
        <w: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Pièce jointe à la présente Résolution;</w:t>
      </w:r>
    </w:p>
    <w:p w14:paraId="4EC3F7E3" w14:textId="35A2941D" w:rsidR="008C1C15" w:rsidRPr="00026DC0" w:rsidRDefault="00500734" w:rsidP="008C1C15">
      <w:pPr>
        <w:rPr>
          <w:lang w:val="fr-FR"/>
        </w:rPr>
      </w:pPr>
      <w:r w:rsidRPr="00026DC0">
        <w:rPr>
          <w:lang w:val="fr-FR"/>
        </w:rPr>
        <w:t>3</w:t>
      </w:r>
      <w:r w:rsidRPr="00026DC0">
        <w:rPr>
          <w:lang w:val="fr-FR"/>
        </w:rPr>
        <w:tab/>
        <w:t>que les États Membres et les régulateurs nationaux devront prendre note des cas d'activités relatives au détournement et à l'utilisation abusive des ressources internationales de numérotage</w:t>
      </w:r>
      <w:r w:rsidR="00A22A39" w:rsidRPr="00026DC0">
        <w:rPr>
          <w:lang w:val="fr-FR"/>
        </w:rPr>
        <w:t> </w:t>
      </w:r>
      <w:r w:rsidRPr="00026DC0">
        <w:rPr>
          <w:lang w:val="fr-FR"/>
        </w:rPr>
        <w:t>UIT</w:t>
      </w:r>
      <w:r w:rsidRPr="00026DC0">
        <w:rPr>
          <w:lang w:val="fr-FR"/>
        </w:rPr>
        <w:noBreakHyphen/>
        <w:t>T E.164, qui leur sont notifiés au moyen des ressources pertinentes de l'UIT</w:t>
      </w:r>
      <w:r w:rsidRPr="00026DC0">
        <w:rPr>
          <w:lang w:val="fr-FR"/>
        </w:rPr>
        <w:noBreakHyphen/>
        <w:t>T (par exemple le Bulletin d'exploitation de l'UIT</w:t>
      </w:r>
      <w:r w:rsidR="00BF043C" w:rsidRPr="00026DC0">
        <w:rPr>
          <w:lang w:val="fr-FR"/>
        </w:rPr>
        <w:noBreakHyphen/>
      </w:r>
      <w:r w:rsidRPr="00026DC0">
        <w:rPr>
          <w:lang w:val="fr-FR"/>
        </w:rPr>
        <w:t>T) ou directement;</w:t>
      </w:r>
    </w:p>
    <w:p w14:paraId="4F09A3CB" w14:textId="77777777" w:rsidR="008C1C15" w:rsidRPr="00026DC0" w:rsidRDefault="00500734" w:rsidP="008C1C15">
      <w:pPr>
        <w:rPr>
          <w:lang w:val="fr-FR"/>
        </w:rPr>
      </w:pPr>
      <w:r w:rsidRPr="00026DC0">
        <w:rPr>
          <w:lang w:val="fr-FR"/>
        </w:rPr>
        <w:t>4</w:t>
      </w:r>
      <w:r w:rsidRPr="00026DC0">
        <w:rPr>
          <w:lang w:val="fr-FR"/>
        </w:rPr>
        <w:tab/>
        <w:t>de demander à la Commission d'études 2 de continuer d'étudier tous les aspects et tous les types de détournement et d'utilisation abusive des ressources de numérotage relevant de son mandat, en particulier des indicatifs de pays internationaux, en vue de modifier la Recommandation UIT</w:t>
      </w:r>
      <w:r w:rsidRPr="00026DC0">
        <w:rPr>
          <w:lang w:val="fr-FR"/>
        </w:rPr>
        <w:noBreakHyphen/>
        <w:t>T E.156 et ses Suppléments et lignes directrices, afin d'identifier des moyens permettant d'appuyer la lutte contre ces activités;</w:t>
      </w:r>
    </w:p>
    <w:p w14:paraId="3FDD84E7" w14:textId="77777777" w:rsidR="008C1C15" w:rsidRPr="00026DC0" w:rsidRDefault="00500734" w:rsidP="008C1C15">
      <w:pPr>
        <w:rPr>
          <w:lang w:val="fr-FR"/>
        </w:rPr>
      </w:pPr>
      <w:r w:rsidRPr="00026DC0">
        <w:rPr>
          <w:lang w:val="fr-FR"/>
        </w:rPr>
        <w:t>5</w:t>
      </w:r>
      <w:r w:rsidRPr="00026DC0">
        <w:rPr>
          <w:lang w:val="fr-FR"/>
        </w:rPr>
        <w:tab/>
        <w:t>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14:paraId="304069CF" w14:textId="77777777" w:rsidR="008C1C15" w:rsidRPr="00026DC0" w:rsidRDefault="00500734" w:rsidP="008C1C15">
      <w:pPr>
        <w:rPr>
          <w:lang w:val="fr-FR"/>
        </w:rPr>
      </w:pPr>
      <w:r w:rsidRPr="00026DC0">
        <w:rPr>
          <w:lang w:val="fr-FR"/>
        </w:rPr>
        <w:t>6</w:t>
      </w:r>
      <w:r w:rsidRPr="00026DC0">
        <w:rPr>
          <w:lang w:val="fr-FR"/>
        </w:rPr>
        <w:tab/>
        <w:t>de demander à la Commission d'études 3 de continuer d'étudier les incidences économiques résultant du détournement et de l'utilisation abusive des ressources de numérotage, y compris du blocage d'appels.</w:t>
      </w:r>
    </w:p>
    <w:p w14:paraId="32280683" w14:textId="30DB8C5D" w:rsidR="008C1C15" w:rsidRPr="00026DC0" w:rsidRDefault="00500734" w:rsidP="008C1C15">
      <w:pPr>
        <w:pStyle w:val="AnnexNo"/>
        <w:rPr>
          <w:lang w:val="fr-FR"/>
        </w:rPr>
      </w:pPr>
      <w:r w:rsidRPr="00026DC0">
        <w:rPr>
          <w:lang w:val="fr-FR"/>
        </w:rPr>
        <w:lastRenderedPageBreak/>
        <w:t>Pièce jointe</w:t>
      </w:r>
      <w:r w:rsidRPr="00026DC0">
        <w:rPr>
          <w:lang w:val="fr-FR"/>
        </w:rPr>
        <w:br/>
        <w:t>(</w:t>
      </w:r>
      <w:r w:rsidRPr="00026DC0">
        <w:rPr>
          <w:caps w:val="0"/>
          <w:lang w:val="fr-FR"/>
        </w:rPr>
        <w:t xml:space="preserve">à la Résolution </w:t>
      </w:r>
      <w:r w:rsidRPr="00026DC0">
        <w:rPr>
          <w:lang w:val="fr-FR"/>
        </w:rPr>
        <w:t>61</w:t>
      </w:r>
      <w:r w:rsidR="00A22A39" w:rsidRPr="00026DC0">
        <w:rPr>
          <w:lang w:val="fr-FR"/>
        </w:rPr>
        <w:t xml:space="preserve"> </w:t>
      </w:r>
      <w:r w:rsidR="00AF4DB4" w:rsidRPr="00026DC0">
        <w:rPr>
          <w:lang w:val="fr-FR"/>
        </w:rPr>
        <w:t>(</w:t>
      </w:r>
      <w:r w:rsidR="00AF4DB4" w:rsidRPr="00026DC0">
        <w:rPr>
          <w:caps w:val="0"/>
          <w:lang w:val="fr-FR"/>
        </w:rPr>
        <w:t>Rév. Genève, 2022</w:t>
      </w:r>
      <w:r w:rsidR="00AF4DB4" w:rsidRPr="00026DC0">
        <w:rPr>
          <w:lang w:val="fr-FR"/>
        </w:rPr>
        <w:t>)</w:t>
      </w:r>
      <w:r w:rsidRPr="00026DC0">
        <w:rPr>
          <w:lang w:val="fr-FR"/>
        </w:rPr>
        <w:t>)</w:t>
      </w:r>
    </w:p>
    <w:p w14:paraId="448EA109" w14:textId="77777777" w:rsidR="008C1C15" w:rsidRPr="00026DC0" w:rsidRDefault="00500734" w:rsidP="008C1C15">
      <w:pPr>
        <w:pStyle w:val="Annextitle"/>
        <w:rPr>
          <w:lang w:val="fr-FR"/>
        </w:rPr>
      </w:pPr>
      <w:r w:rsidRPr="00026DC0">
        <w:rPr>
          <w:lang w:val="fr-FR"/>
        </w:rPr>
        <w:t>Lignes directrices proposées aux régulateurs, aux administrations</w:t>
      </w:r>
      <w:r w:rsidRPr="00026DC0">
        <w:rPr>
          <w:lang w:val="fr-FR"/>
        </w:rPr>
        <w:br/>
        <w:t>et aux exploitations autorisées par les États Membres pour lutter</w:t>
      </w:r>
      <w:r w:rsidRPr="00026DC0">
        <w:rPr>
          <w:lang w:val="fr-FR"/>
        </w:rPr>
        <w:br/>
        <w:t>contre le détournement de numéros</w:t>
      </w:r>
    </w:p>
    <w:p w14:paraId="2EC4C11E" w14:textId="4844B621" w:rsidR="008C1C15" w:rsidRPr="00026DC0" w:rsidRDefault="00500734" w:rsidP="008C1C15">
      <w:pPr>
        <w:rPr>
          <w:lang w:val="fr-FR"/>
        </w:rPr>
      </w:pPr>
      <w:r w:rsidRPr="00026DC0">
        <w:rPr>
          <w:lang w:val="fr-FR"/>
        </w:rPr>
        <w: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le blocage sélectif de certains numéros internationaux constituant une option préférable</w:t>
      </w:r>
      <w:r w:rsidR="005F03CE" w:rsidRPr="00026DC0">
        <w:rPr>
          <w:lang w:val="fr-FR"/>
        </w:rPr>
        <w:t xml:space="preserve"> </w:t>
      </w:r>
      <w:r w:rsidRPr="00026DC0">
        <w:rPr>
          <w:lang w:val="fr-FR"/>
        </w:rPr>
        <w:t>qui est autorisée au cas par cas par les régulateurs nationaux.</w:t>
      </w:r>
    </w:p>
    <w:p w14:paraId="4D31767C" w14:textId="77777777" w:rsidR="008C1C15" w:rsidRPr="00026DC0" w:rsidRDefault="00500734" w:rsidP="008C1C15">
      <w:pPr>
        <w:spacing w:after="120"/>
        <w:rPr>
          <w:lang w:val="fr-FR"/>
        </w:rPr>
      </w:pPr>
      <w:r w:rsidRPr="00026DC0">
        <w:rPr>
          <w:lang w:val="fr-FR"/>
        </w:rPr>
        <w: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14:paraId="7D9B6409" w14:textId="749CA13E" w:rsidR="008C1C15" w:rsidRPr="00026DC0" w:rsidRDefault="00500734" w:rsidP="008C1C15">
      <w:pPr>
        <w:pStyle w:val="TableNo"/>
        <w:rPr>
          <w:b/>
          <w:bCs/>
          <w:sz w:val="24"/>
          <w:szCs w:val="24"/>
          <w:lang w:val="fr-FR"/>
        </w:rPr>
      </w:pPr>
      <w:r w:rsidRPr="00026DC0">
        <w:rPr>
          <w:b/>
          <w:bCs/>
          <w:sz w:val="24"/>
          <w:szCs w:val="24"/>
          <w:lang w:val="fr-FR"/>
        </w:rPr>
        <w:t>SCÉNARIO 1 – P</w:t>
      </w:r>
      <w:r w:rsidR="003438F6" w:rsidRPr="00026DC0">
        <w:rPr>
          <w:b/>
          <w:bCs/>
          <w:caps w:val="0"/>
          <w:sz w:val="24"/>
          <w:szCs w:val="24"/>
          <w:lang w:val="fr-FR"/>
        </w:rPr>
        <w:t>laintes émanant du pays de destination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2775"/>
        <w:gridCol w:w="3287"/>
      </w:tblGrid>
      <w:tr w:rsidR="008C1C15" w:rsidRPr="00026DC0" w14:paraId="6C57C7EE" w14:textId="77777777" w:rsidTr="00CD015D">
        <w:trPr>
          <w:cantSplit/>
          <w:tblHeader/>
        </w:trPr>
        <w:tc>
          <w:tcPr>
            <w:tcW w:w="1850" w:type="pct"/>
            <w:vAlign w:val="center"/>
          </w:tcPr>
          <w:p w14:paraId="4D59AA2D" w14:textId="77777777" w:rsidR="008C1C15" w:rsidRPr="00026DC0" w:rsidRDefault="00500734" w:rsidP="00CD015D">
            <w:pPr>
              <w:pStyle w:val="Tablehead"/>
              <w:keepNext w:val="0"/>
              <w:rPr>
                <w:lang w:val="fr-FR"/>
              </w:rPr>
            </w:pPr>
            <w:r w:rsidRPr="00026DC0">
              <w:rPr>
                <w:lang w:val="fr-FR"/>
              </w:rPr>
              <w:t>Pays X</w:t>
            </w:r>
            <w:r w:rsidRPr="00026DC0">
              <w:rPr>
                <w:lang w:val="fr-FR"/>
              </w:rPr>
              <w:br/>
              <w:t>(pays d'origine de l'appel)</w:t>
            </w:r>
          </w:p>
        </w:tc>
        <w:tc>
          <w:tcPr>
            <w:tcW w:w="1442" w:type="pct"/>
            <w:vAlign w:val="center"/>
          </w:tcPr>
          <w:p w14:paraId="03E25266" w14:textId="77777777" w:rsidR="008C1C15" w:rsidRPr="00026DC0" w:rsidRDefault="00500734" w:rsidP="00CD015D">
            <w:pPr>
              <w:pStyle w:val="Tablehead"/>
              <w:keepNext w:val="0"/>
              <w:rPr>
                <w:lang w:val="fr-FR"/>
              </w:rPr>
            </w:pPr>
            <w:r w:rsidRPr="00026DC0">
              <w:rPr>
                <w:lang w:val="fr-FR"/>
              </w:rPr>
              <w:t>Pays Y</w:t>
            </w:r>
            <w:r w:rsidRPr="00026DC0">
              <w:rPr>
                <w:lang w:val="fr-FR"/>
              </w:rPr>
              <w:br/>
              <w:t>(pays par lequel l'appel</w:t>
            </w:r>
            <w:r w:rsidRPr="00026DC0">
              <w:rPr>
                <w:lang w:val="fr-FR"/>
              </w:rPr>
              <w:br/>
              <w:t>est acheminé)</w:t>
            </w:r>
          </w:p>
        </w:tc>
        <w:tc>
          <w:tcPr>
            <w:tcW w:w="1708" w:type="pct"/>
            <w:vAlign w:val="center"/>
          </w:tcPr>
          <w:p w14:paraId="1C7FC290" w14:textId="77777777" w:rsidR="008C1C15" w:rsidRPr="00026DC0" w:rsidRDefault="00500734" w:rsidP="00CD015D">
            <w:pPr>
              <w:pStyle w:val="Tablehead"/>
              <w:keepNext w:val="0"/>
              <w:rPr>
                <w:lang w:val="fr-FR"/>
              </w:rPr>
            </w:pPr>
            <w:r w:rsidRPr="00026DC0">
              <w:rPr>
                <w:lang w:val="fr-FR"/>
              </w:rPr>
              <w:t>Pays Z</w:t>
            </w:r>
            <w:r w:rsidRPr="00026DC0">
              <w:rPr>
                <w:lang w:val="fr-FR"/>
              </w:rPr>
              <w:br/>
              <w:t>(pays auquel l'appel était</w:t>
            </w:r>
            <w:r w:rsidRPr="00026DC0">
              <w:rPr>
                <w:lang w:val="fr-FR"/>
              </w:rPr>
              <w:br/>
              <w:t>destiné à l'origine)</w:t>
            </w:r>
          </w:p>
        </w:tc>
      </w:tr>
      <w:tr w:rsidR="008C1C15" w:rsidRPr="00026DC0" w14:paraId="10B9A6BE" w14:textId="77777777" w:rsidTr="00CD015D">
        <w:trPr>
          <w:cantSplit/>
        </w:trPr>
        <w:tc>
          <w:tcPr>
            <w:tcW w:w="1850" w:type="pct"/>
          </w:tcPr>
          <w:p w14:paraId="7E9DE972" w14:textId="77777777" w:rsidR="008C1C15" w:rsidRPr="00026DC0" w:rsidRDefault="004F30E7" w:rsidP="00877F75">
            <w:pPr>
              <w:pStyle w:val="Tabletext"/>
              <w:jc w:val="left"/>
              <w:rPr>
                <w:lang w:val="fr-FR"/>
              </w:rPr>
            </w:pPr>
          </w:p>
        </w:tc>
        <w:tc>
          <w:tcPr>
            <w:tcW w:w="1442" w:type="pct"/>
          </w:tcPr>
          <w:p w14:paraId="0B11C183" w14:textId="77777777" w:rsidR="008C1C15" w:rsidRPr="00026DC0" w:rsidRDefault="004F30E7" w:rsidP="00877F75">
            <w:pPr>
              <w:pStyle w:val="Tabletext"/>
              <w:jc w:val="left"/>
              <w:rPr>
                <w:lang w:val="fr-FR"/>
              </w:rPr>
            </w:pPr>
          </w:p>
        </w:tc>
        <w:tc>
          <w:tcPr>
            <w:tcW w:w="1708" w:type="pct"/>
          </w:tcPr>
          <w:p w14:paraId="4339853F" w14:textId="77777777" w:rsidR="008C1C15" w:rsidRPr="00026DC0" w:rsidRDefault="00500734" w:rsidP="00877F75">
            <w:pPr>
              <w:pStyle w:val="Tabletext"/>
              <w:jc w:val="left"/>
              <w:rPr>
                <w:caps/>
                <w:lang w:val="fr-FR"/>
              </w:rPr>
            </w:pPr>
            <w:r w:rsidRPr="00026DC0">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8C1C15" w:rsidRPr="00026DC0" w14:paraId="081FF2CC" w14:textId="77777777" w:rsidTr="00CD015D">
        <w:trPr>
          <w:cantSplit/>
        </w:trPr>
        <w:tc>
          <w:tcPr>
            <w:tcW w:w="1850" w:type="pct"/>
          </w:tcPr>
          <w:p w14:paraId="3D3E8D3B" w14:textId="77777777" w:rsidR="008C1C15" w:rsidRPr="00026DC0" w:rsidRDefault="00500734" w:rsidP="00877F75">
            <w:pPr>
              <w:pStyle w:val="Tabletext"/>
              <w:jc w:val="left"/>
              <w:rPr>
                <w:caps/>
                <w:lang w:val="fr-FR"/>
              </w:rPr>
            </w:pPr>
            <w:r w:rsidRPr="00026DC0">
              <w:rPr>
                <w:lang w:val="fr-FR"/>
              </w:rPr>
              <w:t>Dès réception d'une plainte, les premières informations requises sont le nom de l'exploitant depuis lequel l'appel a été émis, l'heure de l'appel et le numéro appelé.</w:t>
            </w:r>
          </w:p>
        </w:tc>
        <w:tc>
          <w:tcPr>
            <w:tcW w:w="1442" w:type="pct"/>
          </w:tcPr>
          <w:p w14:paraId="23BCF1D8" w14:textId="77777777" w:rsidR="008C1C15" w:rsidRPr="00026DC0" w:rsidRDefault="004F30E7" w:rsidP="00877F75">
            <w:pPr>
              <w:pStyle w:val="Tabletext"/>
              <w:jc w:val="left"/>
              <w:rPr>
                <w:lang w:val="fr-FR"/>
              </w:rPr>
            </w:pPr>
          </w:p>
        </w:tc>
        <w:tc>
          <w:tcPr>
            <w:tcW w:w="1708" w:type="pct"/>
          </w:tcPr>
          <w:p w14:paraId="2296A40B" w14:textId="77777777" w:rsidR="008C1C15" w:rsidRPr="00026DC0" w:rsidRDefault="004F30E7" w:rsidP="00877F75">
            <w:pPr>
              <w:pStyle w:val="Tabletext"/>
              <w:jc w:val="left"/>
              <w:rPr>
                <w:lang w:val="fr-FR"/>
              </w:rPr>
            </w:pPr>
          </w:p>
        </w:tc>
      </w:tr>
      <w:tr w:rsidR="008C1C15" w:rsidRPr="00026DC0" w14:paraId="352C98AF" w14:textId="77777777" w:rsidTr="00CD015D">
        <w:trPr>
          <w:cantSplit/>
        </w:trPr>
        <w:tc>
          <w:tcPr>
            <w:tcW w:w="1850" w:type="pct"/>
          </w:tcPr>
          <w:p w14:paraId="4CB22372" w14:textId="2658B0FD" w:rsidR="008C1C15" w:rsidRPr="00026DC0" w:rsidRDefault="00500734" w:rsidP="00877F75">
            <w:pPr>
              <w:pStyle w:val="Tabletext"/>
              <w:spacing w:before="120"/>
              <w:jc w:val="left"/>
              <w:rPr>
                <w:caps/>
                <w:lang w:val="fr-FR"/>
              </w:rPr>
            </w:pPr>
            <w:r w:rsidRPr="00026DC0">
              <w:rPr>
                <w:lang w:val="fr-FR"/>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14:paraId="6906B41D" w14:textId="77777777" w:rsidR="008C1C15" w:rsidRPr="00026DC0" w:rsidRDefault="004F30E7" w:rsidP="00877F75">
            <w:pPr>
              <w:pStyle w:val="Tabletext"/>
              <w:spacing w:after="1560"/>
              <w:jc w:val="left"/>
              <w:rPr>
                <w:lang w:val="fr-FR"/>
              </w:rPr>
            </w:pPr>
          </w:p>
        </w:tc>
        <w:tc>
          <w:tcPr>
            <w:tcW w:w="1708" w:type="pct"/>
          </w:tcPr>
          <w:p w14:paraId="4138A55C" w14:textId="77777777" w:rsidR="008C1C15" w:rsidRPr="00026DC0" w:rsidRDefault="004F30E7" w:rsidP="00877F75">
            <w:pPr>
              <w:pStyle w:val="Tabletext"/>
              <w:jc w:val="left"/>
              <w:rPr>
                <w:lang w:val="fr-FR"/>
              </w:rPr>
            </w:pPr>
          </w:p>
        </w:tc>
      </w:tr>
    </w:tbl>
    <w:p w14:paraId="45900AF4" w14:textId="60514422" w:rsidR="00877F75" w:rsidRPr="00026DC0" w:rsidRDefault="00877F75">
      <w:pPr>
        <w:rPr>
          <w:lang w:val="fr-FR"/>
        </w:rPr>
      </w:pPr>
    </w:p>
    <w:p w14:paraId="28AFAEF5" w14:textId="3A605159" w:rsidR="00877F75" w:rsidRPr="00026DC0" w:rsidRDefault="00877F75">
      <w:pPr>
        <w:rPr>
          <w:lang w:val="fr-FR"/>
        </w:rPr>
      </w:pPr>
    </w:p>
    <w:p w14:paraId="1C1D9E73" w14:textId="77777777" w:rsidR="00877F75" w:rsidRPr="00026DC0" w:rsidRDefault="00877F75">
      <w:pPr>
        <w:rPr>
          <w:lang w:val="fr-FR"/>
        </w:rPr>
      </w:pPr>
    </w:p>
    <w:p w14:paraId="70A22DBF" w14:textId="33723AEB" w:rsidR="00877F75" w:rsidRPr="00026DC0" w:rsidRDefault="00877F75">
      <w:pPr>
        <w:rPr>
          <w:lang w:val="fr-FR"/>
        </w:rPr>
      </w:pPr>
      <w:r w:rsidRPr="00026DC0">
        <w:rPr>
          <w:lang w:val="fr-F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2775"/>
        <w:gridCol w:w="3287"/>
      </w:tblGrid>
      <w:tr w:rsidR="008C1C15" w:rsidRPr="00026DC0" w14:paraId="7251F12A" w14:textId="77777777" w:rsidTr="00CD015D">
        <w:trPr>
          <w:cantSplit/>
        </w:trPr>
        <w:tc>
          <w:tcPr>
            <w:tcW w:w="1850" w:type="pct"/>
          </w:tcPr>
          <w:p w14:paraId="0AEA3863" w14:textId="77777777" w:rsidR="008C1C15" w:rsidRPr="00026DC0" w:rsidRDefault="00500734" w:rsidP="00877F75">
            <w:pPr>
              <w:pStyle w:val="Tabletext"/>
              <w:keepNext/>
              <w:keepLines/>
              <w:jc w:val="left"/>
              <w:rPr>
                <w:lang w:val="fr-FR"/>
              </w:rPr>
            </w:pPr>
            <w:r w:rsidRPr="00026DC0">
              <w:rPr>
                <w:lang w:val="fr-FR"/>
              </w:rPr>
              <w:lastRenderedPageBreak/>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14:paraId="5681D407" w14:textId="77777777" w:rsidR="008C1C15" w:rsidRPr="00026DC0" w:rsidRDefault="00500734" w:rsidP="00877F75">
            <w:pPr>
              <w:pStyle w:val="Tabletext"/>
              <w:keepNext/>
              <w:keepLines/>
              <w:jc w:val="left"/>
              <w:rPr>
                <w:lang w:val="fr-FR"/>
              </w:rPr>
            </w:pPr>
            <w:r w:rsidRPr="00026DC0">
              <w:rPr>
                <w:lang w:val="fr-FR"/>
              </w:rPr>
              <w:t xml:space="preserve">Le régulateur national demande les informations voulues aux autres exploitants. Cette procédure se poursuit jusqu'à ce que l'on détermine où l'appel a été détourné. </w:t>
            </w:r>
          </w:p>
        </w:tc>
        <w:tc>
          <w:tcPr>
            <w:tcW w:w="1708" w:type="pct"/>
          </w:tcPr>
          <w:p w14:paraId="4DAFF4DF" w14:textId="77777777" w:rsidR="008C1C15" w:rsidRPr="00026DC0" w:rsidRDefault="004F30E7" w:rsidP="00877F75">
            <w:pPr>
              <w:pStyle w:val="Tabletext"/>
              <w:keepNext/>
              <w:keepLines/>
              <w:jc w:val="left"/>
              <w:rPr>
                <w:lang w:val="fr-FR"/>
              </w:rPr>
            </w:pPr>
          </w:p>
        </w:tc>
      </w:tr>
      <w:tr w:rsidR="008C1C15" w:rsidRPr="00026DC0" w14:paraId="3026EA86" w14:textId="77777777" w:rsidTr="00CD015D">
        <w:trPr>
          <w:cantSplit/>
        </w:trPr>
        <w:tc>
          <w:tcPr>
            <w:tcW w:w="1850" w:type="pct"/>
          </w:tcPr>
          <w:p w14:paraId="4C9DD683" w14:textId="77777777" w:rsidR="008C1C15" w:rsidRPr="00026DC0" w:rsidRDefault="00500734" w:rsidP="00877F75">
            <w:pPr>
              <w:pStyle w:val="Tabletext"/>
              <w:jc w:val="left"/>
              <w:rPr>
                <w:caps/>
                <w:lang w:val="fr-FR"/>
              </w:rPr>
            </w:pPr>
            <w:r w:rsidRPr="00026DC0">
              <w:rPr>
                <w:lang w:val="fr-FR"/>
              </w:rPr>
              <w:t>Coopération appropriée des régulateurs nationaux pour régler ces problèmes.</w:t>
            </w:r>
          </w:p>
        </w:tc>
        <w:tc>
          <w:tcPr>
            <w:tcW w:w="1442" w:type="pct"/>
          </w:tcPr>
          <w:p w14:paraId="5E3B3BFA" w14:textId="77777777" w:rsidR="008C1C15" w:rsidRPr="00026DC0" w:rsidRDefault="00500734" w:rsidP="00877F75">
            <w:pPr>
              <w:pStyle w:val="Tabletext"/>
              <w:jc w:val="left"/>
              <w:rPr>
                <w:caps/>
                <w:lang w:val="fr-FR"/>
              </w:rPr>
            </w:pPr>
            <w:r w:rsidRPr="00026DC0">
              <w:rPr>
                <w:lang w:val="fr-FR"/>
              </w:rPr>
              <w:t>Les entités concernées doivent coopérer pour tenter d'engager une procédure pénale contre les fraudeurs.</w:t>
            </w:r>
          </w:p>
        </w:tc>
        <w:tc>
          <w:tcPr>
            <w:tcW w:w="1708" w:type="pct"/>
          </w:tcPr>
          <w:p w14:paraId="2178BE3D" w14:textId="77777777" w:rsidR="008C1C15" w:rsidRPr="00026DC0" w:rsidRDefault="00500734" w:rsidP="00877F75">
            <w:pPr>
              <w:pStyle w:val="Tabletext"/>
              <w:jc w:val="left"/>
              <w:rPr>
                <w:caps/>
                <w:lang w:val="fr-FR"/>
              </w:rPr>
            </w:pPr>
            <w:r w:rsidRPr="00026DC0">
              <w:rPr>
                <w:lang w:val="fr-FR"/>
              </w:rPr>
              <w:t>Les régulateurs nationaux concernés sont encouragés à coopérer pour résoudre ces problèmes.</w:t>
            </w:r>
          </w:p>
        </w:tc>
      </w:tr>
    </w:tbl>
    <w:p w14:paraId="2928A500" w14:textId="77777777" w:rsidR="00877F75" w:rsidRPr="00026DC0" w:rsidRDefault="00877F75" w:rsidP="00877F75">
      <w:pPr>
        <w:pStyle w:val="TableNo"/>
        <w:spacing w:before="0"/>
        <w:rPr>
          <w:b/>
          <w:bCs/>
          <w:sz w:val="24"/>
          <w:szCs w:val="24"/>
          <w:lang w:val="fr-FR"/>
        </w:rPr>
      </w:pPr>
    </w:p>
    <w:p w14:paraId="5FFFF1A4" w14:textId="3028D2B8" w:rsidR="008C1C15" w:rsidRPr="00026DC0" w:rsidRDefault="00500734" w:rsidP="00877F75">
      <w:pPr>
        <w:pStyle w:val="TableNo"/>
        <w:spacing w:before="0"/>
        <w:rPr>
          <w:b/>
          <w:bCs/>
          <w:sz w:val="24"/>
          <w:szCs w:val="24"/>
          <w:lang w:val="fr-FR"/>
        </w:rPr>
      </w:pPr>
      <w:r w:rsidRPr="00026DC0">
        <w:rPr>
          <w:b/>
          <w:bCs/>
          <w:sz w:val="24"/>
          <w:szCs w:val="24"/>
          <w:lang w:val="fr-FR"/>
        </w:rPr>
        <w:t>SCÉNARIO 2 – P</w:t>
      </w:r>
      <w:r w:rsidR="003438F6" w:rsidRPr="00026DC0">
        <w:rPr>
          <w:b/>
          <w:bCs/>
          <w:caps w:val="0"/>
          <w:sz w:val="24"/>
          <w:szCs w:val="24"/>
          <w:lang w:val="fr-FR"/>
        </w:rPr>
        <w:t>laintes reçues par le pays d'origine</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3031"/>
        <w:gridCol w:w="3031"/>
      </w:tblGrid>
      <w:tr w:rsidR="008C1C15" w:rsidRPr="00026DC0" w14:paraId="2899CCD1" w14:textId="77777777" w:rsidTr="00CD015D">
        <w:trPr>
          <w:cantSplit/>
          <w:tblHeader/>
        </w:trPr>
        <w:tc>
          <w:tcPr>
            <w:tcW w:w="1850" w:type="pct"/>
          </w:tcPr>
          <w:p w14:paraId="78E60E0C" w14:textId="77777777" w:rsidR="008C1C15" w:rsidRPr="00026DC0" w:rsidRDefault="00500734" w:rsidP="00CD015D">
            <w:pPr>
              <w:pStyle w:val="Tablehead"/>
              <w:rPr>
                <w:lang w:val="fr-FR"/>
              </w:rPr>
            </w:pPr>
            <w:r w:rsidRPr="00026DC0">
              <w:rPr>
                <w:lang w:val="fr-FR"/>
              </w:rPr>
              <w:t>Pays X</w:t>
            </w:r>
            <w:r w:rsidRPr="00026DC0">
              <w:rPr>
                <w:lang w:val="fr-FR"/>
              </w:rPr>
              <w:br/>
              <w:t>(pays d'origine de l'appel)</w:t>
            </w:r>
          </w:p>
        </w:tc>
        <w:tc>
          <w:tcPr>
            <w:tcW w:w="1575" w:type="pct"/>
          </w:tcPr>
          <w:p w14:paraId="2CB5CAA9" w14:textId="77777777" w:rsidR="008C1C15" w:rsidRPr="00026DC0" w:rsidRDefault="00500734" w:rsidP="00CD015D">
            <w:pPr>
              <w:pStyle w:val="Tablehead"/>
              <w:rPr>
                <w:lang w:val="fr-FR"/>
              </w:rPr>
            </w:pPr>
            <w:r w:rsidRPr="00026DC0">
              <w:rPr>
                <w:lang w:val="fr-FR"/>
              </w:rPr>
              <w:t>Pays Y</w:t>
            </w:r>
            <w:r w:rsidRPr="00026DC0">
              <w:rPr>
                <w:lang w:val="fr-FR"/>
              </w:rPr>
              <w:br/>
              <w:t>(pays par lequel l'appel</w:t>
            </w:r>
            <w:r w:rsidRPr="00026DC0">
              <w:rPr>
                <w:lang w:val="fr-FR"/>
              </w:rPr>
              <w:br/>
              <w:t>est acheminé)</w:t>
            </w:r>
          </w:p>
        </w:tc>
        <w:tc>
          <w:tcPr>
            <w:tcW w:w="1575" w:type="pct"/>
          </w:tcPr>
          <w:p w14:paraId="552C893D" w14:textId="77777777" w:rsidR="008C1C15" w:rsidRPr="00026DC0" w:rsidRDefault="00500734" w:rsidP="00CD015D">
            <w:pPr>
              <w:pStyle w:val="Tablehead"/>
              <w:rPr>
                <w:lang w:val="fr-FR"/>
              </w:rPr>
            </w:pPr>
            <w:r w:rsidRPr="00026DC0">
              <w:rPr>
                <w:lang w:val="fr-FR"/>
              </w:rPr>
              <w:t>Pays Z</w:t>
            </w:r>
            <w:r w:rsidRPr="00026DC0">
              <w:rPr>
                <w:lang w:val="fr-FR"/>
              </w:rPr>
              <w:br/>
              <w:t>(pays auquel l'appel était</w:t>
            </w:r>
            <w:r w:rsidRPr="00026DC0">
              <w:rPr>
                <w:lang w:val="fr-FR"/>
              </w:rPr>
              <w:br/>
              <w:t>destiné à l'origine)</w:t>
            </w:r>
          </w:p>
        </w:tc>
      </w:tr>
      <w:tr w:rsidR="008C1C15" w:rsidRPr="00026DC0" w14:paraId="753DB8BF" w14:textId="77777777" w:rsidTr="00CD015D">
        <w:trPr>
          <w:cantSplit/>
        </w:trPr>
        <w:tc>
          <w:tcPr>
            <w:tcW w:w="1850" w:type="pct"/>
          </w:tcPr>
          <w:p w14:paraId="2F5337BB" w14:textId="77777777" w:rsidR="008C1C15" w:rsidRPr="00026DC0" w:rsidRDefault="00500734" w:rsidP="00877F75">
            <w:pPr>
              <w:pStyle w:val="Tabletext"/>
              <w:keepNext/>
              <w:jc w:val="left"/>
              <w:rPr>
                <w:lang w:val="fr-FR"/>
              </w:rPr>
            </w:pPr>
            <w:r w:rsidRPr="00026DC0">
              <w:rPr>
                <w:lang w:val="fr-FR"/>
              </w:rPr>
              <w:t>Dès réception d'une plainte, le régulateur national demande le nom de l'exploitant depuis lequel l'appel a été émis, l'heure de l'appel et le numéro appelé.</w:t>
            </w:r>
          </w:p>
          <w:p w14:paraId="268DD78D" w14:textId="77777777" w:rsidR="008C1C15" w:rsidRPr="00026DC0" w:rsidRDefault="00500734" w:rsidP="00877F75">
            <w:pPr>
              <w:pStyle w:val="Tabletext"/>
              <w:keepNext/>
              <w:spacing w:before="0"/>
              <w:jc w:val="left"/>
              <w:rPr>
                <w:lang w:val="fr-FR"/>
              </w:rPr>
            </w:pPr>
            <w:r w:rsidRPr="00026DC0">
              <w:rPr>
                <w:lang w:val="fr-FR"/>
              </w:rPr>
              <w:t>Il demande également le nom de l'exploitant auquel l'appel est destiné, l'heure de l'appel et le numéro appelé, et transmet ces informations au régulateur national du pays Z.</w:t>
            </w:r>
          </w:p>
        </w:tc>
        <w:tc>
          <w:tcPr>
            <w:tcW w:w="1575" w:type="pct"/>
          </w:tcPr>
          <w:p w14:paraId="2A93152A" w14:textId="77777777" w:rsidR="008C1C15" w:rsidRPr="00026DC0" w:rsidRDefault="004F30E7" w:rsidP="00877F75">
            <w:pPr>
              <w:pStyle w:val="Tabletext"/>
              <w:keepNext/>
              <w:jc w:val="left"/>
              <w:rPr>
                <w:lang w:val="fr-FR"/>
              </w:rPr>
            </w:pPr>
          </w:p>
        </w:tc>
        <w:tc>
          <w:tcPr>
            <w:tcW w:w="1575" w:type="pct"/>
          </w:tcPr>
          <w:p w14:paraId="679FB709" w14:textId="77777777" w:rsidR="008C1C15" w:rsidRPr="00026DC0" w:rsidRDefault="004F30E7" w:rsidP="00877F75">
            <w:pPr>
              <w:pStyle w:val="Tabletext"/>
              <w:keepNext/>
              <w:jc w:val="left"/>
              <w:rPr>
                <w:lang w:val="fr-FR"/>
              </w:rPr>
            </w:pPr>
          </w:p>
        </w:tc>
      </w:tr>
      <w:tr w:rsidR="008C1C15" w:rsidRPr="00026DC0" w14:paraId="47742DF4" w14:textId="77777777" w:rsidTr="00CD015D">
        <w:trPr>
          <w:cantSplit/>
        </w:trPr>
        <w:tc>
          <w:tcPr>
            <w:tcW w:w="1850" w:type="pct"/>
          </w:tcPr>
          <w:p w14:paraId="5BE5677A" w14:textId="77777777" w:rsidR="008C1C15" w:rsidRPr="00026DC0" w:rsidRDefault="00500734" w:rsidP="00877F75">
            <w:pPr>
              <w:pStyle w:val="Tabletext"/>
              <w:jc w:val="left"/>
              <w:rPr>
                <w:lang w:val="fr-FR"/>
              </w:rPr>
            </w:pPr>
            <w:r w:rsidRPr="00026DC0">
              <w:rPr>
                <w:lang w:val="fr-FR"/>
              </w:rPr>
              <w:t>Une fois que les détails de l'appel sont connus, le régulateur national demande à l'exploitant depuis lequel l'appel a été émis les informations permettant de déterminer l'exploitant suivant par l'intermédiaire duquel l'appel a été acheminé.</w:t>
            </w:r>
          </w:p>
        </w:tc>
        <w:tc>
          <w:tcPr>
            <w:tcW w:w="1575" w:type="pct"/>
          </w:tcPr>
          <w:p w14:paraId="0ABFA956" w14:textId="77777777" w:rsidR="008C1C15" w:rsidRPr="00026DC0" w:rsidRDefault="004F30E7" w:rsidP="00877F75">
            <w:pPr>
              <w:pStyle w:val="Tabletext"/>
              <w:jc w:val="left"/>
              <w:rPr>
                <w:lang w:val="fr-FR"/>
              </w:rPr>
            </w:pPr>
          </w:p>
        </w:tc>
        <w:tc>
          <w:tcPr>
            <w:tcW w:w="1575" w:type="pct"/>
          </w:tcPr>
          <w:p w14:paraId="75CFFEF0" w14:textId="77777777" w:rsidR="008C1C15" w:rsidRPr="00026DC0" w:rsidRDefault="004F30E7" w:rsidP="00877F75">
            <w:pPr>
              <w:pStyle w:val="Tabletext"/>
              <w:jc w:val="left"/>
              <w:rPr>
                <w:lang w:val="fr-FR"/>
              </w:rPr>
            </w:pPr>
          </w:p>
        </w:tc>
      </w:tr>
      <w:tr w:rsidR="008C1C15" w:rsidRPr="00026DC0" w14:paraId="274CAB88" w14:textId="77777777" w:rsidTr="00CD015D">
        <w:trPr>
          <w:cantSplit/>
        </w:trPr>
        <w:tc>
          <w:tcPr>
            <w:tcW w:w="1850" w:type="pct"/>
          </w:tcPr>
          <w:p w14:paraId="4F13D1B7" w14:textId="77777777" w:rsidR="008C1C15" w:rsidRPr="00026DC0" w:rsidRDefault="00500734" w:rsidP="00877F75">
            <w:pPr>
              <w:pStyle w:val="Tabletext"/>
              <w:jc w:val="left"/>
              <w:rPr>
                <w:lang w:val="fr-FR"/>
              </w:rPr>
            </w:pPr>
            <w:r w:rsidRPr="00026DC0">
              <w:rPr>
                <w:lang w:val="fr-FR"/>
              </w:rPr>
              <w:t>Le régulateur national peut également informer son homologue du pays suivant des détails de l'appel (y compris le relevé détaillé de l'appel) et, au besoin, lui demander d'obtenir de plus amples informations.</w:t>
            </w:r>
          </w:p>
        </w:tc>
        <w:tc>
          <w:tcPr>
            <w:tcW w:w="1575" w:type="pct"/>
          </w:tcPr>
          <w:p w14:paraId="46613EC9" w14:textId="77777777" w:rsidR="008C1C15" w:rsidRPr="00026DC0" w:rsidRDefault="00500734" w:rsidP="00877F75">
            <w:pPr>
              <w:pStyle w:val="Tabletext"/>
              <w:jc w:val="left"/>
              <w:rPr>
                <w:lang w:val="fr-FR"/>
              </w:rPr>
            </w:pPr>
            <w:r w:rsidRPr="00026DC0">
              <w:rPr>
                <w:lang w:val="fr-FR"/>
              </w:rPr>
              <w:t>Le régulateur national peut demander les informations voulues aux autres exploitants. Cette procédure peut se poursuivre jusqu'à ce que tous les pays par lesquels l'appel est acheminé soient informés.</w:t>
            </w:r>
          </w:p>
        </w:tc>
        <w:tc>
          <w:tcPr>
            <w:tcW w:w="1575" w:type="pct"/>
          </w:tcPr>
          <w:p w14:paraId="1BB26EAD" w14:textId="77777777" w:rsidR="008C1C15" w:rsidRPr="00026DC0" w:rsidRDefault="004F30E7" w:rsidP="00877F75">
            <w:pPr>
              <w:pStyle w:val="Tabletext"/>
              <w:jc w:val="left"/>
              <w:rPr>
                <w:lang w:val="fr-FR"/>
              </w:rPr>
            </w:pPr>
          </w:p>
        </w:tc>
      </w:tr>
      <w:tr w:rsidR="008C1C15" w:rsidRPr="00026DC0" w14:paraId="461E0A5E" w14:textId="77777777" w:rsidTr="00CD015D">
        <w:trPr>
          <w:cantSplit/>
        </w:trPr>
        <w:tc>
          <w:tcPr>
            <w:tcW w:w="1850" w:type="pct"/>
          </w:tcPr>
          <w:p w14:paraId="435D3B3A" w14:textId="77777777" w:rsidR="008C1C15" w:rsidRPr="00026DC0" w:rsidRDefault="00500734" w:rsidP="00877F75">
            <w:pPr>
              <w:pStyle w:val="Tabletext"/>
              <w:jc w:val="left"/>
              <w:rPr>
                <w:lang w:val="fr-FR"/>
              </w:rPr>
            </w:pPr>
            <w:r w:rsidRPr="00026DC0">
              <w:rPr>
                <w:lang w:val="fr-FR"/>
              </w:rPr>
              <w:t>Coopération appropriée des régulateurs nationaux pour régler ces problèmes.</w:t>
            </w:r>
          </w:p>
          <w:p w14:paraId="6AB5EA19" w14:textId="77777777" w:rsidR="008C1C15" w:rsidRPr="00026DC0" w:rsidRDefault="00500734" w:rsidP="00877F75">
            <w:pPr>
              <w:pStyle w:val="Tabletext"/>
              <w:jc w:val="left"/>
              <w:rPr>
                <w:lang w:val="fr-FR"/>
              </w:rPr>
            </w:pPr>
            <w:r w:rsidRPr="00026DC0">
              <w:rPr>
                <w:lang w:val="fr-FR"/>
              </w:rPr>
              <w:t>Informer les régulateurs nationaux concernés des mesures prises.</w:t>
            </w:r>
          </w:p>
        </w:tc>
        <w:tc>
          <w:tcPr>
            <w:tcW w:w="1575" w:type="pct"/>
          </w:tcPr>
          <w:p w14:paraId="5FE2AC9A" w14:textId="77777777" w:rsidR="008C1C15" w:rsidRPr="00026DC0" w:rsidRDefault="00500734" w:rsidP="00877F75">
            <w:pPr>
              <w:pStyle w:val="Tabletext"/>
              <w:jc w:val="left"/>
              <w:rPr>
                <w:lang w:val="fr-FR"/>
              </w:rPr>
            </w:pPr>
            <w:r w:rsidRPr="00026DC0">
              <w:rPr>
                <w:lang w:val="fr-FR"/>
              </w:rPr>
              <w:t>Les entités concernées doivent coopérer.</w:t>
            </w:r>
          </w:p>
        </w:tc>
        <w:tc>
          <w:tcPr>
            <w:tcW w:w="1575" w:type="pct"/>
          </w:tcPr>
          <w:p w14:paraId="160482E3" w14:textId="77777777" w:rsidR="008C1C15" w:rsidRPr="00026DC0" w:rsidRDefault="00500734" w:rsidP="00877F75">
            <w:pPr>
              <w:pStyle w:val="Tabletext"/>
              <w:jc w:val="left"/>
              <w:rPr>
                <w:lang w:val="fr-FR"/>
              </w:rPr>
            </w:pPr>
            <w:r w:rsidRPr="00026DC0">
              <w:rPr>
                <w:lang w:val="fr-FR"/>
              </w:rPr>
              <w:t>Les régulateurs nationaux concernés sont encouragés à coopérer pour résoudre ces problèmes.</w:t>
            </w:r>
          </w:p>
        </w:tc>
      </w:tr>
    </w:tbl>
    <w:p w14:paraId="24704874" w14:textId="7E33BAA8" w:rsidR="00003B5C" w:rsidRPr="00026DC0" w:rsidRDefault="00003B5C">
      <w:pPr>
        <w:pStyle w:val="Reasons"/>
        <w:rPr>
          <w:lang w:val="fr-FR"/>
        </w:rPr>
      </w:pPr>
    </w:p>
    <w:p w14:paraId="218CB39F" w14:textId="6BE56727" w:rsidR="00877F75" w:rsidRPr="00026DC0" w:rsidRDefault="00877F75">
      <w:pPr>
        <w:pStyle w:val="Reasons"/>
        <w:rPr>
          <w:lang w:val="fr-FR"/>
        </w:rPr>
      </w:pPr>
    </w:p>
    <w:p w14:paraId="5AB33462" w14:textId="7E4485CA" w:rsidR="00877F75" w:rsidRPr="00026DC0" w:rsidRDefault="00877F75">
      <w:pPr>
        <w:pStyle w:val="Reasons"/>
        <w:rPr>
          <w:lang w:val="fr-FR"/>
        </w:rPr>
      </w:pPr>
    </w:p>
    <w:p w14:paraId="25CD96A9" w14:textId="1A99FEAD" w:rsidR="00877F75" w:rsidRPr="00026DC0" w:rsidRDefault="00877F75">
      <w:pPr>
        <w:pStyle w:val="Reasons"/>
        <w:rPr>
          <w:lang w:val="fr-FR"/>
        </w:rPr>
      </w:pPr>
    </w:p>
    <w:p w14:paraId="20CC05A5" w14:textId="6E23F1FF" w:rsidR="00877F75" w:rsidRPr="00026DC0" w:rsidRDefault="00877F75">
      <w:pPr>
        <w:pStyle w:val="Reasons"/>
        <w:rPr>
          <w:lang w:val="fr-FR"/>
        </w:rPr>
      </w:pPr>
    </w:p>
    <w:p w14:paraId="162B7CAF" w14:textId="77777777" w:rsidR="00877F75" w:rsidRPr="00026DC0" w:rsidRDefault="00877F75">
      <w:pPr>
        <w:pStyle w:val="Reasons"/>
        <w:rPr>
          <w:lang w:val="fr-FR"/>
        </w:rPr>
      </w:pPr>
    </w:p>
    <w:sectPr w:rsidR="00877F75" w:rsidRPr="00026DC0" w:rsidSect="00877F75">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9469" w14:textId="77777777" w:rsidR="004F30E7" w:rsidRDefault="004F30E7">
      <w:r>
        <w:separator/>
      </w:r>
    </w:p>
  </w:endnote>
  <w:endnote w:type="continuationSeparator" w:id="0">
    <w:p w14:paraId="5FE6AE19" w14:textId="77777777" w:rsidR="004F30E7" w:rsidRDefault="004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C76" w14:textId="77777777" w:rsidR="00026DC0" w:rsidRDefault="0002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30C6" w14:textId="77777777" w:rsidR="00026DC0" w:rsidRDefault="00026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1A3" w14:textId="77777777" w:rsidR="00026DC0" w:rsidRDefault="00026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CEA7" w14:textId="77777777" w:rsidR="00D650A1" w:rsidRPr="00DE48B4" w:rsidRDefault="00D650A1"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F9E7" w14:textId="77777777" w:rsidR="00D650A1" w:rsidRPr="008968B6" w:rsidRDefault="00D650A1"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F2763FD"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026DC0">
      <w:t>Résolution</w:t>
    </w:r>
    <w:r>
      <w:rPr>
        <w:lang w:val="en-US"/>
      </w:rPr>
      <w:t xml:space="preserve"> </w:t>
    </w:r>
    <w:r>
      <w:fldChar w:fldCharType="begin"/>
    </w:r>
    <w:r>
      <w:rPr>
        <w:lang w:val="en-US"/>
      </w:rPr>
      <w:instrText>styleref href</w:instrText>
    </w:r>
    <w:r>
      <w:fldChar w:fldCharType="separate"/>
    </w:r>
    <w:r w:rsidR="00026DC0">
      <w:rPr>
        <w:noProof/>
        <w:lang w:val="en-US"/>
      </w:rPr>
      <w:t>61</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71FF8339" w:rsidR="00E45D05" w:rsidRPr="00026DC0" w:rsidRDefault="002333C2" w:rsidP="002333C2">
    <w:pPr>
      <w:pStyle w:val="FooterQP"/>
    </w:pPr>
    <w:r w:rsidRPr="00026DC0">
      <w:tab/>
    </w:r>
    <w:r w:rsidRPr="00026DC0">
      <w:tab/>
      <w:t xml:space="preserve">AMNT-20 – Résolution </w:t>
    </w:r>
    <w:r w:rsidRPr="00026DC0">
      <w:fldChar w:fldCharType="begin"/>
    </w:r>
    <w:r w:rsidRPr="00026DC0">
      <w:instrText>styleref href</w:instrText>
    </w:r>
    <w:r w:rsidRPr="00026DC0">
      <w:fldChar w:fldCharType="separate"/>
    </w:r>
    <w:r w:rsidR="00026DC0">
      <w:rPr>
        <w:noProof/>
      </w:rPr>
      <w:t>61</w:t>
    </w:r>
    <w:r w:rsidRPr="00026DC0">
      <w:fldChar w:fldCharType="end"/>
    </w:r>
    <w:r w:rsidRPr="00026DC0">
      <w:tab/>
    </w:r>
    <w:r w:rsidRPr="00026DC0">
      <w:rPr>
        <w:b w:val="0"/>
        <w:bCs/>
      </w:rPr>
      <w:fldChar w:fldCharType="begin"/>
    </w:r>
    <w:r w:rsidRPr="00026DC0">
      <w:rPr>
        <w:b w:val="0"/>
        <w:bCs/>
      </w:rPr>
      <w:instrText xml:space="preserve"> PAGE  \* MERGEFORMAT </w:instrText>
    </w:r>
    <w:r w:rsidRPr="00026DC0">
      <w:rPr>
        <w:b w:val="0"/>
        <w:bCs/>
      </w:rPr>
      <w:fldChar w:fldCharType="separate"/>
    </w:r>
    <w:r w:rsidRPr="00026DC0">
      <w:rPr>
        <w:b w:val="0"/>
        <w:bCs/>
      </w:rPr>
      <w:t>1</w:t>
    </w:r>
    <w:r w:rsidRPr="00026DC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6EEA" w14:textId="77777777" w:rsidR="004F30E7" w:rsidRDefault="004F30E7">
      <w:r>
        <w:rPr>
          <w:b/>
        </w:rPr>
        <w:t>_______________</w:t>
      </w:r>
    </w:p>
  </w:footnote>
  <w:footnote w:type="continuationSeparator" w:id="0">
    <w:p w14:paraId="2E79EE7D" w14:textId="77777777" w:rsidR="004F30E7" w:rsidRDefault="004F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5057" w14:textId="77777777" w:rsidR="00D650A1" w:rsidRDefault="00D650A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A425" w14:textId="77777777" w:rsidR="00D650A1" w:rsidRDefault="00D650A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E971" w14:textId="77777777" w:rsidR="00026DC0" w:rsidRDefault="00026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1812" w14:textId="77777777" w:rsidR="00D650A1" w:rsidRDefault="00D650A1">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461314">
    <w:abstractNumId w:val="8"/>
  </w:num>
  <w:num w:numId="2" w16cid:durableId="10648374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0823679">
    <w:abstractNumId w:val="9"/>
  </w:num>
  <w:num w:numId="4" w16cid:durableId="383717706">
    <w:abstractNumId w:val="7"/>
  </w:num>
  <w:num w:numId="5" w16cid:durableId="303584428">
    <w:abstractNumId w:val="6"/>
  </w:num>
  <w:num w:numId="6" w16cid:durableId="1622423389">
    <w:abstractNumId w:val="5"/>
  </w:num>
  <w:num w:numId="7" w16cid:durableId="1947231759">
    <w:abstractNumId w:val="4"/>
  </w:num>
  <w:num w:numId="8" w16cid:durableId="1491142176">
    <w:abstractNumId w:val="3"/>
  </w:num>
  <w:num w:numId="9" w16cid:durableId="2099131276">
    <w:abstractNumId w:val="2"/>
  </w:num>
  <w:num w:numId="10" w16cid:durableId="1010916175">
    <w:abstractNumId w:val="1"/>
  </w:num>
  <w:num w:numId="11" w16cid:durableId="258832118">
    <w:abstractNumId w:val="0"/>
  </w:num>
  <w:num w:numId="12" w16cid:durableId="739063784">
    <w:abstractNumId w:val="15"/>
  </w:num>
  <w:num w:numId="13" w16cid:durableId="1037702441">
    <w:abstractNumId w:val="24"/>
  </w:num>
  <w:num w:numId="14" w16cid:durableId="1921865517">
    <w:abstractNumId w:val="25"/>
  </w:num>
  <w:num w:numId="15" w16cid:durableId="1181552748">
    <w:abstractNumId w:val="27"/>
  </w:num>
  <w:num w:numId="16" w16cid:durableId="351417286">
    <w:abstractNumId w:val="49"/>
  </w:num>
  <w:num w:numId="17" w16cid:durableId="339549628">
    <w:abstractNumId w:val="17"/>
  </w:num>
  <w:num w:numId="18" w16cid:durableId="1885485173">
    <w:abstractNumId w:val="31"/>
  </w:num>
  <w:num w:numId="19" w16cid:durableId="1848860176">
    <w:abstractNumId w:val="45"/>
  </w:num>
  <w:num w:numId="20" w16cid:durableId="1733893070">
    <w:abstractNumId w:val="36"/>
  </w:num>
  <w:num w:numId="21" w16cid:durableId="345445072">
    <w:abstractNumId w:val="30"/>
  </w:num>
  <w:num w:numId="22" w16cid:durableId="1303853166">
    <w:abstractNumId w:val="28"/>
  </w:num>
  <w:num w:numId="23" w16cid:durableId="1082096549">
    <w:abstractNumId w:val="12"/>
  </w:num>
  <w:num w:numId="24" w16cid:durableId="146213860">
    <w:abstractNumId w:val="40"/>
  </w:num>
  <w:num w:numId="25" w16cid:durableId="1100029030">
    <w:abstractNumId w:val="23"/>
  </w:num>
  <w:num w:numId="26" w16cid:durableId="1210874060">
    <w:abstractNumId w:val="29"/>
  </w:num>
  <w:num w:numId="27" w16cid:durableId="1090467721">
    <w:abstractNumId w:val="42"/>
  </w:num>
  <w:num w:numId="28" w16cid:durableId="29688699">
    <w:abstractNumId w:val="32"/>
  </w:num>
  <w:num w:numId="29" w16cid:durableId="1599436934">
    <w:abstractNumId w:val="47"/>
  </w:num>
  <w:num w:numId="30" w16cid:durableId="596788263">
    <w:abstractNumId w:val="20"/>
  </w:num>
  <w:num w:numId="31" w16cid:durableId="1015577412">
    <w:abstractNumId w:val="37"/>
  </w:num>
  <w:num w:numId="32" w16cid:durableId="1224756692">
    <w:abstractNumId w:val="48"/>
  </w:num>
  <w:num w:numId="33" w16cid:durableId="1584341659">
    <w:abstractNumId w:val="44"/>
  </w:num>
  <w:num w:numId="34" w16cid:durableId="1471050639">
    <w:abstractNumId w:val="43"/>
  </w:num>
  <w:num w:numId="35" w16cid:durableId="1961186084">
    <w:abstractNumId w:val="14"/>
  </w:num>
  <w:num w:numId="36" w16cid:durableId="2361585">
    <w:abstractNumId w:val="16"/>
  </w:num>
  <w:num w:numId="37" w16cid:durableId="451287201">
    <w:abstractNumId w:val="46"/>
  </w:num>
  <w:num w:numId="38" w16cid:durableId="1450514870">
    <w:abstractNumId w:val="35"/>
  </w:num>
  <w:num w:numId="39" w16cid:durableId="2001225771">
    <w:abstractNumId w:val="41"/>
  </w:num>
  <w:num w:numId="40" w16cid:durableId="1850291862">
    <w:abstractNumId w:val="19"/>
  </w:num>
  <w:num w:numId="41" w16cid:durableId="44105990">
    <w:abstractNumId w:val="39"/>
  </w:num>
  <w:num w:numId="42" w16cid:durableId="2033601807">
    <w:abstractNumId w:val="38"/>
  </w:num>
  <w:num w:numId="43" w16cid:durableId="100493225">
    <w:abstractNumId w:val="11"/>
  </w:num>
  <w:num w:numId="44" w16cid:durableId="224344184">
    <w:abstractNumId w:val="22"/>
  </w:num>
  <w:num w:numId="45" w16cid:durableId="1056316068">
    <w:abstractNumId w:val="26"/>
  </w:num>
  <w:num w:numId="46" w16cid:durableId="1559435144">
    <w:abstractNumId w:val="13"/>
  </w:num>
  <w:num w:numId="47" w16cid:durableId="1356537384">
    <w:abstractNumId w:val="34"/>
  </w:num>
  <w:num w:numId="48" w16cid:durableId="652222766">
    <w:abstractNumId w:val="18"/>
  </w:num>
  <w:num w:numId="49" w16cid:durableId="2135252397">
    <w:abstractNumId w:val="33"/>
  </w:num>
  <w:num w:numId="50" w16cid:durableId="1878153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26DC0"/>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535B"/>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A68EE"/>
    <w:rsid w:val="004B13CB"/>
    <w:rsid w:val="004B35D2"/>
    <w:rsid w:val="004B664B"/>
    <w:rsid w:val="004B7E10"/>
    <w:rsid w:val="004C2552"/>
    <w:rsid w:val="004C3DC4"/>
    <w:rsid w:val="004D2FF2"/>
    <w:rsid w:val="004D5D5C"/>
    <w:rsid w:val="004E42A3"/>
    <w:rsid w:val="004E52A4"/>
    <w:rsid w:val="004F30E7"/>
    <w:rsid w:val="00500734"/>
    <w:rsid w:val="0050139F"/>
    <w:rsid w:val="00526703"/>
    <w:rsid w:val="00527994"/>
    <w:rsid w:val="00530525"/>
    <w:rsid w:val="00536EF4"/>
    <w:rsid w:val="00542721"/>
    <w:rsid w:val="0055140B"/>
    <w:rsid w:val="0055234A"/>
    <w:rsid w:val="00566458"/>
    <w:rsid w:val="00567300"/>
    <w:rsid w:val="00571151"/>
    <w:rsid w:val="0057493D"/>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77F75"/>
    <w:rsid w:val="008845D0"/>
    <w:rsid w:val="0089145F"/>
    <w:rsid w:val="008A69FB"/>
    <w:rsid w:val="008A74B1"/>
    <w:rsid w:val="008B1AEA"/>
    <w:rsid w:val="008B43F2"/>
    <w:rsid w:val="008B6CFF"/>
    <w:rsid w:val="008C27E9"/>
    <w:rsid w:val="008C3941"/>
    <w:rsid w:val="008C6BAA"/>
    <w:rsid w:val="008C791A"/>
    <w:rsid w:val="008D4C82"/>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043C"/>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650A1"/>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BF043C"/>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D650A1"/>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C76AF-9F2B-4CA7-8572-73A50AF19EAA}">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Résolution 61 – Lutter contre le détournement et l'utilisation abusive des ressources internationales de numérotage des télécommunications</vt:lpstr>
    </vt:vector>
  </TitlesOfParts>
  <Manager>General Secretariat - Pool</Manager>
  <Company>International Telecommunication Union (ITU)</Company>
  <LinksUpToDate>false</LinksUpToDate>
  <CharactersWithSpaces>12628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61 – Lutter contre le détournement et l'utilisation abusive des ressources internationales de numérotage des télécommunications</dc:title>
  <dc:subject>World Telecommunication Standardization Assembly</dc:subject>
  <dc:creator>Documents Proposals Manager (DPM)</dc:creator>
  <cp:keywords/>
  <dc:description/>
  <cp:lastModifiedBy>TSB-AC</cp:lastModifiedBy>
  <cp:revision>9</cp:revision>
  <cp:lastPrinted>2022-04-20T12:35:00Z</cp:lastPrinted>
  <dcterms:created xsi:type="dcterms:W3CDTF">2022-04-14T08:53:00Z</dcterms:created>
  <dcterms:modified xsi:type="dcterms:W3CDTF">2022-04-26T08:32:00Z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