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1" w:rightFromText="181" w:vertAnchor="page" w:horzAnchor="margin" w:tblpY="506"/>
        <w:tblOverlap w:val="never"/>
        <w:tblW w:w="10740" w:type="dxa"/>
        <w:tblLayout w:type="fixed"/>
        <w:tblLook w:val="0000" w:firstRow="0" w:lastRow="0" w:firstColumn="0" w:lastColumn="0" w:noHBand="0" w:noVBand="0"/>
      </w:tblPr>
      <w:tblGrid>
        <w:gridCol w:w="817"/>
        <w:gridCol w:w="4253"/>
        <w:gridCol w:w="5670"/>
      </w:tblGrid>
      <w:tr w:rsidR="00EA2A26" w:rsidRPr="007729D4" w14:paraId="7078E33C" w14:textId="77777777" w:rsidTr="00367A2B">
        <w:trPr>
          <w:trHeight w:hRule="exact" w:val="426"/>
        </w:trPr>
        <w:tc>
          <w:tcPr>
            <w:tcW w:w="5070" w:type="dxa"/>
            <w:gridSpan w:val="2"/>
          </w:tcPr>
          <w:p w14:paraId="1C1FE4AD" w14:textId="18DD2252" w:rsidR="00EA2A26" w:rsidRPr="007729D4" w:rsidRDefault="00EA2A26" w:rsidP="00A3085D">
            <w:pPr>
              <w:spacing w:before="60"/>
              <w:rPr>
                <w:rFonts w:ascii="Arial" w:eastAsia="Avenir Next W1G Medium" w:hAnsi="Arial" w:cs="Arial"/>
                <w:szCs w:val="24"/>
                <w:lang w:val="ru-RU"/>
              </w:rPr>
            </w:pPr>
            <w:bookmarkStart w:id="0" w:name="c2tope"/>
            <w:bookmarkEnd w:id="0"/>
            <w:proofErr w:type="spellStart"/>
            <w:r w:rsidRPr="007729D4">
              <w:rPr>
                <w:rFonts w:ascii="Arial" w:hAnsi="Arial" w:cs="Arial"/>
                <w:b/>
                <w:color w:val="009CD6"/>
                <w:spacing w:val="-4"/>
                <w:sz w:val="32"/>
                <w:szCs w:val="32"/>
                <w:lang w:val="ru-RU"/>
              </w:rPr>
              <w:t>ITU</w:t>
            </w:r>
            <w:r w:rsidR="001B5C6B" w:rsidRPr="007729D4">
              <w:rPr>
                <w:rFonts w:ascii="Arial" w:hAnsi="Arial" w:cs="Arial"/>
                <w:b/>
                <w:color w:val="292829"/>
                <w:spacing w:val="-4"/>
                <w:sz w:val="32"/>
                <w:szCs w:val="32"/>
                <w:lang w:val="ru-RU"/>
              </w:rPr>
              <w:t>Публикации</w:t>
            </w:r>
            <w:proofErr w:type="spellEnd"/>
          </w:p>
        </w:tc>
        <w:tc>
          <w:tcPr>
            <w:tcW w:w="5670" w:type="dxa"/>
          </w:tcPr>
          <w:p w14:paraId="0E9475D3" w14:textId="543BEFC0" w:rsidR="00EA2A26" w:rsidRPr="007729D4" w:rsidRDefault="001B5C6B" w:rsidP="00A3085D">
            <w:pPr>
              <w:spacing w:before="6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7729D4">
              <w:rPr>
                <w:rFonts w:ascii="Arial" w:eastAsia="Avenir Next W1G Medium" w:hAnsi="Arial" w:cs="Arial"/>
                <w:b/>
                <w:spacing w:val="-4"/>
                <w:sz w:val="24"/>
                <w:szCs w:val="24"/>
                <w:lang w:val="ru-RU"/>
              </w:rPr>
              <w:t>Международный союз электросвязи</w:t>
            </w:r>
          </w:p>
        </w:tc>
      </w:tr>
      <w:tr w:rsidR="00EA2A26" w:rsidRPr="007729D4" w14:paraId="42C85EB6" w14:textId="77777777" w:rsidTr="00367A2B">
        <w:trPr>
          <w:trHeight w:hRule="exact" w:val="992"/>
        </w:trPr>
        <w:tc>
          <w:tcPr>
            <w:tcW w:w="5070" w:type="dxa"/>
            <w:gridSpan w:val="2"/>
          </w:tcPr>
          <w:p w14:paraId="68B26EDA" w14:textId="1153EEEB" w:rsidR="00EA2A26" w:rsidRPr="007729D4" w:rsidRDefault="001B5C6B" w:rsidP="00367A2B">
            <w:pPr>
              <w:spacing w:before="0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7729D4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Резолюции</w:t>
            </w:r>
          </w:p>
        </w:tc>
        <w:tc>
          <w:tcPr>
            <w:tcW w:w="5670" w:type="dxa"/>
          </w:tcPr>
          <w:p w14:paraId="20539D5B" w14:textId="015B5046" w:rsidR="00EA2A26" w:rsidRPr="007729D4" w:rsidRDefault="001B5C6B" w:rsidP="00367A2B">
            <w:pPr>
              <w:spacing w:before="0"/>
              <w:jc w:val="right"/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</w:pPr>
            <w:r w:rsidRPr="007729D4">
              <w:rPr>
                <w:rFonts w:ascii="Arial" w:eastAsia="Avenir Next W1G Medium" w:hAnsi="Arial" w:cs="Arial"/>
                <w:sz w:val="24"/>
                <w:szCs w:val="24"/>
                <w:lang w:val="ru-RU"/>
              </w:rPr>
              <w:t>Сектор стандартизации</w:t>
            </w:r>
          </w:p>
        </w:tc>
      </w:tr>
      <w:tr w:rsidR="00EA2A26" w:rsidRPr="007729D4" w14:paraId="6AE027A4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709"/>
        </w:trPr>
        <w:tc>
          <w:tcPr>
            <w:tcW w:w="9923" w:type="dxa"/>
            <w:gridSpan w:val="2"/>
          </w:tcPr>
          <w:p w14:paraId="1BE63DDE" w14:textId="77777777" w:rsidR="00EA2A26" w:rsidRPr="007729D4" w:rsidRDefault="00EA2A26" w:rsidP="00367A2B">
            <w:pPr>
              <w:pStyle w:val="BodyText"/>
              <w:spacing w:before="440"/>
              <w:rPr>
                <w:b w:val="0"/>
                <w:bCs w:val="0"/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7729D4" w14:paraId="09112B91" w14:textId="77777777" w:rsidTr="00367A2B">
        <w:tblPrEx>
          <w:tblCellMar>
            <w:left w:w="85" w:type="dxa"/>
            <w:right w:w="85" w:type="dxa"/>
          </w:tblCellMar>
        </w:tblPrEx>
        <w:trPr>
          <w:gridBefore w:val="1"/>
          <w:wBefore w:w="817" w:type="dxa"/>
          <w:trHeight w:val="129"/>
        </w:trPr>
        <w:tc>
          <w:tcPr>
            <w:tcW w:w="9923" w:type="dxa"/>
            <w:gridSpan w:val="2"/>
          </w:tcPr>
          <w:p w14:paraId="345DAF0C" w14:textId="77777777" w:rsidR="00EA2A26" w:rsidRPr="007729D4" w:rsidRDefault="00EA2A26" w:rsidP="00367A2B">
            <w:pPr>
              <w:pStyle w:val="BodyText"/>
              <w:spacing w:after="240"/>
              <w:rPr>
                <w:spacing w:val="-6"/>
                <w:sz w:val="44"/>
                <w:szCs w:val="44"/>
                <w:lang w:val="ru-RU"/>
              </w:rPr>
            </w:pPr>
          </w:p>
        </w:tc>
      </w:tr>
      <w:tr w:rsidR="00EA2A26" w:rsidRPr="007729D4" w14:paraId="594C2C35" w14:textId="77777777" w:rsidTr="00367A2B">
        <w:trPr>
          <w:trHeight w:val="80"/>
        </w:trPr>
        <w:tc>
          <w:tcPr>
            <w:tcW w:w="817" w:type="dxa"/>
          </w:tcPr>
          <w:p w14:paraId="72C102BC" w14:textId="77777777" w:rsidR="00EA2A26" w:rsidRPr="007729D4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1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bottom w:val="single" w:sz="8" w:space="0" w:color="auto"/>
            </w:tcBorders>
          </w:tcPr>
          <w:p w14:paraId="46F1491F" w14:textId="5A28032B" w:rsidR="00EA2A26" w:rsidRPr="007729D4" w:rsidRDefault="001B5C6B" w:rsidP="00EA2A26">
            <w:pPr>
              <w:widowControl w:val="0"/>
              <w:tabs>
                <w:tab w:val="clear" w:pos="794"/>
                <w:tab w:val="clear" w:pos="1191"/>
                <w:tab w:val="clear" w:pos="1588"/>
                <w:tab w:val="clear" w:pos="1985"/>
              </w:tabs>
              <w:overflowPunct/>
              <w:adjustRightInd/>
              <w:spacing w:before="276"/>
              <w:jc w:val="left"/>
              <w:textAlignment w:val="auto"/>
              <w:rPr>
                <w:rFonts w:ascii="Arial" w:hAnsi="Arial" w:cs="Arial"/>
                <w:sz w:val="36"/>
                <w:szCs w:val="36"/>
                <w:lang w:val="ru-RU"/>
              </w:rPr>
            </w:pPr>
            <w:r w:rsidRPr="007729D4">
              <w:rPr>
                <w:rFonts w:ascii="Arial" w:hAnsi="Arial"/>
                <w:sz w:val="36"/>
                <w:szCs w:val="36"/>
                <w:lang w:val="ru-RU"/>
              </w:rPr>
              <w:t>ВСЕМИРНАЯ АССАМБЛЕЯ ПО СТАНДАРТИЗАЦИИ ЭЛЕКТРОСВЯЗИ</w:t>
            </w:r>
            <w:r w:rsidRPr="007729D4">
              <w:rPr>
                <w:rFonts w:ascii="Arial" w:hAnsi="Arial"/>
                <w:sz w:val="32"/>
                <w:lang w:val="ru-RU"/>
              </w:rPr>
              <w:t xml:space="preserve"> </w:t>
            </w:r>
            <w:r w:rsidR="00EA2A26" w:rsidRPr="007729D4">
              <w:rPr>
                <w:rFonts w:ascii="Arial" w:hAnsi="Arial" w:cs="Arial"/>
                <w:sz w:val="36"/>
                <w:szCs w:val="36"/>
                <w:lang w:val="ru-RU"/>
              </w:rPr>
              <w:br/>
            </w:r>
            <w:r w:rsidR="002D336F" w:rsidRPr="007729D4">
              <w:rPr>
                <w:rFonts w:ascii="Arial" w:hAnsi="Arial" w:cs="Arial"/>
                <w:sz w:val="36"/>
                <w:szCs w:val="36"/>
                <w:lang w:val="ru-RU"/>
              </w:rPr>
              <w:t>Нью-Дели</w:t>
            </w:r>
            <w:r w:rsidR="00EA2A26" w:rsidRPr="007729D4">
              <w:rPr>
                <w:rFonts w:ascii="Arial" w:hAnsi="Arial" w:cs="Arial"/>
                <w:sz w:val="36"/>
                <w:szCs w:val="36"/>
                <w:lang w:val="ru-RU"/>
              </w:rPr>
              <w:t>, 15</w:t>
            </w:r>
            <w:r w:rsidRPr="007729D4">
              <w:rPr>
                <w:rFonts w:ascii="Arial" w:hAnsi="Arial" w:cs="Arial"/>
                <w:sz w:val="36"/>
                <w:szCs w:val="36"/>
                <w:lang w:val="ru-RU"/>
              </w:rPr>
              <w:t>–</w:t>
            </w:r>
            <w:r w:rsidR="00EA2A26" w:rsidRPr="007729D4">
              <w:rPr>
                <w:rFonts w:ascii="Arial" w:hAnsi="Arial" w:cs="Arial"/>
                <w:sz w:val="36"/>
                <w:szCs w:val="36"/>
                <w:lang w:val="ru-RU"/>
              </w:rPr>
              <w:t xml:space="preserve">24 </w:t>
            </w:r>
            <w:r w:rsidRPr="007729D4">
              <w:rPr>
                <w:rFonts w:ascii="Arial" w:hAnsi="Arial" w:cs="Arial"/>
                <w:sz w:val="36"/>
                <w:szCs w:val="36"/>
                <w:lang w:val="ru-RU"/>
              </w:rPr>
              <w:t>октября</w:t>
            </w:r>
            <w:r w:rsidR="00EA2A26" w:rsidRPr="007729D4">
              <w:rPr>
                <w:rFonts w:ascii="Arial" w:hAnsi="Arial" w:cs="Arial"/>
                <w:sz w:val="36"/>
                <w:szCs w:val="36"/>
                <w:lang w:val="ru-RU"/>
              </w:rPr>
              <w:t xml:space="preserve"> 2024</w:t>
            </w:r>
            <w:r w:rsidRPr="007729D4">
              <w:rPr>
                <w:rFonts w:ascii="Arial" w:hAnsi="Arial" w:cs="Arial"/>
                <w:sz w:val="36"/>
                <w:szCs w:val="36"/>
                <w:lang w:val="ru-RU"/>
              </w:rPr>
              <w:t xml:space="preserve"> года</w:t>
            </w:r>
          </w:p>
          <w:p w14:paraId="318F1603" w14:textId="77777777" w:rsidR="00EA2A26" w:rsidRPr="007729D4" w:rsidRDefault="00EA2A26" w:rsidP="00367A2B">
            <w:pPr>
              <w:rPr>
                <w:lang w:val="ru-RU"/>
              </w:rPr>
            </w:pPr>
          </w:p>
        </w:tc>
      </w:tr>
      <w:tr w:rsidR="00EA2A26" w:rsidRPr="007729D4" w14:paraId="40EA4FB7" w14:textId="77777777" w:rsidTr="00367A2B">
        <w:trPr>
          <w:trHeight w:val="743"/>
        </w:trPr>
        <w:tc>
          <w:tcPr>
            <w:tcW w:w="817" w:type="dxa"/>
          </w:tcPr>
          <w:p w14:paraId="5A48D328" w14:textId="77777777" w:rsidR="00EA2A26" w:rsidRPr="007729D4" w:rsidRDefault="00EA2A26" w:rsidP="00367A2B">
            <w:pPr>
              <w:tabs>
                <w:tab w:val="right" w:pos="9639"/>
              </w:tabs>
              <w:rPr>
                <w:rFonts w:ascii="Arial" w:hAnsi="Arial" w:cs="Arial"/>
                <w:sz w:val="48"/>
                <w:szCs w:val="48"/>
                <w:lang w:val="ru-RU"/>
              </w:rPr>
            </w:pPr>
          </w:p>
        </w:tc>
        <w:tc>
          <w:tcPr>
            <w:tcW w:w="9923" w:type="dxa"/>
            <w:gridSpan w:val="2"/>
            <w:tcBorders>
              <w:top w:val="single" w:sz="8" w:space="0" w:color="auto"/>
            </w:tcBorders>
          </w:tcPr>
          <w:p w14:paraId="36D98092" w14:textId="5A4E39FE" w:rsidR="00EA2A26" w:rsidRPr="007729D4" w:rsidRDefault="001B5C6B" w:rsidP="00F9579B">
            <w:pPr>
              <w:pStyle w:val="BodyText"/>
              <w:spacing w:before="440"/>
              <w:jc w:val="left"/>
              <w:rPr>
                <w:spacing w:val="-6"/>
                <w:sz w:val="44"/>
                <w:szCs w:val="44"/>
                <w:lang w:val="ru-RU"/>
              </w:rPr>
            </w:pPr>
            <w:r w:rsidRPr="007729D4">
              <w:rPr>
                <w:spacing w:val="-6"/>
                <w:sz w:val="44"/>
                <w:szCs w:val="44"/>
                <w:lang w:val="ru-RU"/>
              </w:rPr>
              <w:t xml:space="preserve">Резолюция </w:t>
            </w:r>
            <w:r w:rsidR="007729D4" w:rsidRPr="007729D4">
              <w:rPr>
                <w:spacing w:val="-6"/>
                <w:sz w:val="44"/>
                <w:szCs w:val="44"/>
                <w:lang w:val="ru-RU"/>
              </w:rPr>
              <w:t>6</w:t>
            </w:r>
            <w:r w:rsidR="00FD7F88" w:rsidRPr="007729D4">
              <w:rPr>
                <w:spacing w:val="-6"/>
                <w:sz w:val="44"/>
                <w:szCs w:val="44"/>
                <w:lang w:val="ru-RU"/>
              </w:rPr>
              <w:t>0</w:t>
            </w:r>
            <w:r w:rsidR="00845E8E" w:rsidRPr="007729D4">
              <w:rPr>
                <w:spacing w:val="-6"/>
                <w:sz w:val="44"/>
                <w:szCs w:val="44"/>
                <w:lang w:val="ru-RU"/>
              </w:rPr>
              <w:t xml:space="preserve"> – </w:t>
            </w:r>
            <w:r w:rsidR="007729D4" w:rsidRPr="007729D4">
              <w:rPr>
                <w:spacing w:val="-6"/>
                <w:sz w:val="44"/>
                <w:szCs w:val="44"/>
                <w:lang w:val="ru-RU"/>
              </w:rPr>
              <w:t>Реагирование на задачи развития системы идентификации/</w:t>
            </w:r>
            <w:r w:rsidR="007729D4" w:rsidRPr="007729D4">
              <w:rPr>
                <w:spacing w:val="-6"/>
                <w:sz w:val="44"/>
                <w:szCs w:val="44"/>
                <w:lang w:val="ru-RU"/>
              </w:rPr>
              <w:br/>
              <w:t>нумерации и ее конвергенции с системами/сетями на основе протокола Интернет</w:t>
            </w:r>
          </w:p>
          <w:p w14:paraId="51262F1D" w14:textId="77777777" w:rsidR="00EA2A26" w:rsidRPr="007729D4" w:rsidRDefault="00EA2A26" w:rsidP="00367A2B">
            <w:pPr>
              <w:rPr>
                <w:lang w:val="ru-RU"/>
              </w:rPr>
            </w:pPr>
          </w:p>
        </w:tc>
      </w:tr>
    </w:tbl>
    <w:p w14:paraId="7800F3B2" w14:textId="77777777" w:rsidR="00EA2A26" w:rsidRPr="007729D4" w:rsidRDefault="00EA2A26" w:rsidP="00EA2A26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center"/>
        <w:textAlignment w:val="auto"/>
        <w:rPr>
          <w:sz w:val="18"/>
          <w:lang w:val="ru-RU"/>
        </w:rPr>
      </w:pPr>
      <w:r w:rsidRPr="007729D4">
        <w:rPr>
          <w:rFonts w:ascii="Arial" w:eastAsia="Avenir Next W1G Medium" w:hAnsi="Arial" w:cs="Arial"/>
          <w:noProof/>
          <w:szCs w:val="24"/>
          <w:lang w:val="ru-R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4C388CF" wp14:editId="2C642E50">
                <wp:simplePos x="0" y="0"/>
                <wp:positionH relativeFrom="page">
                  <wp:posOffset>6350</wp:posOffset>
                </wp:positionH>
                <wp:positionV relativeFrom="page">
                  <wp:posOffset>908685</wp:posOffset>
                </wp:positionV>
                <wp:extent cx="7772400" cy="22987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229870"/>
                          <a:chOff x="0" y="1784"/>
                          <a:chExt cx="11906" cy="362"/>
                        </a:xfrm>
                      </wpg:grpSpPr>
                      <wps:wsp>
                        <wps:cNvPr id="31" name="docshape4"/>
                        <wps:cNvSpPr>
                          <a:spLocks noChangeArrowheads="1"/>
                        </wps:cNvSpPr>
                        <wps:spPr bwMode="auto">
                          <a:xfrm>
                            <a:off x="0" y="1817"/>
                            <a:ext cx="11906" cy="329"/>
                          </a:xfrm>
                          <a:prstGeom prst="rect">
                            <a:avLst/>
                          </a:prstGeom>
                          <a:solidFill>
                            <a:srgbClr val="9D17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5"/>
                        <wps:cNvSpPr>
                          <a:spLocks/>
                        </wps:cNvSpPr>
                        <wps:spPr bwMode="auto">
                          <a:xfrm>
                            <a:off x="1109" y="1784"/>
                            <a:ext cx="627" cy="314"/>
                          </a:xfrm>
                          <a:custGeom>
                            <a:avLst/>
                            <a:gdLst>
                              <a:gd name="T0" fmla="+- 0 1736 1109"/>
                              <a:gd name="T1" fmla="*/ T0 w 627"/>
                              <a:gd name="T2" fmla="+- 0 1784 1784"/>
                              <a:gd name="T3" fmla="*/ 1784 h 314"/>
                              <a:gd name="T4" fmla="+- 0 1109 1109"/>
                              <a:gd name="T5" fmla="*/ T4 w 627"/>
                              <a:gd name="T6" fmla="+- 0 1784 1784"/>
                              <a:gd name="T7" fmla="*/ 1784 h 314"/>
                              <a:gd name="T8" fmla="+- 0 1423 1109"/>
                              <a:gd name="T9" fmla="*/ T8 w 627"/>
                              <a:gd name="T10" fmla="+- 0 2097 1784"/>
                              <a:gd name="T11" fmla="*/ 2097 h 314"/>
                              <a:gd name="T12" fmla="+- 0 1736 1109"/>
                              <a:gd name="T13" fmla="*/ T12 w 627"/>
                              <a:gd name="T14" fmla="+- 0 1784 1784"/>
                              <a:gd name="T15" fmla="*/ 1784 h 31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627" h="314">
                                <a:moveTo>
                                  <a:pt x="627" y="0"/>
                                </a:moveTo>
                                <a:lnTo>
                                  <a:pt x="0" y="0"/>
                                </a:lnTo>
                                <a:lnTo>
                                  <a:pt x="314" y="313"/>
                                </a:lnTo>
                                <a:lnTo>
                                  <a:pt x="6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7CC4C1" id="Group 30" o:spid="_x0000_s1026" style="position:absolute;margin-left:.5pt;margin-top:71.55pt;width:612pt;height:18.1pt;z-index:-251656192;mso-position-horizontal-relative:page;mso-position-vertical-relative:page" coordorigin=",1784" coordsize="11906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aDO6wMAAIQLAAAOAAAAZHJzL2Uyb0RvYy54bWzcVttu4zYQfS/QfyD42GIjUVYsW4iyCJIm&#10;KLBtF1j1A2iJuqCSqJKy5ezXd4aUbMp1tost0IfmwRE1RzNzzsyQvHt/bBtyEErXsksou/EpEV0m&#10;87orE/p7+vxuQ4keeJfzRnYioa9C0/f33393N/axCGQlm1woAk46HY99Qqth6GPP01klWq5vZC86&#10;MBZStXyApSq9XPERvLeNF/j+2hulynslM6E1vH2yRnpv/BeFyIbfikKLgTQJhdwG86vM7w5/vfs7&#10;HpeK91WdTWnwb8ii5XUHQU+unvjAyV7Vf3PV1pmSWhbDTSZbTxZFnQnDAdgw/4LNi5L73nAp47Hs&#10;TzKBtBc6fbPb7NfDi+o/9R+VzR4eP8jsDw26eGNfxq4d16UFk934i8yhnnw/SEP8WKgWXQAlcjT6&#10;vp70FceBZPAyiqIg9KEMGdiCYLuJpgJkFVTp/BmLNqGtTFb9NH3L2NZf2y9X6wCtHo9tUJPolBgW&#10;HjpJn8XS/06sTxXvhamBRjE+KlLnCV0xSjreggC5zDRCTMIYG0CznNpqSTr5WPGuFA9KybESPIec&#10;mKGw+AAXGirxleKyDYusSrO+rkbBdqERj3ulhxchW4IPCVUwGqZw/PBBD1bOGYJ11LKp8+e6acxC&#10;lbvHRpEDhzHaPrHIf5i8L2BNh+BO4mfWI76B8lhetjY7mb8CRyXtLMLeAQ+VVJ8pGWEOE6r/3HMl&#10;KGl+7kCnLQtDHFyzCG+jABbKtexcC+8ycJXQgRL7+DjYYd/3qi4riMQM6U4+QOMWtSGO+dmspmSh&#10;ff6rPgou++gWhV20BdTCnUmnw2Zh/7FhGPO3lMDQnSdr7pl1EE1TxUwLn6aKx9nedgwWde4S2OFy&#10;6Bd8VebTCKRQkqJtYN/88R3xCYtWa2IiAhMXBjNjYT94JPXJSDD2BQb0WLjahOBv3g3OEVczDFyh&#10;nVRkZfN3A4YzyuYFIlzN63aGYV7h9bxg6/mavEDLE8W384Iz0XUWBqureUHJTs7SzfW82FL7wN9G&#10;VwVjrvgGdVUxdqn/W6V0C5Cy4I3kLgqAhbpWTeZWYCkbtOOp4XhldyrozGM3NSE8waTDgeibue6l&#10;xmMkBbbQ7elq2qUAha34BhiiI9j0IsT7MtjOUQp62h3uy2gGOqFvYOjAbZCJAW7El7cTRQncTnZ2&#10;OHo+IHEkgI9kTKgZ2gqPodDQbuVBpNIgBuRv7BDXHK8Q7WxvOhcHzeOgZtv8vze+MAaiVsDFcpjt&#10;83+Lu4w5W7NGamE/xPTNuX2ihEo4u8ziNNHuofNs/qYEFrD/1aFjrjJw1TMqTddSvEu6a3NInS/P&#10;938BAAD//wMAUEsDBBQABgAIAAAAIQDm8rmA3gAAAAoBAAAPAAAAZHJzL2Rvd25yZXYueG1sTE9N&#10;T8MwDL0j8R8iI3Fj6QeDUZpO0wScJiQ2JLRb1nhttcapmqzt/j3eCU7287PeR76cbCsG7H3jSEE8&#10;i0Aglc40VCn43r0/LED4oMno1hEquKCHZXF7k+vMuJG+cNiGSrAI+UwrqEPoMil9WaPVfuY6JOaO&#10;rrc6MOwraXo9srhtZRJFT9Lqhtih1h2uayxP27NV8DHqcZXGb8PmdFxf9rv5588mRqXu76bVK4iA&#10;U/h7hmt8jg4FZzq4MxkvWsbcJPB4TGMQVz5J5nw68Pb8koIscvm/QvELAAD//wMAUEsBAi0AFAAG&#10;AAgAAAAhALaDOJL+AAAA4QEAABMAAAAAAAAAAAAAAAAAAAAAAFtDb250ZW50X1R5cGVzXS54bWxQ&#10;SwECLQAUAAYACAAAACEAOP0h/9YAAACUAQAACwAAAAAAAAAAAAAAAAAvAQAAX3JlbHMvLnJlbHNQ&#10;SwECLQAUAAYACAAAACEAH8WgzusDAACECwAADgAAAAAAAAAAAAAAAAAuAgAAZHJzL2Uyb0RvYy54&#10;bWxQSwECLQAUAAYACAAAACEA5vK5gN4AAAAKAQAADwAAAAAAAAAAAAAAAABFBgAAZHJzL2Rvd25y&#10;ZXYueG1sUEsFBgAAAAAEAAQA8wAAAFAHAAAAAA==&#10;">
                <v:rect id="docshape4" o:spid="_x0000_s1027" style="position:absolute;top:1817;width:11906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D47UwgAAANsAAAAPAAAAZHJzL2Rvd25yZXYueG1sRI/BasMw&#10;EETvhf6D2EJutRwXQnAshxBoCL2UOPmAxdpaptbKteTE/vuoEMhxmJk3TLGdbCeuNPjWsYJlkoIg&#10;rp1uuVFwOX++r0H4gKyxc0wKZvKwLV9fCsy1u/GJrlVoRISwz1GBCaHPpfS1IYs+cT1x9H7cYDFE&#10;OTRSD3iLcNvJLE1X0mLLccFgT3tD9W81WgUH97WujJ9a3/zx924+Vdk475VavE27DYhAU3iGH+2j&#10;VvCxhP8v8QfI8g4AAP//AwBQSwECLQAUAAYACAAAACEA2+H2y+4AAACFAQAAEwAAAAAAAAAAAAAA&#10;AAAAAAAAW0NvbnRlbnRfVHlwZXNdLnhtbFBLAQItABQABgAIAAAAIQBa9CxbvwAAABUBAAALAAAA&#10;AAAAAAAAAAAAAB8BAABfcmVscy8ucmVsc1BLAQItABQABgAIAAAAIQB5D47UwgAAANsAAAAPAAAA&#10;AAAAAAAAAAAAAAcCAABkcnMvZG93bnJldi54bWxQSwUGAAAAAAMAAwC3AAAA9gIAAAAA&#10;" fillcolor="#9d170a" stroked="f"/>
                <v:shape id="docshape5" o:spid="_x0000_s1028" style="position:absolute;left:1109;top:1784;width:627;height:314;visibility:visible;mso-wrap-style:square;v-text-anchor:top" coordsize="62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zzgwwAAANsAAAAPAAAAZHJzL2Rvd25yZXYueG1sRI9Pi8Iw&#10;FMTvC/sdwhO8LGtqV0qpRlkEQU/ivz0/mmdbbF5KE9v67TeC4HGYmd8wi9VgatFR6yrLCqaTCARx&#10;bnXFhYLzafOdgnAeWWNtmRQ8yMFq+fmxwEzbng/UHX0hAoRdhgpK75tMSpeXZNBNbEMcvKttDfog&#10;20LqFvsAN7WMoyiRBisOCyU2tC4pvx3vRsG+T/PLujo/4q/ZPt3NmoT+ukSp8Wj4nYPwNPh3+NXe&#10;agU/MTy/hB8gl/8AAAD//wMAUEsBAi0AFAAGAAgAAAAhANvh9svuAAAAhQEAABMAAAAAAAAAAAAA&#10;AAAAAAAAAFtDb250ZW50X1R5cGVzXS54bWxQSwECLQAUAAYACAAAACEAWvQsW78AAAAVAQAACwAA&#10;AAAAAAAAAAAAAAAfAQAAX3JlbHMvLnJlbHNQSwECLQAUAAYACAAAACEAwes84MMAAADbAAAADwAA&#10;AAAAAAAAAAAAAAAHAgAAZHJzL2Rvd25yZXYueG1sUEsFBgAAAAADAAMAtwAAAPcCAAAAAA==&#10;" path="m627,l,,314,313,627,xe" stroked="f">
                  <v:path arrowok="t" o:connecttype="custom" o:connectlocs="627,1784;0,1784;314,2097;627,1784" o:connectangles="0,0,0,0"/>
                </v:shape>
                <w10:wrap anchorx="page" anchory="page"/>
              </v:group>
            </w:pict>
          </mc:Fallback>
        </mc:AlternateContent>
      </w:r>
      <w:r w:rsidRPr="007729D4">
        <w:rPr>
          <w:noProof/>
          <w:lang w:val="ru-RU"/>
        </w:rPr>
        <w:drawing>
          <wp:anchor distT="0" distB="0" distL="0" distR="0" simplePos="0" relativeHeight="251659264" behindDoc="1" locked="0" layoutInCell="1" allowOverlap="1" wp14:anchorId="1A5186FC" wp14:editId="44B435CE">
            <wp:simplePos x="0" y="0"/>
            <wp:positionH relativeFrom="page">
              <wp:posOffset>6355080</wp:posOffset>
            </wp:positionH>
            <wp:positionV relativeFrom="page">
              <wp:posOffset>9591675</wp:posOffset>
            </wp:positionV>
            <wp:extent cx="737870" cy="813435"/>
            <wp:effectExtent l="0" t="0" r="0" b="0"/>
            <wp:wrapNone/>
            <wp:docPr id="1" name="image1.png" descr="Logo, 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Logo, icon&#10;&#10;Description automatically generated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787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91FA29" w14:textId="77777777" w:rsidR="00EA2A26" w:rsidRPr="007729D4" w:rsidRDefault="00EA2A26" w:rsidP="00EA2A26">
      <w:pPr>
        <w:jc w:val="left"/>
        <w:rPr>
          <w:lang w:val="ru-RU"/>
        </w:rPr>
        <w:sectPr w:rsidR="00EA2A26" w:rsidRPr="007729D4" w:rsidSect="00EA2A2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oddPage"/>
          <w:pgSz w:w="11907" w:h="16840" w:code="9"/>
          <w:pgMar w:top="1038" w:right="601" w:bottom="1860" w:left="618" w:header="567" w:footer="284" w:gutter="0"/>
          <w:pgNumType w:start="1"/>
          <w:cols w:space="720"/>
          <w:titlePg/>
          <w:docGrid w:linePitch="326"/>
        </w:sectPr>
      </w:pPr>
    </w:p>
    <w:p w14:paraId="493176D7" w14:textId="77777777" w:rsidR="00E60A09" w:rsidRPr="007729D4" w:rsidRDefault="00E60A09" w:rsidP="00E60A09">
      <w:pPr>
        <w:jc w:val="center"/>
        <w:rPr>
          <w:lang w:val="ru-RU"/>
        </w:rPr>
      </w:pPr>
      <w:bookmarkStart w:id="1" w:name="irecnoe"/>
      <w:bookmarkEnd w:id="1"/>
      <w:r w:rsidRPr="007729D4">
        <w:rPr>
          <w:lang w:val="ru-RU"/>
        </w:rPr>
        <w:lastRenderedPageBreak/>
        <w:t>ПРЕДИСЛОВИЕ</w:t>
      </w:r>
    </w:p>
    <w:p w14:paraId="09A8E349" w14:textId="77777777" w:rsidR="00E60A09" w:rsidRPr="007729D4" w:rsidRDefault="00E60A09" w:rsidP="00E60A09">
      <w:pPr>
        <w:rPr>
          <w:sz w:val="20"/>
          <w:lang w:val="ru-RU"/>
        </w:rPr>
      </w:pPr>
      <w:bookmarkStart w:id="2" w:name="iitextf"/>
      <w:r w:rsidRPr="007729D4">
        <w:rPr>
          <w:sz w:val="20"/>
          <w:lang w:val="ru-RU"/>
        </w:rPr>
        <w:t>Международный союз электросвязи (МСЭ) является специализированным учреждением Организации Объединенных Наций в области электросвязи и информационно-коммуникационных технологий (ИКТ). Сектор стандартизации электросвязи МСЭ (МСЭ</w:t>
      </w:r>
      <w:r w:rsidRPr="007729D4">
        <w:rPr>
          <w:sz w:val="20"/>
          <w:lang w:val="ru-RU"/>
        </w:rPr>
        <w:noBreakHyphen/>
        <w:t>Т) – постоянный орган МСЭ. МСЭ-Т отвечает за изучение технических, эксплуатационных и тарифных вопросов и за выпуск Рекомендаций по ним с целью стандартизации электросвязи на всемирной основе.</w:t>
      </w:r>
    </w:p>
    <w:p w14:paraId="2F241E71" w14:textId="77777777" w:rsidR="00E60A09" w:rsidRPr="007729D4" w:rsidRDefault="00E60A09" w:rsidP="00E60A09">
      <w:pPr>
        <w:rPr>
          <w:sz w:val="20"/>
          <w:lang w:val="ru-RU"/>
        </w:rPr>
      </w:pPr>
      <w:r w:rsidRPr="007729D4">
        <w:rPr>
          <w:sz w:val="20"/>
          <w:lang w:val="ru-RU"/>
        </w:rPr>
        <w:t xml:space="preserve">На Всемирной ассамблее по стандартизации электросвязи (ВАСЭ), которая проводится каждые четыре года, определяются темы для изучения исследовательскими комиссиями МСЭ-Т, которые, в свою очередь, вырабатывают Рекомендации по этим темам. </w:t>
      </w:r>
    </w:p>
    <w:p w14:paraId="17B0B45D" w14:textId="77777777" w:rsidR="00E60A09" w:rsidRPr="007729D4" w:rsidRDefault="00E60A09" w:rsidP="00E60A09">
      <w:pPr>
        <w:rPr>
          <w:sz w:val="20"/>
          <w:lang w:val="ru-RU"/>
        </w:rPr>
      </w:pPr>
      <w:r w:rsidRPr="007729D4">
        <w:rPr>
          <w:sz w:val="20"/>
          <w:lang w:val="ru-RU"/>
        </w:rPr>
        <w:t xml:space="preserve">Утверждение </w:t>
      </w:r>
      <w:r w:rsidRPr="007729D4">
        <w:rPr>
          <w:caps/>
          <w:sz w:val="20"/>
          <w:lang w:val="ru-RU"/>
        </w:rPr>
        <w:t>р</w:t>
      </w:r>
      <w:r w:rsidRPr="007729D4">
        <w:rPr>
          <w:sz w:val="20"/>
          <w:lang w:val="ru-RU"/>
        </w:rPr>
        <w:t>екомендаций МСЭ-Т осуществляется в соответствии с процедурой, изложенной в Резолюции 1 ВАСЭ</w:t>
      </w:r>
      <w:bookmarkEnd w:id="2"/>
      <w:r w:rsidRPr="007729D4">
        <w:rPr>
          <w:sz w:val="20"/>
          <w:lang w:val="ru-RU"/>
        </w:rPr>
        <w:t>.</w:t>
      </w:r>
    </w:p>
    <w:p w14:paraId="7104090E" w14:textId="77777777" w:rsidR="00E60A09" w:rsidRPr="007729D4" w:rsidRDefault="00E60A09" w:rsidP="00E60A09">
      <w:pPr>
        <w:rPr>
          <w:lang w:val="ru-RU"/>
        </w:rPr>
      </w:pPr>
      <w:r w:rsidRPr="007729D4">
        <w:rPr>
          <w:sz w:val="20"/>
          <w:lang w:val="ru-RU"/>
        </w:rPr>
        <w:t>В некоторых областях информационных технологий, которые входят в компетенцию МСЭ-Т, необходимые стандарты разрабатываются на основе сотрудничества с ИСО и МЭК.</w:t>
      </w:r>
    </w:p>
    <w:p w14:paraId="42DC63E8" w14:textId="77777777" w:rsidR="00E60A09" w:rsidRPr="007729D4" w:rsidRDefault="00E60A09" w:rsidP="00E60A09">
      <w:pPr>
        <w:rPr>
          <w:lang w:val="ru-RU"/>
        </w:rPr>
      </w:pPr>
    </w:p>
    <w:p w14:paraId="1BF1A502" w14:textId="77777777" w:rsidR="00E60A09" w:rsidRPr="007729D4" w:rsidRDefault="00E60A09" w:rsidP="00E60A09">
      <w:pPr>
        <w:rPr>
          <w:lang w:val="ru-RU"/>
        </w:rPr>
      </w:pPr>
    </w:p>
    <w:p w14:paraId="2053FC85" w14:textId="77777777" w:rsidR="00E60A09" w:rsidRPr="007729D4" w:rsidRDefault="00E60A09" w:rsidP="00E60A09">
      <w:pPr>
        <w:rPr>
          <w:lang w:val="ru-RU"/>
        </w:rPr>
      </w:pPr>
    </w:p>
    <w:p w14:paraId="510B3609" w14:textId="77777777" w:rsidR="00E60A09" w:rsidRPr="007729D4" w:rsidRDefault="00E60A09" w:rsidP="00E60A09">
      <w:pPr>
        <w:rPr>
          <w:lang w:val="ru-RU"/>
        </w:rPr>
      </w:pPr>
    </w:p>
    <w:p w14:paraId="3624C831" w14:textId="77777777" w:rsidR="00E60A09" w:rsidRPr="007729D4" w:rsidRDefault="00E60A09" w:rsidP="00E60A09">
      <w:pPr>
        <w:rPr>
          <w:lang w:val="ru-RU"/>
        </w:rPr>
      </w:pPr>
    </w:p>
    <w:p w14:paraId="3C20E03C" w14:textId="77777777" w:rsidR="00E60A09" w:rsidRPr="007729D4" w:rsidRDefault="00E60A09" w:rsidP="00E60A09">
      <w:pPr>
        <w:rPr>
          <w:lang w:val="ru-RU"/>
        </w:rPr>
      </w:pPr>
    </w:p>
    <w:p w14:paraId="54472EDE" w14:textId="77777777" w:rsidR="00E60A09" w:rsidRPr="007729D4" w:rsidRDefault="00E60A09" w:rsidP="00E60A09">
      <w:pPr>
        <w:rPr>
          <w:lang w:val="ru-RU"/>
        </w:rPr>
      </w:pPr>
    </w:p>
    <w:p w14:paraId="49DDE904" w14:textId="77777777" w:rsidR="00E60A09" w:rsidRPr="007729D4" w:rsidRDefault="00E60A09" w:rsidP="00E60A09">
      <w:pPr>
        <w:rPr>
          <w:lang w:val="ru-RU"/>
        </w:rPr>
      </w:pPr>
    </w:p>
    <w:p w14:paraId="61412DA5" w14:textId="77777777" w:rsidR="00E60A09" w:rsidRPr="007729D4" w:rsidRDefault="00E60A09" w:rsidP="00E60A09">
      <w:pPr>
        <w:rPr>
          <w:lang w:val="ru-RU"/>
        </w:rPr>
      </w:pPr>
    </w:p>
    <w:p w14:paraId="1C810210" w14:textId="77777777" w:rsidR="00E60A09" w:rsidRPr="007729D4" w:rsidRDefault="00E60A09" w:rsidP="00E60A09">
      <w:pPr>
        <w:rPr>
          <w:lang w:val="ru-RU"/>
        </w:rPr>
      </w:pPr>
    </w:p>
    <w:p w14:paraId="1C38E19A" w14:textId="77777777" w:rsidR="00E60A09" w:rsidRPr="007729D4" w:rsidRDefault="00E60A09" w:rsidP="00E60A09">
      <w:pPr>
        <w:rPr>
          <w:lang w:val="ru-RU"/>
        </w:rPr>
      </w:pPr>
    </w:p>
    <w:p w14:paraId="4D3396DA" w14:textId="77777777" w:rsidR="00E60A09" w:rsidRPr="007729D4" w:rsidRDefault="00E60A09" w:rsidP="00E60A09">
      <w:pPr>
        <w:rPr>
          <w:lang w:val="ru-RU"/>
        </w:rPr>
      </w:pPr>
    </w:p>
    <w:p w14:paraId="4F2F1517" w14:textId="77777777" w:rsidR="00E60A09" w:rsidRPr="007729D4" w:rsidRDefault="00E60A09" w:rsidP="00E60A09">
      <w:pPr>
        <w:rPr>
          <w:lang w:val="ru-RU"/>
        </w:rPr>
      </w:pPr>
    </w:p>
    <w:p w14:paraId="5C4902C6" w14:textId="77777777" w:rsidR="00E60A09" w:rsidRPr="007729D4" w:rsidRDefault="00E60A09" w:rsidP="00E60A09">
      <w:pPr>
        <w:rPr>
          <w:lang w:val="ru-RU"/>
        </w:rPr>
      </w:pPr>
    </w:p>
    <w:p w14:paraId="77FC4396" w14:textId="77777777" w:rsidR="00E60A09" w:rsidRPr="007729D4" w:rsidRDefault="00E60A09" w:rsidP="00E60A09">
      <w:pPr>
        <w:rPr>
          <w:lang w:val="ru-RU"/>
        </w:rPr>
      </w:pPr>
    </w:p>
    <w:p w14:paraId="66D8DB35" w14:textId="77777777" w:rsidR="008B6349" w:rsidRPr="007729D4" w:rsidRDefault="008B6349" w:rsidP="00E60A09">
      <w:pPr>
        <w:rPr>
          <w:lang w:val="ru-RU"/>
        </w:rPr>
      </w:pPr>
    </w:p>
    <w:p w14:paraId="48008D63" w14:textId="77777777" w:rsidR="008B6349" w:rsidRPr="007729D4" w:rsidRDefault="008B6349" w:rsidP="00E60A09">
      <w:pPr>
        <w:rPr>
          <w:lang w:val="ru-RU"/>
        </w:rPr>
      </w:pPr>
    </w:p>
    <w:p w14:paraId="36C41597" w14:textId="77777777" w:rsidR="008B6349" w:rsidRPr="007729D4" w:rsidRDefault="008B6349" w:rsidP="00E60A09">
      <w:pPr>
        <w:rPr>
          <w:lang w:val="ru-RU"/>
        </w:rPr>
      </w:pPr>
    </w:p>
    <w:p w14:paraId="29854E5F" w14:textId="77777777" w:rsidR="008B6349" w:rsidRPr="007729D4" w:rsidRDefault="008B6349" w:rsidP="00E60A09">
      <w:pPr>
        <w:rPr>
          <w:lang w:val="ru-RU"/>
        </w:rPr>
      </w:pPr>
    </w:p>
    <w:p w14:paraId="3941F9B3" w14:textId="77777777" w:rsidR="008B6349" w:rsidRPr="007729D4" w:rsidRDefault="008B6349" w:rsidP="00E60A09">
      <w:pPr>
        <w:rPr>
          <w:lang w:val="ru-RU"/>
        </w:rPr>
      </w:pPr>
    </w:p>
    <w:p w14:paraId="33823CA9" w14:textId="77777777" w:rsidR="00E60A09" w:rsidRPr="007729D4" w:rsidRDefault="00E60A09" w:rsidP="00E60A09">
      <w:pPr>
        <w:rPr>
          <w:lang w:val="ru-RU"/>
        </w:rPr>
      </w:pPr>
    </w:p>
    <w:p w14:paraId="265DF33E" w14:textId="77777777" w:rsidR="00E60A09" w:rsidRPr="007729D4" w:rsidRDefault="00E60A09" w:rsidP="00E60A09">
      <w:pPr>
        <w:rPr>
          <w:lang w:val="ru-RU"/>
        </w:rPr>
      </w:pPr>
    </w:p>
    <w:p w14:paraId="7D494ED0" w14:textId="77777777" w:rsidR="00E60A09" w:rsidRPr="007729D4" w:rsidRDefault="00E60A09" w:rsidP="00E60A09">
      <w:pPr>
        <w:rPr>
          <w:lang w:val="ru-RU"/>
        </w:rPr>
      </w:pPr>
    </w:p>
    <w:p w14:paraId="3554E9A0" w14:textId="77777777" w:rsidR="00E60A09" w:rsidRPr="007729D4" w:rsidRDefault="00E60A09" w:rsidP="00E60A09">
      <w:pPr>
        <w:rPr>
          <w:lang w:val="ru-RU"/>
        </w:rPr>
      </w:pPr>
    </w:p>
    <w:p w14:paraId="0D1B6C2B" w14:textId="77777777" w:rsidR="00D324F1" w:rsidRPr="007729D4" w:rsidRDefault="00D324F1" w:rsidP="00E60A09">
      <w:pPr>
        <w:rPr>
          <w:lang w:val="ru-RU"/>
        </w:rPr>
      </w:pPr>
    </w:p>
    <w:p w14:paraId="648D7BD9" w14:textId="77777777" w:rsidR="00D324F1" w:rsidRPr="007729D4" w:rsidRDefault="00D324F1" w:rsidP="00E60A09">
      <w:pPr>
        <w:rPr>
          <w:lang w:val="ru-RU"/>
        </w:rPr>
      </w:pPr>
    </w:p>
    <w:p w14:paraId="15937F0A" w14:textId="3B24DFE4" w:rsidR="00E60A09" w:rsidRPr="007729D4" w:rsidRDefault="00E60A09" w:rsidP="00E60A09">
      <w:pPr>
        <w:jc w:val="center"/>
        <w:rPr>
          <w:sz w:val="20"/>
          <w:lang w:val="ru-RU"/>
        </w:rPr>
      </w:pPr>
      <w:r w:rsidRPr="007729D4">
        <w:rPr>
          <w:sz w:val="20"/>
          <w:lang w:val="ru-RU"/>
        </w:rPr>
        <w:sym w:font="Symbol" w:char="F0E3"/>
      </w:r>
      <w:r w:rsidRPr="007729D4">
        <w:rPr>
          <w:sz w:val="20"/>
          <w:lang w:val="ru-RU"/>
        </w:rPr>
        <w:t>  ITU  </w:t>
      </w:r>
      <w:bookmarkStart w:id="3" w:name="iiannee"/>
      <w:bookmarkEnd w:id="3"/>
      <w:r w:rsidRPr="007729D4">
        <w:rPr>
          <w:sz w:val="20"/>
          <w:lang w:val="ru-RU"/>
        </w:rPr>
        <w:t>2024</w:t>
      </w:r>
    </w:p>
    <w:p w14:paraId="5A25B5AD" w14:textId="3FBBDADE" w:rsidR="008968B6" w:rsidRPr="007729D4" w:rsidRDefault="00E60A09" w:rsidP="00EA2A26">
      <w:pPr>
        <w:rPr>
          <w:lang w:val="ru-RU"/>
        </w:rPr>
      </w:pPr>
      <w:r w:rsidRPr="007729D4">
        <w:rPr>
          <w:sz w:val="20"/>
          <w:lang w:val="ru-RU"/>
        </w:rPr>
        <w:t>Все права сохранены. Ни одна из частей данной публикации не может быть воспроизведена с помощью каких бы то ни было средств без предварительного письменного разрешения МСЭ.</w:t>
      </w:r>
    </w:p>
    <w:p w14:paraId="73B79B51" w14:textId="77777777" w:rsidR="00B73379" w:rsidRPr="007729D4" w:rsidRDefault="00B73379" w:rsidP="003374BB">
      <w:pPr>
        <w:pStyle w:val="ResNo"/>
        <w:rPr>
          <w:lang w:val="ru-RU"/>
        </w:rPr>
        <w:sectPr w:rsidR="00B73379" w:rsidRPr="007729D4" w:rsidSect="00DE48B4">
          <w:headerReference w:type="even" r:id="rId14"/>
          <w:footerReference w:type="even" r:id="rId15"/>
          <w:footerReference w:type="default" r:id="rId16"/>
          <w:footnotePr>
            <w:numRestart w:val="eachSect"/>
          </w:footnotePr>
          <w:type w:val="evenPage"/>
          <w:pgSz w:w="11907" w:h="16834" w:code="9"/>
          <w:pgMar w:top="1134" w:right="1134" w:bottom="1134" w:left="1134" w:header="567" w:footer="567" w:gutter="0"/>
          <w:paperSrc w:first="15" w:other="15"/>
          <w:pgNumType w:start="1"/>
          <w:cols w:space="720"/>
        </w:sectPr>
      </w:pPr>
    </w:p>
    <w:p w14:paraId="2EDDC275" w14:textId="2264DCEC" w:rsidR="007729D4" w:rsidRPr="007729D4" w:rsidRDefault="007729D4" w:rsidP="007729D4">
      <w:pPr>
        <w:pStyle w:val="ResNo"/>
        <w:rPr>
          <w:lang w:val="ru-RU"/>
        </w:rPr>
      </w:pPr>
      <w:r w:rsidRPr="007729D4">
        <w:rPr>
          <w:lang w:val="ru-RU"/>
        </w:rPr>
        <w:lastRenderedPageBreak/>
        <w:t xml:space="preserve">РЕЗОЛЮЦИЯ </w:t>
      </w:r>
      <w:r w:rsidRPr="007729D4">
        <w:rPr>
          <w:rStyle w:val="href"/>
          <w:lang w:val="ru-RU"/>
        </w:rPr>
        <w:t>60</w:t>
      </w:r>
      <w:r w:rsidRPr="007729D4">
        <w:rPr>
          <w:lang w:val="ru-RU"/>
        </w:rPr>
        <w:t xml:space="preserve"> </w:t>
      </w:r>
      <w:r w:rsidR="0085089D" w:rsidRPr="007729D4">
        <w:rPr>
          <w:caps w:val="0"/>
          <w:lang w:val="ru-RU"/>
        </w:rPr>
        <w:t>(</w:t>
      </w:r>
      <w:proofErr w:type="spellStart"/>
      <w:r w:rsidR="0085089D" w:rsidRPr="007729D4">
        <w:rPr>
          <w:caps w:val="0"/>
          <w:lang w:val="ru-RU"/>
        </w:rPr>
        <w:t>Пересм</w:t>
      </w:r>
      <w:proofErr w:type="spellEnd"/>
      <w:r w:rsidR="0085089D" w:rsidRPr="007729D4">
        <w:rPr>
          <w:caps w:val="0"/>
          <w:lang w:val="ru-RU"/>
        </w:rPr>
        <w:t>. Нью-Дели, 2024 г.)</w:t>
      </w:r>
    </w:p>
    <w:p w14:paraId="0C79BBD4" w14:textId="77777777" w:rsidR="007729D4" w:rsidRPr="007729D4" w:rsidRDefault="007729D4" w:rsidP="007729D4">
      <w:pPr>
        <w:pStyle w:val="Restitle"/>
        <w:rPr>
          <w:lang w:val="ru-RU"/>
        </w:rPr>
      </w:pPr>
      <w:bookmarkStart w:id="4" w:name="_Toc112777449"/>
      <w:r w:rsidRPr="007729D4">
        <w:rPr>
          <w:lang w:val="ru-RU"/>
        </w:rPr>
        <w:t>Реагирование на задачи развития системы идентификации/нумерации и ее конвергенции с системами/сетями на основе протокола Интернет</w:t>
      </w:r>
      <w:bookmarkEnd w:id="4"/>
    </w:p>
    <w:p w14:paraId="352765C5" w14:textId="77777777" w:rsidR="007729D4" w:rsidRPr="007729D4" w:rsidRDefault="007729D4" w:rsidP="007729D4">
      <w:pPr>
        <w:pStyle w:val="Resref"/>
        <w:rPr>
          <w:lang w:val="ru-RU"/>
        </w:rPr>
      </w:pPr>
      <w:r w:rsidRPr="007729D4">
        <w:rPr>
          <w:lang w:val="ru-RU"/>
        </w:rPr>
        <w:t>(Йоханнесбург, 2008 г.; Дубай, 2012 г.; Женева, 2022 г.; Нью-Дели, 2024 г.)</w:t>
      </w:r>
    </w:p>
    <w:p w14:paraId="4378016B" w14:textId="77777777" w:rsidR="007729D4" w:rsidRPr="007729D4" w:rsidRDefault="007729D4" w:rsidP="007729D4">
      <w:pPr>
        <w:pStyle w:val="Normalaftertitle0"/>
        <w:rPr>
          <w:lang w:val="ru-RU"/>
        </w:rPr>
      </w:pPr>
      <w:r w:rsidRPr="007729D4">
        <w:rPr>
          <w:lang w:val="ru-RU"/>
        </w:rPr>
        <w:t>Всемирная ассамблея по стандартизации электросвязи (Нью-Дели, 2024 г.),</w:t>
      </w:r>
    </w:p>
    <w:p w14:paraId="6DDB5151" w14:textId="77777777" w:rsidR="007729D4" w:rsidRPr="007729D4" w:rsidRDefault="007729D4" w:rsidP="007729D4">
      <w:pPr>
        <w:pStyle w:val="Call"/>
        <w:rPr>
          <w:lang w:val="ru-RU"/>
        </w:rPr>
      </w:pPr>
      <w:r w:rsidRPr="007729D4">
        <w:rPr>
          <w:lang w:val="ru-RU"/>
        </w:rPr>
        <w:t>признавая</w:t>
      </w:r>
    </w:p>
    <w:p w14:paraId="11CB7C67" w14:textId="77777777" w:rsidR="007729D4" w:rsidRPr="007729D4" w:rsidRDefault="007729D4" w:rsidP="007729D4">
      <w:pPr>
        <w:rPr>
          <w:lang w:val="ru-RU"/>
        </w:rPr>
      </w:pPr>
      <w:r w:rsidRPr="007729D4">
        <w:rPr>
          <w:i/>
          <w:iCs/>
          <w:lang w:val="ru-RU"/>
        </w:rPr>
        <w:t>a)</w:t>
      </w:r>
      <w:r w:rsidRPr="007729D4">
        <w:rPr>
          <w:lang w:val="ru-RU"/>
        </w:rPr>
        <w:tab/>
        <w:t>Резолюцию 133 (</w:t>
      </w:r>
      <w:proofErr w:type="spellStart"/>
      <w:r w:rsidRPr="007729D4">
        <w:rPr>
          <w:lang w:val="ru-RU"/>
        </w:rPr>
        <w:t>Пересм</w:t>
      </w:r>
      <w:proofErr w:type="spellEnd"/>
      <w:r w:rsidRPr="007729D4">
        <w:rPr>
          <w:lang w:val="ru-RU"/>
        </w:rPr>
        <w:t>. Бухарест, 2022 г.) Полномочной конференции в отношении непрерывного развития интеграции электросвязи и интернета;</w:t>
      </w:r>
    </w:p>
    <w:p w14:paraId="46702527" w14:textId="77777777" w:rsidR="007729D4" w:rsidRPr="007729D4" w:rsidRDefault="007729D4" w:rsidP="007729D4">
      <w:pPr>
        <w:rPr>
          <w:lang w:val="ru-RU"/>
        </w:rPr>
      </w:pPr>
      <w:r w:rsidRPr="007729D4">
        <w:rPr>
          <w:i/>
          <w:iCs/>
          <w:lang w:val="ru-RU"/>
        </w:rPr>
        <w:t>b)</w:t>
      </w:r>
      <w:r w:rsidRPr="007729D4">
        <w:rPr>
          <w:lang w:val="ru-RU"/>
        </w:rPr>
        <w:tab/>
        <w:t>Резолюцию 101 и 102 (</w:t>
      </w:r>
      <w:proofErr w:type="spellStart"/>
      <w:r w:rsidRPr="007729D4">
        <w:rPr>
          <w:lang w:val="ru-RU"/>
        </w:rPr>
        <w:t>Пересм</w:t>
      </w:r>
      <w:proofErr w:type="spellEnd"/>
      <w:r w:rsidRPr="007729D4">
        <w:rPr>
          <w:lang w:val="ru-RU"/>
        </w:rPr>
        <w:t>. Бухарест, 2022 г.) Полномочной конференции;</w:t>
      </w:r>
    </w:p>
    <w:p w14:paraId="574E29AD" w14:textId="77777777" w:rsidR="007729D4" w:rsidRPr="007729D4" w:rsidRDefault="007729D4" w:rsidP="007729D4">
      <w:pPr>
        <w:rPr>
          <w:lang w:val="ru-RU"/>
        </w:rPr>
      </w:pPr>
      <w:r w:rsidRPr="007729D4">
        <w:rPr>
          <w:i/>
          <w:iCs/>
          <w:lang w:val="ru-RU"/>
        </w:rPr>
        <w:t>c)</w:t>
      </w:r>
      <w:r w:rsidRPr="007729D4">
        <w:rPr>
          <w:lang w:val="ru-RU"/>
        </w:rPr>
        <w:tab/>
        <w:t>возрастающую роль Всемирной ассамблеи по стандартизации электросвязи, отраженную в Резолюции 122 (</w:t>
      </w:r>
      <w:proofErr w:type="spellStart"/>
      <w:r w:rsidRPr="007729D4">
        <w:rPr>
          <w:lang w:val="ru-RU"/>
        </w:rPr>
        <w:t>Пересм</w:t>
      </w:r>
      <w:proofErr w:type="spellEnd"/>
      <w:r w:rsidRPr="007729D4">
        <w:rPr>
          <w:lang w:val="ru-RU"/>
        </w:rPr>
        <w:t>. Гвадалахара, 2010 г.) Полномочной конференции,</w:t>
      </w:r>
    </w:p>
    <w:p w14:paraId="6CA1A9E3" w14:textId="77777777" w:rsidR="007729D4" w:rsidRPr="007729D4" w:rsidRDefault="007729D4" w:rsidP="007729D4">
      <w:pPr>
        <w:pStyle w:val="Call"/>
        <w:rPr>
          <w:lang w:val="ru-RU"/>
        </w:rPr>
      </w:pPr>
      <w:r w:rsidRPr="007729D4">
        <w:rPr>
          <w:lang w:val="ru-RU"/>
        </w:rPr>
        <w:t>отмечая</w:t>
      </w:r>
    </w:p>
    <w:p w14:paraId="10FF53B7" w14:textId="77777777" w:rsidR="007729D4" w:rsidRPr="007729D4" w:rsidRDefault="007729D4" w:rsidP="007729D4">
      <w:pPr>
        <w:rPr>
          <w:lang w:val="ru-RU"/>
        </w:rPr>
      </w:pPr>
      <w:r w:rsidRPr="007729D4">
        <w:rPr>
          <w:i/>
          <w:iCs/>
          <w:lang w:val="ru-RU"/>
        </w:rPr>
        <w:t>a)</w:t>
      </w:r>
      <w:r w:rsidRPr="007729D4">
        <w:rPr>
          <w:lang w:val="ru-RU"/>
        </w:rPr>
        <w:tab/>
        <w:t>работу 2-й Исследовательской комиссии Сектора стандартизации электросвязи МСЭ (МСЭ</w:t>
      </w:r>
      <w:r w:rsidRPr="007729D4">
        <w:rPr>
          <w:lang w:val="ru-RU"/>
        </w:rPr>
        <w:noBreakHyphen/>
        <w:t>Т), в которой изучается аспект развития систем нумерации, наименования, адресации и идентификации (ННАИ), для применения в будущих сетях;</w:t>
      </w:r>
    </w:p>
    <w:p w14:paraId="2E3B5CD6" w14:textId="77777777" w:rsidR="007729D4" w:rsidRPr="007729D4" w:rsidRDefault="007729D4" w:rsidP="007729D4">
      <w:pPr>
        <w:rPr>
          <w:lang w:val="ru-RU"/>
        </w:rPr>
      </w:pPr>
      <w:r w:rsidRPr="007729D4">
        <w:rPr>
          <w:i/>
          <w:iCs/>
          <w:lang w:val="ru-RU"/>
        </w:rPr>
        <w:t>b)</w:t>
      </w:r>
      <w:r w:rsidRPr="007729D4">
        <w:rPr>
          <w:lang w:val="ru-RU"/>
        </w:rPr>
        <w:tab/>
        <w:t>что переход от традиционных сетей к сетям на основе протокола Интернет (</w:t>
      </w:r>
      <w:r w:rsidRPr="007729D4">
        <w:rPr>
          <w:lang w:val="ru-RU" w:bidi="ar-EG"/>
        </w:rPr>
        <w:t>IP) осуществляется высокими темпами в условиях перехода к будущим сетям</w:t>
      </w:r>
      <w:r w:rsidRPr="007729D4">
        <w:rPr>
          <w:lang w:val="ru-RU"/>
        </w:rPr>
        <w:t>;</w:t>
      </w:r>
    </w:p>
    <w:p w14:paraId="366550EA" w14:textId="77777777" w:rsidR="007729D4" w:rsidRPr="007729D4" w:rsidRDefault="007729D4" w:rsidP="007729D4">
      <w:pPr>
        <w:rPr>
          <w:lang w:val="ru-RU"/>
        </w:rPr>
      </w:pPr>
      <w:r w:rsidRPr="007729D4">
        <w:rPr>
          <w:i/>
          <w:iCs/>
          <w:lang w:val="ru-RU"/>
        </w:rPr>
        <w:t>c)</w:t>
      </w:r>
      <w:r w:rsidRPr="007729D4">
        <w:rPr>
          <w:i/>
          <w:iCs/>
          <w:lang w:val="ru-RU"/>
        </w:rPr>
        <w:tab/>
      </w:r>
      <w:r w:rsidRPr="007729D4">
        <w:rPr>
          <w:lang w:val="ru-RU"/>
        </w:rPr>
        <w:t>появляющиеся проблемы, связанные с административным управлением номерами, привязанными к услугам международной электросвязи;</w:t>
      </w:r>
    </w:p>
    <w:p w14:paraId="67DDEC4F" w14:textId="77777777" w:rsidR="007729D4" w:rsidRPr="007729D4" w:rsidRDefault="007729D4" w:rsidP="007729D4">
      <w:pPr>
        <w:rPr>
          <w:lang w:val="ru-RU"/>
        </w:rPr>
      </w:pPr>
      <w:r w:rsidRPr="007729D4">
        <w:rPr>
          <w:i/>
          <w:iCs/>
          <w:lang w:val="ru-RU"/>
        </w:rPr>
        <w:t>d)</w:t>
      </w:r>
      <w:r w:rsidRPr="007729D4">
        <w:rPr>
          <w:lang w:val="ru-RU"/>
        </w:rPr>
        <w:tab/>
        <w:t>грядущие проблемы, связанные с конвергенцией систем ННАИ, происходящей вместе с развитием будущих сетей, и соответствующие проблемы, связанные с безопасностью, сигнализацией, переносимостью, переходом, международным роумингом и присоединением будущих сетей;</w:t>
      </w:r>
    </w:p>
    <w:p w14:paraId="47BF8198" w14:textId="77777777" w:rsidR="007729D4" w:rsidRPr="007729D4" w:rsidRDefault="007729D4" w:rsidP="007729D4">
      <w:pPr>
        <w:rPr>
          <w:szCs w:val="22"/>
          <w:lang w:val="ru-RU"/>
        </w:rPr>
      </w:pPr>
      <w:r w:rsidRPr="007729D4">
        <w:rPr>
          <w:i/>
          <w:iCs/>
          <w:szCs w:val="24"/>
          <w:lang w:val="ru-RU"/>
        </w:rPr>
        <w:t>e)</w:t>
      </w:r>
      <w:r w:rsidRPr="007729D4">
        <w:rPr>
          <w:szCs w:val="24"/>
          <w:lang w:val="ru-RU"/>
        </w:rPr>
        <w:tab/>
        <w:t>растущий спрос на ресурсы ННАИ для обеспечения межмашинного взаимодействия и исследования, проводимые во 2-й Исследовательской комиссии МСЭ-Т;</w:t>
      </w:r>
    </w:p>
    <w:p w14:paraId="18DB7778" w14:textId="77777777" w:rsidR="007729D4" w:rsidRPr="007729D4" w:rsidRDefault="007729D4" w:rsidP="007729D4">
      <w:pPr>
        <w:rPr>
          <w:lang w:val="ru-RU"/>
        </w:rPr>
      </w:pPr>
      <w:r w:rsidRPr="007729D4">
        <w:rPr>
          <w:i/>
          <w:iCs/>
          <w:lang w:val="ru-RU"/>
        </w:rPr>
        <w:t>f)</w:t>
      </w:r>
      <w:r w:rsidRPr="007729D4">
        <w:rPr>
          <w:lang w:val="ru-RU"/>
        </w:rPr>
        <w:tab/>
        <w:t>необходимость в продолжении исследований развития международных ресурсов электросвязи, которые, как предполагается, будут содействовать своевременному прогнозируемому развертыванию передовых технологий идентификации,</w:t>
      </w:r>
    </w:p>
    <w:p w14:paraId="56383346" w14:textId="77777777" w:rsidR="007729D4" w:rsidRPr="007729D4" w:rsidRDefault="007729D4" w:rsidP="007729D4">
      <w:pPr>
        <w:pStyle w:val="Call"/>
        <w:rPr>
          <w:lang w:val="ru-RU"/>
        </w:rPr>
      </w:pPr>
      <w:r w:rsidRPr="007729D4">
        <w:rPr>
          <w:lang w:val="ru-RU"/>
        </w:rPr>
        <w:t>решает поручить 2-й Исследовательской комиссии Сектора стандартизации электросвязи МСЭ в рамках мандата Сектора</w:t>
      </w:r>
    </w:p>
    <w:p w14:paraId="4513D80D" w14:textId="77777777" w:rsidR="007729D4" w:rsidRPr="007729D4" w:rsidRDefault="007729D4" w:rsidP="007729D4">
      <w:pPr>
        <w:rPr>
          <w:lang w:val="ru-RU"/>
        </w:rPr>
      </w:pPr>
      <w:r w:rsidRPr="007729D4">
        <w:rPr>
          <w:lang w:val="ru-RU"/>
        </w:rPr>
        <w:t>1</w:t>
      </w:r>
      <w:r w:rsidRPr="007729D4">
        <w:rPr>
          <w:lang w:val="ru-RU"/>
        </w:rPr>
        <w:tab/>
        <w:t>продолжить изучение при взаимодействии с соответствующими исследовательскими комиссиями необходимых требований к структуре и техническому обслуживанию ресурсов ННАИ в отношении развертывания будущих систем электросвязи/информационно-коммуникационных технологий (ИКТ), включая сети на основе IP;</w:t>
      </w:r>
    </w:p>
    <w:p w14:paraId="25543979" w14:textId="77777777" w:rsidR="007729D4" w:rsidRPr="007729D4" w:rsidRDefault="007729D4" w:rsidP="007729D4">
      <w:pPr>
        <w:rPr>
          <w:lang w:val="ru-RU"/>
        </w:rPr>
      </w:pPr>
      <w:r w:rsidRPr="007729D4">
        <w:rPr>
          <w:lang w:val="ru-RU"/>
        </w:rPr>
        <w:t>2</w:t>
      </w:r>
      <w:r w:rsidRPr="007729D4">
        <w:rPr>
          <w:lang w:val="ru-RU"/>
        </w:rPr>
        <w:tab/>
        <w:t>обеспечить дальнейшую разработку административных требований к использованию существующих систем управления ресурсами ННАИ;</w:t>
      </w:r>
    </w:p>
    <w:p w14:paraId="4F677B6D" w14:textId="77777777" w:rsidR="00715B18" w:rsidRDefault="00715B18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jc w:val="left"/>
        <w:textAlignment w:val="auto"/>
        <w:rPr>
          <w:lang w:val="ru-RU"/>
        </w:rPr>
      </w:pPr>
      <w:r>
        <w:rPr>
          <w:lang w:val="ru-RU"/>
        </w:rPr>
        <w:br w:type="page"/>
      </w:r>
    </w:p>
    <w:p w14:paraId="2B2DAD20" w14:textId="03397C70" w:rsidR="007729D4" w:rsidRPr="007729D4" w:rsidRDefault="007729D4" w:rsidP="007729D4">
      <w:pPr>
        <w:rPr>
          <w:lang w:val="ru-RU"/>
        </w:rPr>
      </w:pPr>
      <w:r w:rsidRPr="007729D4">
        <w:rPr>
          <w:lang w:val="ru-RU"/>
        </w:rPr>
        <w:lastRenderedPageBreak/>
        <w:t>3</w:t>
      </w:r>
      <w:r w:rsidRPr="007729D4">
        <w:rPr>
          <w:lang w:val="ru-RU"/>
        </w:rPr>
        <w:tab/>
        <w:t>продолжить разработку руководящих указаний, а также основ, касающихся развития системы ННАИ международной электросвязи и ее конвергенции с системами на основе IP и использования для возникающих технологий и услуг электросвязи/ИКТ, при координации с соответствующими исследовательскими комиссиями МСЭ-Т и связанными с ними региональными группами, так чтобы могла быть обеспечена база для любого нового приложения</w:t>
      </w:r>
      <w:r w:rsidRPr="007729D4">
        <w:rPr>
          <w:rFonts w:eastAsia="SimSun"/>
          <w:lang w:val="ru-RU" w:eastAsia="zh-CN"/>
        </w:rPr>
        <w:t>,</w:t>
      </w:r>
    </w:p>
    <w:p w14:paraId="12577A1F" w14:textId="77777777" w:rsidR="007729D4" w:rsidRPr="007729D4" w:rsidRDefault="007729D4" w:rsidP="007729D4">
      <w:pPr>
        <w:pStyle w:val="Call"/>
        <w:rPr>
          <w:lang w:val="ru-RU" w:eastAsia="ko-KR"/>
        </w:rPr>
      </w:pPr>
      <w:r w:rsidRPr="007729D4">
        <w:rPr>
          <w:lang w:val="ru-RU" w:eastAsia="ko-KR"/>
        </w:rPr>
        <w:t>поручает соответствующим исследовательским комиссиям</w:t>
      </w:r>
      <w:r w:rsidRPr="007729D4">
        <w:rPr>
          <w:lang w:val="ru-RU"/>
        </w:rPr>
        <w:t xml:space="preserve"> Сектора стандартизации электросвязи МСЭ</w:t>
      </w:r>
      <w:r w:rsidRPr="007729D4">
        <w:rPr>
          <w:lang w:val="ru-RU" w:eastAsia="ko-KR"/>
        </w:rPr>
        <w:t xml:space="preserve">, </w:t>
      </w:r>
      <w:proofErr w:type="gramStart"/>
      <w:r w:rsidRPr="007729D4">
        <w:rPr>
          <w:lang w:val="ru-RU" w:eastAsia="ko-KR"/>
        </w:rPr>
        <w:t>и в частности</w:t>
      </w:r>
      <w:proofErr w:type="gramEnd"/>
      <w:r w:rsidRPr="007729D4">
        <w:rPr>
          <w:lang w:val="ru-RU" w:eastAsia="ko-KR"/>
        </w:rPr>
        <w:t xml:space="preserve"> 13</w:t>
      </w:r>
      <w:r w:rsidRPr="007729D4">
        <w:rPr>
          <w:lang w:val="ru-RU" w:eastAsia="ko-KR"/>
        </w:rPr>
        <w:noBreakHyphen/>
        <w:t>й Исследовательской комиссии</w:t>
      </w:r>
    </w:p>
    <w:p w14:paraId="40F4B467" w14:textId="77777777" w:rsidR="007729D4" w:rsidRPr="007729D4" w:rsidRDefault="007729D4" w:rsidP="007729D4">
      <w:pPr>
        <w:rPr>
          <w:lang w:val="ru-RU"/>
        </w:rPr>
      </w:pPr>
      <w:r w:rsidRPr="007729D4">
        <w:rPr>
          <w:lang w:val="ru-RU"/>
        </w:rPr>
        <w:t>1</w:t>
      </w:r>
      <w:r w:rsidRPr="007729D4">
        <w:rPr>
          <w:lang w:val="ru-RU"/>
        </w:rPr>
        <w:tab/>
        <w:t>поддерживать работу 2-й Исследовательской комиссии МСЭ-Т путем сотрудничества для обеспечения того, чтобы такие приложения базировались на соответствующих руководящих указаниях и основах, касающихся развития системы нумерации/идентификации международной электросвязи для удовлетворения потребностей появляющихся технологий и услуг электросвязи/ИКТ;</w:t>
      </w:r>
    </w:p>
    <w:p w14:paraId="06B9B5A7" w14:textId="77777777" w:rsidR="007729D4" w:rsidRPr="007729D4" w:rsidRDefault="007729D4" w:rsidP="007729D4">
      <w:pPr>
        <w:rPr>
          <w:lang w:val="ru-RU"/>
        </w:rPr>
      </w:pPr>
      <w:r w:rsidRPr="007729D4">
        <w:rPr>
          <w:lang w:val="ru-RU"/>
        </w:rPr>
        <w:t>2</w:t>
      </w:r>
      <w:r w:rsidRPr="007729D4">
        <w:rPr>
          <w:lang w:val="ru-RU"/>
        </w:rPr>
        <w:tab/>
        <w:t>содействовать работе 2-й Исследовательской комиссии МСЭ-Т путем изучения воздействия появляющихся технологий и услуг электросвязи/ИКТ на систему нумерации/идентификации и требований к ним</w:t>
      </w:r>
      <w:r w:rsidRPr="007729D4">
        <w:rPr>
          <w:rFonts w:eastAsia="SimSun"/>
          <w:lang w:val="ru-RU" w:eastAsia="zh-CN"/>
        </w:rPr>
        <w:t>,</w:t>
      </w:r>
    </w:p>
    <w:p w14:paraId="1D7A802B" w14:textId="77777777" w:rsidR="007729D4" w:rsidRPr="007729D4" w:rsidRDefault="007729D4" w:rsidP="007729D4">
      <w:pPr>
        <w:pStyle w:val="Call"/>
        <w:rPr>
          <w:lang w:val="ru-RU"/>
        </w:rPr>
      </w:pPr>
      <w:r w:rsidRPr="007729D4">
        <w:rPr>
          <w:lang w:val="ru-RU"/>
        </w:rPr>
        <w:t>поручает Директору Бюро стандартизации электросвязи</w:t>
      </w:r>
    </w:p>
    <w:p w14:paraId="7F93A372" w14:textId="77777777" w:rsidR="007729D4" w:rsidRPr="007729D4" w:rsidRDefault="007729D4" w:rsidP="007729D4">
      <w:pPr>
        <w:rPr>
          <w:lang w:val="ru-RU"/>
        </w:rPr>
      </w:pPr>
      <w:r w:rsidRPr="007729D4">
        <w:rPr>
          <w:lang w:val="ru-RU"/>
        </w:rPr>
        <w:t>принять надлежащие меры для содействия осуществлению упомянутой выше работы, касающейся развития системы ННАИ международной электросвязи и ее приложений,</w:t>
      </w:r>
    </w:p>
    <w:p w14:paraId="5DF24499" w14:textId="77777777" w:rsidR="007729D4" w:rsidRPr="007729D4" w:rsidRDefault="007729D4" w:rsidP="007729D4">
      <w:pPr>
        <w:pStyle w:val="Call"/>
        <w:rPr>
          <w:lang w:val="ru-RU"/>
        </w:rPr>
      </w:pPr>
      <w:r w:rsidRPr="007729D4">
        <w:rPr>
          <w:lang w:val="ru-RU"/>
        </w:rPr>
        <w:t>предлагает Государствам-Членам и Членам Сектора</w:t>
      </w:r>
    </w:p>
    <w:p w14:paraId="323E88E9" w14:textId="77777777" w:rsidR="007729D4" w:rsidRPr="007729D4" w:rsidRDefault="007729D4" w:rsidP="007729D4">
      <w:pPr>
        <w:rPr>
          <w:lang w:val="ru-RU"/>
        </w:rPr>
      </w:pPr>
      <w:r w:rsidRPr="007729D4">
        <w:rPr>
          <w:lang w:val="ru-RU"/>
        </w:rPr>
        <w:t>1</w:t>
      </w:r>
      <w:r w:rsidRPr="007729D4">
        <w:rPr>
          <w:lang w:val="ru-RU"/>
        </w:rPr>
        <w:tab/>
        <w:t>вносить вклад в эту деятельность, особенно исходя из своих национальных интересов и опыта;</w:t>
      </w:r>
    </w:p>
    <w:p w14:paraId="241718A1" w14:textId="77777777" w:rsidR="007729D4" w:rsidRPr="007729D4" w:rsidRDefault="007729D4" w:rsidP="007729D4">
      <w:pPr>
        <w:rPr>
          <w:lang w:val="ru-RU"/>
        </w:rPr>
      </w:pPr>
      <w:r w:rsidRPr="007729D4">
        <w:rPr>
          <w:lang w:val="ru-RU"/>
        </w:rPr>
        <w:t>2</w:t>
      </w:r>
      <w:r w:rsidRPr="007729D4">
        <w:rPr>
          <w:lang w:val="ru-RU"/>
        </w:rPr>
        <w:tab/>
        <w:t>участвовать в региональных группах, обсуждающих этот вопрос, и вносить вклад в их работу, а также оказывать содействие участию развивающихся стран</w:t>
      </w:r>
      <w:r w:rsidRPr="007729D4">
        <w:rPr>
          <w:rStyle w:val="FootnoteReference"/>
          <w:lang w:val="ru-RU"/>
        </w:rPr>
        <w:footnoteReference w:customMarkFollows="1" w:id="1"/>
        <w:t>1</w:t>
      </w:r>
      <w:r w:rsidRPr="007729D4">
        <w:rPr>
          <w:lang w:val="ru-RU"/>
        </w:rPr>
        <w:t xml:space="preserve"> в этих обсуждениях;</w:t>
      </w:r>
    </w:p>
    <w:p w14:paraId="2518A4FE" w14:textId="77777777" w:rsidR="007729D4" w:rsidRPr="007729D4" w:rsidRDefault="007729D4" w:rsidP="007729D4">
      <w:pPr>
        <w:rPr>
          <w:lang w:val="ru-RU"/>
        </w:rPr>
      </w:pPr>
      <w:r w:rsidRPr="007729D4">
        <w:rPr>
          <w:rFonts w:eastAsia="SimSun"/>
          <w:lang w:val="ru-RU" w:eastAsia="zh-CN"/>
        </w:rPr>
        <w:t>3</w:t>
      </w:r>
      <w:r w:rsidRPr="007729D4">
        <w:rPr>
          <w:rFonts w:eastAsia="SimSun"/>
          <w:lang w:val="ru-RU" w:eastAsia="zh-CN"/>
        </w:rPr>
        <w:tab/>
        <w:t>обмениваться опытом и передовой практикой в поддержку развития системы ННАИ международной электросвязи и ее конвергенции с системами на базе IP.</w:t>
      </w:r>
    </w:p>
    <w:p w14:paraId="250F1BCA" w14:textId="77777777" w:rsidR="006545B8" w:rsidRDefault="006545B8" w:rsidP="00715B18">
      <w:pPr>
        <w:rPr>
          <w:lang w:val="en-US"/>
        </w:rPr>
      </w:pPr>
    </w:p>
    <w:p w14:paraId="3550F6C7" w14:textId="77777777" w:rsidR="00715B18" w:rsidRDefault="00715B18" w:rsidP="00715B18">
      <w:pPr>
        <w:rPr>
          <w:lang w:val="en-US"/>
        </w:rPr>
      </w:pPr>
    </w:p>
    <w:p w14:paraId="330FD1FD" w14:textId="77777777" w:rsidR="00715B18" w:rsidRDefault="00715B18" w:rsidP="00715B18">
      <w:pPr>
        <w:rPr>
          <w:lang w:val="en-US"/>
        </w:rPr>
      </w:pPr>
    </w:p>
    <w:p w14:paraId="59E107C5" w14:textId="77777777" w:rsidR="00715B18" w:rsidRDefault="00715B18" w:rsidP="00715B18">
      <w:pPr>
        <w:rPr>
          <w:lang w:val="en-US"/>
        </w:rPr>
      </w:pPr>
    </w:p>
    <w:p w14:paraId="0E0282C5" w14:textId="77777777" w:rsidR="00715B18" w:rsidRDefault="00715B18" w:rsidP="00715B18">
      <w:pPr>
        <w:rPr>
          <w:lang w:val="en-US"/>
        </w:rPr>
      </w:pPr>
    </w:p>
    <w:p w14:paraId="0E63726A" w14:textId="77777777" w:rsidR="00715B18" w:rsidRDefault="00715B18" w:rsidP="00715B18">
      <w:pPr>
        <w:rPr>
          <w:lang w:val="en-US"/>
        </w:rPr>
      </w:pPr>
    </w:p>
    <w:p w14:paraId="6DA5A889" w14:textId="77777777" w:rsidR="00715B18" w:rsidRDefault="00715B18" w:rsidP="00715B18">
      <w:pPr>
        <w:rPr>
          <w:lang w:val="en-US"/>
        </w:rPr>
      </w:pPr>
    </w:p>
    <w:p w14:paraId="3EBE03C5" w14:textId="77777777" w:rsidR="00715B18" w:rsidRDefault="00715B18" w:rsidP="00715B18">
      <w:pPr>
        <w:rPr>
          <w:lang w:val="en-US"/>
        </w:rPr>
      </w:pPr>
    </w:p>
    <w:p w14:paraId="22C5BDD4" w14:textId="77777777" w:rsidR="00715B18" w:rsidRPr="00715B18" w:rsidRDefault="00715B18" w:rsidP="00715B18">
      <w:pPr>
        <w:rPr>
          <w:lang w:val="en-US"/>
        </w:rPr>
      </w:pPr>
    </w:p>
    <w:sectPr w:rsidR="00715B18" w:rsidRPr="00715B18" w:rsidSect="00726747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footnotePr>
        <w:numRestart w:val="eachSect"/>
      </w:footnotePr>
      <w:pgSz w:w="11907" w:h="16834" w:code="9"/>
      <w:pgMar w:top="1134" w:right="1134" w:bottom="1134" w:left="1134" w:header="567" w:footer="567" w:gutter="0"/>
      <w:paperSrc w:first="15" w:other="15"/>
      <w:pgNumType w:start="1"/>
      <w:cols w:space="720"/>
      <w:vAlign w:val="both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797A37" w14:textId="77777777" w:rsidR="00647B88" w:rsidRDefault="00647B88">
      <w:r>
        <w:separator/>
      </w:r>
    </w:p>
  </w:endnote>
  <w:endnote w:type="continuationSeparator" w:id="0">
    <w:p w14:paraId="09619B91" w14:textId="77777777" w:rsidR="00647B88" w:rsidRDefault="00647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 Next W1G Medium">
    <w:altName w:val="Calibri"/>
    <w:panose1 w:val="00000000000000000000"/>
    <w:charset w:val="00"/>
    <w:family w:val="swiss"/>
    <w:notTrueType/>
    <w:pitch w:val="variable"/>
    <w:sig w:usb0="A00002EF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2E6EBB" w14:textId="77777777" w:rsidR="008B6349" w:rsidRDefault="008B63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D74305" w14:textId="77777777" w:rsidR="008B6349" w:rsidRDefault="008B634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015402" w14:textId="77777777" w:rsidR="008B6349" w:rsidRDefault="008B634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54EDF" w14:textId="77777777" w:rsidR="000D3CE4" w:rsidRPr="00DE48B4" w:rsidRDefault="000D3CE4" w:rsidP="00DE48B4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605C13" w14:textId="77777777" w:rsidR="000D3CE4" w:rsidRPr="008968B6" w:rsidRDefault="000D3CE4" w:rsidP="008968B6">
    <w:pPr>
      <w:pStyle w:val="Footer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3BAB00" w14:textId="24841525" w:rsidR="00C72AF4" w:rsidRPr="00D50046" w:rsidRDefault="00D50046" w:rsidP="00B150A9">
    <w:pPr>
      <w:pStyle w:val="FooterQP"/>
      <w:tabs>
        <w:tab w:val="clear" w:pos="907"/>
        <w:tab w:val="left" w:pos="851"/>
      </w:tabs>
      <w:rPr>
        <w:lang w:val="en-US"/>
      </w:rPr>
    </w:pPr>
    <w:r>
      <w:rPr>
        <w:b w:val="0"/>
      </w:rPr>
      <w:fldChar w:fldCharType="begin"/>
    </w:r>
    <w:r>
      <w:rPr>
        <w:b w:val="0"/>
        <w:lang w:val="en-US"/>
      </w:rPr>
      <w:instrText xml:space="preserve"> PAGE  \* MERGEFORMAT </w:instrText>
    </w:r>
    <w:r>
      <w:rPr>
        <w:b w:val="0"/>
      </w:rPr>
      <w:fldChar w:fldCharType="separate"/>
    </w:r>
    <w:r w:rsidR="00EA12A2">
      <w:rPr>
        <w:b w:val="0"/>
        <w:noProof/>
        <w:lang w:val="en-US"/>
      </w:rPr>
      <w:t>26</w:t>
    </w:r>
    <w:r>
      <w:rPr>
        <w:b w:val="0"/>
      </w:rPr>
      <w:fldChar w:fldCharType="end"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A90F7A" w:rsidRPr="00A90F7A">
      <w:rPr>
        <w:noProof/>
        <w:szCs w:val="22"/>
        <w:lang w:val="en-US"/>
      </w:rPr>
      <w:t>60</w:t>
    </w:r>
    <w:r w:rsidR="008B6349" w:rsidRPr="00E95096">
      <w:rPr>
        <w:b w:val="0"/>
        <w:bCs/>
        <w:szCs w:val="22"/>
      </w:rPr>
      <w:fldChar w:fldCharType="end"/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F543F9" w14:textId="1BD80858" w:rsidR="00AA1264" w:rsidRPr="00D50046" w:rsidRDefault="00D50046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8B6349" w:rsidRPr="00E95096">
      <w:rPr>
        <w:bCs/>
        <w:szCs w:val="22"/>
      </w:rPr>
      <w:t>ВАСЭ-</w:t>
    </w:r>
    <w:r w:rsidR="008B6349">
      <w:rPr>
        <w:bCs/>
        <w:szCs w:val="22"/>
        <w:lang w:val="ru-RU"/>
      </w:rPr>
      <w:t>24</w:t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</w:rPr>
      <w:sym w:font="Symbol" w:char="F02D"/>
    </w:r>
    <w:r w:rsidR="008B6349" w:rsidRPr="00E95096">
      <w:rPr>
        <w:bCs/>
        <w:szCs w:val="22"/>
      </w:rPr>
      <w:t xml:space="preserve"> </w:t>
    </w:r>
    <w:r w:rsidR="008B6349" w:rsidRPr="00E95096">
      <w:rPr>
        <w:bCs/>
        <w:szCs w:val="22"/>
        <w:lang w:val="ru-RU"/>
      </w:rPr>
      <w:t xml:space="preserve">Резолюция </w:t>
    </w:r>
    <w:r w:rsidR="008B6349" w:rsidRPr="00E95096">
      <w:rPr>
        <w:b w:val="0"/>
        <w:bCs/>
        <w:szCs w:val="22"/>
      </w:rPr>
      <w:fldChar w:fldCharType="begin"/>
    </w:r>
    <w:r w:rsidR="008B6349" w:rsidRPr="00E95096">
      <w:rPr>
        <w:bCs/>
        <w:szCs w:val="22"/>
      </w:rPr>
      <w:instrText xml:space="preserve"> STYLEREF  href  \* MERGEFORMAT </w:instrText>
    </w:r>
    <w:r w:rsidR="008B6349" w:rsidRPr="00E95096">
      <w:rPr>
        <w:b w:val="0"/>
        <w:bCs/>
        <w:szCs w:val="22"/>
      </w:rPr>
      <w:fldChar w:fldCharType="separate"/>
    </w:r>
    <w:r w:rsidR="00A90F7A" w:rsidRPr="00A90F7A">
      <w:rPr>
        <w:noProof/>
        <w:szCs w:val="22"/>
        <w:lang w:val="en-US"/>
      </w:rPr>
      <w:t>60</w:t>
    </w:r>
    <w:r w:rsidR="008B6349" w:rsidRPr="00E95096">
      <w:rPr>
        <w:b w:val="0"/>
        <w:bCs/>
        <w:szCs w:val="22"/>
      </w:rPr>
      <w:fldChar w:fldCharType="end"/>
    </w:r>
    <w:r>
      <w:tab/>
    </w:r>
    <w:r w:rsidRPr="00B73379">
      <w:rPr>
        <w:b w:val="0"/>
        <w:bCs/>
      </w:rPr>
      <w:fldChar w:fldCharType="begin"/>
    </w:r>
    <w:r w:rsidRPr="00B73379">
      <w:rPr>
        <w:b w:val="0"/>
        <w:bCs/>
        <w:lang w:val="en-US"/>
      </w:rPr>
      <w:instrText xml:space="preserve"> PAGE  \* MERGEFORMAT </w:instrText>
    </w:r>
    <w:r w:rsidRPr="00B73379">
      <w:rPr>
        <w:b w:val="0"/>
        <w:bCs/>
      </w:rPr>
      <w:fldChar w:fldCharType="separate"/>
    </w:r>
    <w:r w:rsidR="00EA12A2">
      <w:rPr>
        <w:b w:val="0"/>
        <w:bCs/>
        <w:noProof/>
        <w:lang w:val="en-US"/>
      </w:rPr>
      <w:t>25</w:t>
    </w:r>
    <w:r w:rsidRPr="00B73379">
      <w:rPr>
        <w:b w:val="0"/>
        <w:bCs/>
      </w:rPr>
      <w:fldChar w:fldCharType="end"/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6C6A4" w14:textId="45C3ACFF" w:rsidR="00A4766C" w:rsidRPr="00A4766C" w:rsidRDefault="00A4766C" w:rsidP="00D50046">
    <w:pPr>
      <w:pStyle w:val="FooterQP"/>
      <w:rPr>
        <w:lang w:val="en-US"/>
      </w:rPr>
    </w:pPr>
    <w:r>
      <w:rPr>
        <w:lang w:val="en-US"/>
      </w:rPr>
      <w:tab/>
    </w:r>
    <w:r>
      <w:rPr>
        <w:lang w:val="en-US"/>
      </w:rPr>
      <w:tab/>
    </w:r>
    <w:r w:rsidR="00E60A09" w:rsidRPr="00E95096">
      <w:rPr>
        <w:bCs/>
        <w:szCs w:val="22"/>
      </w:rPr>
      <w:t>ВАСЭ-</w:t>
    </w:r>
    <w:r w:rsidR="00E60A09">
      <w:rPr>
        <w:bCs/>
        <w:szCs w:val="22"/>
        <w:lang w:val="ru-RU"/>
      </w:rPr>
      <w:t>24</w:t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</w:rPr>
      <w:sym w:font="Symbol" w:char="F02D"/>
    </w:r>
    <w:r w:rsidR="00E60A09" w:rsidRPr="00E95096">
      <w:rPr>
        <w:bCs/>
        <w:szCs w:val="22"/>
      </w:rPr>
      <w:t xml:space="preserve"> </w:t>
    </w:r>
    <w:r w:rsidR="00E60A09" w:rsidRPr="00E95096">
      <w:rPr>
        <w:bCs/>
        <w:szCs w:val="22"/>
        <w:lang w:val="ru-RU"/>
      </w:rPr>
      <w:t xml:space="preserve">Резолюция </w:t>
    </w:r>
    <w:r w:rsidR="00E60A09" w:rsidRPr="00E95096">
      <w:rPr>
        <w:b w:val="0"/>
        <w:bCs/>
        <w:szCs w:val="22"/>
      </w:rPr>
      <w:fldChar w:fldCharType="begin"/>
    </w:r>
    <w:r w:rsidR="00E60A09" w:rsidRPr="00E95096">
      <w:rPr>
        <w:bCs/>
        <w:szCs w:val="22"/>
      </w:rPr>
      <w:instrText xml:space="preserve"> STYLEREF  href  \* MERGEFORMAT </w:instrText>
    </w:r>
    <w:r w:rsidR="00E60A09" w:rsidRPr="00E95096">
      <w:rPr>
        <w:b w:val="0"/>
        <w:bCs/>
        <w:szCs w:val="22"/>
      </w:rPr>
      <w:fldChar w:fldCharType="separate"/>
    </w:r>
    <w:r w:rsidR="00A90F7A" w:rsidRPr="00A90F7A">
      <w:rPr>
        <w:noProof/>
        <w:szCs w:val="22"/>
        <w:lang w:val="en-US"/>
      </w:rPr>
      <w:t>60</w:t>
    </w:r>
    <w:r w:rsidR="00E60A09" w:rsidRPr="00E95096">
      <w:rPr>
        <w:b w:val="0"/>
        <w:bCs/>
        <w:szCs w:val="22"/>
      </w:rPr>
      <w:fldChar w:fldCharType="end"/>
    </w:r>
    <w:r w:rsidR="00E60A09" w:rsidRPr="00E95096">
      <w:rPr>
        <w:bCs/>
        <w:szCs w:val="22"/>
      </w:rPr>
      <w:tab/>
    </w:r>
    <w:r w:rsidR="00E60A09" w:rsidRPr="00E60A09">
      <w:rPr>
        <w:b w:val="0"/>
        <w:bCs/>
        <w:szCs w:val="22"/>
      </w:rPr>
      <w:fldChar w:fldCharType="begin"/>
    </w:r>
    <w:r w:rsidR="00E60A09" w:rsidRPr="00E60A09">
      <w:rPr>
        <w:b w:val="0"/>
        <w:bCs/>
        <w:szCs w:val="22"/>
      </w:rPr>
      <w:instrText xml:space="preserve"> PAGE </w:instrText>
    </w:r>
    <w:r w:rsidR="00E60A09" w:rsidRPr="00E60A09">
      <w:rPr>
        <w:b w:val="0"/>
        <w:bCs/>
        <w:szCs w:val="22"/>
      </w:rPr>
      <w:fldChar w:fldCharType="separate"/>
    </w:r>
    <w:r w:rsidR="00E60A09" w:rsidRPr="00E60A09">
      <w:rPr>
        <w:b w:val="0"/>
        <w:bCs/>
        <w:szCs w:val="22"/>
      </w:rPr>
      <w:t>1</w:t>
    </w:r>
    <w:r w:rsidR="00E60A09" w:rsidRPr="00E60A09">
      <w:rPr>
        <w:b w:val="0"/>
        <w:bCs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D0A8F7" w14:textId="77777777" w:rsidR="00647B88" w:rsidRDefault="00647B88">
      <w:r>
        <w:t>____________________</w:t>
      </w:r>
    </w:p>
  </w:footnote>
  <w:footnote w:type="continuationSeparator" w:id="0">
    <w:p w14:paraId="5D31EBFC" w14:textId="77777777" w:rsidR="00647B88" w:rsidRDefault="00647B88">
      <w:r>
        <w:continuationSeparator/>
      </w:r>
    </w:p>
  </w:footnote>
  <w:footnote w:id="1">
    <w:p w14:paraId="3D7E6935" w14:textId="77777777" w:rsidR="007729D4" w:rsidRPr="008B00D7" w:rsidRDefault="007729D4" w:rsidP="007729D4">
      <w:pPr>
        <w:pStyle w:val="FootnoteText"/>
      </w:pPr>
      <w:r w:rsidRPr="008B00D7">
        <w:rPr>
          <w:rStyle w:val="FootnoteReference"/>
        </w:rPr>
        <w:t>1</w:t>
      </w:r>
      <w:r w:rsidRPr="008B00D7">
        <w:t xml:space="preserve"> </w:t>
      </w:r>
      <w:r w:rsidRPr="008B00D7">
        <w:tab/>
        <w:t>К ним относятся наименее развитые страны, малые островные развивающиеся государства, развивающиеся страны, не имеющие выхода к морю, и страны с переходной экономикой.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810BE2" w14:textId="77777777" w:rsidR="00EA2A26" w:rsidRDefault="00EA2A26">
    <w:pPr>
      <w:pStyle w:val="Header"/>
      <w:ind w:right="360"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56D224" w14:textId="77777777" w:rsidR="00EA2A26" w:rsidRDefault="00EA2A26" w:rsidP="00CE6FBD">
    <w:pPr>
      <w:pStyle w:val="Header"/>
      <w:ind w:right="360"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93D13" w14:textId="77777777" w:rsidR="008B6349" w:rsidRDefault="008B634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D2A584" w14:textId="77777777" w:rsidR="00A65D98" w:rsidRDefault="00A65D98">
    <w:pPr>
      <w:pStyle w:val="Header"/>
      <w:ind w:right="360" w:firstLine="36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F2D71" w14:textId="77777777" w:rsidR="00C72AF4" w:rsidRDefault="00C72AF4">
    <w:pPr>
      <w:pStyle w:val="Header"/>
      <w:ind w:right="360" w:firstLine="360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6CFEDD" w14:textId="77777777" w:rsidR="00AA1264" w:rsidRPr="00AA1264" w:rsidRDefault="00AA1264" w:rsidP="00AA1264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44BC5B" w14:textId="77777777" w:rsidR="00A4766C" w:rsidRDefault="00A476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3771CF"/>
    <w:multiLevelType w:val="hybridMultilevel"/>
    <w:tmpl w:val="A6E2B150"/>
    <w:lvl w:ilvl="0" w:tplc="13AC265A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AD64F5"/>
    <w:multiLevelType w:val="hybridMultilevel"/>
    <w:tmpl w:val="FB7ECF2E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945E817E">
      <w:start w:val="3"/>
      <w:numFmt w:val="bullet"/>
      <w:lvlText w:val="-"/>
      <w:lvlJc w:val="left"/>
      <w:pPr>
        <w:tabs>
          <w:tab w:val="num" w:pos="2339"/>
        </w:tabs>
        <w:ind w:left="2339" w:hanging="465"/>
      </w:pPr>
      <w:rPr>
        <w:rFonts w:ascii="Times New Roman" w:eastAsia="Times New Roman" w:hAnsi="Times New Roman" w:cs="Times New Roman" w:hint="default"/>
        <w:b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6" w15:restartNumberingAfterBreak="0">
    <w:nsid w:val="04C10297"/>
    <w:multiLevelType w:val="hybridMultilevel"/>
    <w:tmpl w:val="C9E84DA2"/>
    <w:lvl w:ilvl="0" w:tplc="B9C2E4B0">
      <w:start w:val="3"/>
      <w:numFmt w:val="lowerRoman"/>
      <w:lvlText w:val="%1)"/>
      <w:lvlJc w:val="left"/>
      <w:pPr>
        <w:tabs>
          <w:tab w:val="num" w:pos="1514"/>
        </w:tabs>
        <w:ind w:left="1514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94"/>
        </w:tabs>
        <w:ind w:left="1594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4"/>
        </w:tabs>
        <w:ind w:left="1994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4"/>
        </w:tabs>
        <w:ind w:left="2394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94"/>
        </w:tabs>
        <w:ind w:left="2794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4"/>
        </w:tabs>
        <w:ind w:left="3194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4"/>
        </w:tabs>
        <w:ind w:left="3594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94"/>
        </w:tabs>
        <w:ind w:left="3994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94"/>
        </w:tabs>
        <w:ind w:left="4394" w:hanging="400"/>
      </w:pPr>
    </w:lvl>
  </w:abstractNum>
  <w:abstractNum w:abstractNumId="7" w15:restartNumberingAfterBreak="0">
    <w:nsid w:val="06D13142"/>
    <w:multiLevelType w:val="multilevel"/>
    <w:tmpl w:val="FC805C12"/>
    <w:lvl w:ilvl="0">
      <w:start w:val="3"/>
      <w:numFmt w:val="decimal"/>
      <w:lvlText w:val="%1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06DB3661"/>
    <w:multiLevelType w:val="hybridMultilevel"/>
    <w:tmpl w:val="18B06554"/>
    <w:lvl w:ilvl="0" w:tplc="C728CD9C">
      <w:start w:val="1"/>
      <w:numFmt w:val="lowerLetter"/>
      <w:lvlText w:val="%1)"/>
      <w:lvlJc w:val="left"/>
      <w:pPr>
        <w:tabs>
          <w:tab w:val="num" w:pos="420"/>
        </w:tabs>
        <w:ind w:left="420" w:hanging="360"/>
      </w:pPr>
      <w:rPr>
        <w:rFonts w:hint="default"/>
        <w:i w:val="0"/>
        <w:iCs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9" w15:restartNumberingAfterBreak="0">
    <w:nsid w:val="0C0E3449"/>
    <w:multiLevelType w:val="hybridMultilevel"/>
    <w:tmpl w:val="12049A1A"/>
    <w:lvl w:ilvl="0" w:tplc="32400C44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137C3191"/>
    <w:multiLevelType w:val="multilevel"/>
    <w:tmpl w:val="3426EF6A"/>
    <w:lvl w:ilvl="0">
      <w:start w:val="9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2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17E552A1"/>
    <w:multiLevelType w:val="hybridMultilevel"/>
    <w:tmpl w:val="9C3ACEEA"/>
    <w:lvl w:ilvl="0" w:tplc="3C3C5DB6">
      <w:start w:val="3"/>
      <w:numFmt w:val="lowerLetter"/>
      <w:lvlText w:val="%1)"/>
      <w:lvlJc w:val="left"/>
      <w:pPr>
        <w:tabs>
          <w:tab w:val="num" w:pos="1155"/>
        </w:tabs>
        <w:ind w:left="1155" w:hanging="79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DB2326"/>
    <w:multiLevelType w:val="hybridMultilevel"/>
    <w:tmpl w:val="2A5A2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363433"/>
    <w:multiLevelType w:val="hybridMultilevel"/>
    <w:tmpl w:val="542460AA"/>
    <w:lvl w:ilvl="0" w:tplc="5756D91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0C7644E"/>
    <w:multiLevelType w:val="hybridMultilevel"/>
    <w:tmpl w:val="5D2016D4"/>
    <w:lvl w:ilvl="0" w:tplc="18C6A21C">
      <w:start w:val="1"/>
      <w:numFmt w:val="lowerLetter"/>
      <w:lvlText w:val="%1)"/>
      <w:lvlJc w:val="left"/>
      <w:pPr>
        <w:ind w:left="360" w:hanging="360"/>
      </w:pPr>
      <w:rPr>
        <w:lang w:val="en-GB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8073DB"/>
    <w:multiLevelType w:val="hybridMultilevel"/>
    <w:tmpl w:val="B7F4B89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4B2CB9"/>
    <w:multiLevelType w:val="multilevel"/>
    <w:tmpl w:val="705E47D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0A75D95"/>
    <w:multiLevelType w:val="hybridMultilevel"/>
    <w:tmpl w:val="03CCFCEA"/>
    <w:lvl w:ilvl="0" w:tplc="F1829A40">
      <w:start w:val="1"/>
      <w:numFmt w:val="lowerLetter"/>
      <w:lvlText w:val="%1)"/>
      <w:lvlJc w:val="left"/>
      <w:pPr>
        <w:ind w:left="720" w:hanging="720"/>
      </w:pPr>
    </w:lvl>
    <w:lvl w:ilvl="1" w:tplc="0C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4580ADD"/>
    <w:multiLevelType w:val="hybridMultilevel"/>
    <w:tmpl w:val="57D874FA"/>
    <w:lvl w:ilvl="0" w:tplc="D16005EA">
      <w:start w:val="3"/>
      <w:numFmt w:val="lowerRoman"/>
      <w:lvlText w:val="%1)"/>
      <w:lvlJc w:val="left"/>
      <w:pPr>
        <w:tabs>
          <w:tab w:val="num" w:pos="1575"/>
        </w:tabs>
        <w:ind w:left="1575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9" w15:restartNumberingAfterBreak="0">
    <w:nsid w:val="559F0960"/>
    <w:multiLevelType w:val="hybridMultilevel"/>
    <w:tmpl w:val="C52E18BE"/>
    <w:lvl w:ilvl="0" w:tplc="0B066290">
      <w:start w:val="1"/>
      <w:numFmt w:val="lowerLetter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30A9558">
      <w:start w:val="3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6037678"/>
    <w:multiLevelType w:val="hybridMultilevel"/>
    <w:tmpl w:val="36B05B1C"/>
    <w:lvl w:ilvl="0" w:tplc="4D02BE8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68CB65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 Bold" w:eastAsia="Times New Roman" w:hAnsi="Times New Roman Bold" w:cs="Times New Roman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3BF6C09"/>
    <w:multiLevelType w:val="hybridMultilevel"/>
    <w:tmpl w:val="94225D8E"/>
    <w:lvl w:ilvl="0" w:tplc="92D22FAA">
      <w:start w:val="1"/>
      <w:numFmt w:val="lowerLetter"/>
      <w:lvlText w:val="%1)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10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7F5726E"/>
    <w:multiLevelType w:val="multilevel"/>
    <w:tmpl w:val="4BDC83F4"/>
    <w:lvl w:ilvl="0">
      <w:start w:val="9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  <w:lvl w:ilvl="2">
      <w:start w:val="1"/>
      <w:numFmt w:val="decimal"/>
      <w:lvlText w:val="10.%2.%3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3" w15:restartNumberingAfterBreak="0">
    <w:nsid w:val="6D496900"/>
    <w:multiLevelType w:val="hybridMultilevel"/>
    <w:tmpl w:val="D528DF9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E3C4DA6"/>
    <w:multiLevelType w:val="hybridMultilevel"/>
    <w:tmpl w:val="AA5C218A"/>
    <w:lvl w:ilvl="0" w:tplc="04090017">
      <w:start w:val="1"/>
      <w:numFmt w:val="lowerLetter"/>
      <w:lvlText w:val="%1)"/>
      <w:lvlJc w:val="left"/>
      <w:pPr>
        <w:tabs>
          <w:tab w:val="num" w:pos="450"/>
        </w:tabs>
        <w:ind w:left="450" w:hanging="360"/>
      </w:pPr>
    </w:lvl>
    <w:lvl w:ilvl="1" w:tplc="48DA20EE">
      <w:start w:val="1"/>
      <w:numFmt w:val="decimal"/>
      <w:lvlText w:val="%2"/>
      <w:lvlJc w:val="left"/>
      <w:pPr>
        <w:tabs>
          <w:tab w:val="num" w:pos="1875"/>
        </w:tabs>
        <w:ind w:left="1875" w:hanging="795"/>
      </w:pPr>
      <w:rPr>
        <w:rFonts w:hint="default"/>
      </w:rPr>
    </w:lvl>
    <w:lvl w:ilvl="2" w:tplc="1B001E7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E6A26EA"/>
    <w:multiLevelType w:val="hybridMultilevel"/>
    <w:tmpl w:val="4A180894"/>
    <w:lvl w:ilvl="0" w:tplc="04090017">
      <w:start w:val="1"/>
      <w:numFmt w:val="lowerLetter"/>
      <w:lvlText w:val="%1)"/>
      <w:lvlJc w:val="left"/>
      <w:pPr>
        <w:tabs>
          <w:tab w:val="num" w:pos="1514"/>
        </w:tabs>
        <w:ind w:left="151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234"/>
        </w:tabs>
        <w:ind w:left="223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54"/>
        </w:tabs>
        <w:ind w:left="295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74"/>
        </w:tabs>
        <w:ind w:left="367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94"/>
        </w:tabs>
        <w:ind w:left="439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14"/>
        </w:tabs>
        <w:ind w:left="511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834"/>
        </w:tabs>
        <w:ind w:left="583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54"/>
        </w:tabs>
        <w:ind w:left="655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74"/>
        </w:tabs>
        <w:ind w:left="7274" w:hanging="180"/>
      </w:pPr>
    </w:lvl>
  </w:abstractNum>
  <w:abstractNum w:abstractNumId="26" w15:restartNumberingAfterBreak="0">
    <w:nsid w:val="7AF43A61"/>
    <w:multiLevelType w:val="hybridMultilevel"/>
    <w:tmpl w:val="B890094C"/>
    <w:lvl w:ilvl="0" w:tplc="0C78C4B4">
      <w:start w:val="1"/>
      <w:numFmt w:val="decimal"/>
      <w:lvlText w:val="%1"/>
      <w:lvlJc w:val="left"/>
      <w:pPr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C010BA4"/>
    <w:multiLevelType w:val="hybridMultilevel"/>
    <w:tmpl w:val="4AA87EB8"/>
    <w:lvl w:ilvl="0" w:tplc="27E61176">
      <w:start w:val="1"/>
      <w:numFmt w:val="lowerLetter"/>
      <w:lvlText w:val="%1)"/>
      <w:lvlJc w:val="left"/>
      <w:pPr>
        <w:tabs>
          <w:tab w:val="num" w:pos="795"/>
        </w:tabs>
        <w:ind w:left="795" w:hanging="795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7D450147"/>
    <w:multiLevelType w:val="hybridMultilevel"/>
    <w:tmpl w:val="166A2A8E"/>
    <w:lvl w:ilvl="0" w:tplc="1FF8DFF4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num w:numId="1" w16cid:durableId="1508400534">
    <w:abstractNumId w:val="28"/>
  </w:num>
  <w:num w:numId="2" w16cid:durableId="1539005737">
    <w:abstractNumId w:val="13"/>
  </w:num>
  <w:num w:numId="3" w16cid:durableId="1397506281">
    <w:abstractNumId w:val="1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2763375">
    <w:abstractNumId w:val="18"/>
  </w:num>
  <w:num w:numId="5" w16cid:durableId="769550680">
    <w:abstractNumId w:val="20"/>
  </w:num>
  <w:num w:numId="6" w16cid:durableId="1028213405">
    <w:abstractNumId w:val="8"/>
  </w:num>
  <w:num w:numId="7" w16cid:durableId="40861194">
    <w:abstractNumId w:val="6"/>
  </w:num>
  <w:num w:numId="8" w16cid:durableId="548878394">
    <w:abstractNumId w:val="26"/>
  </w:num>
  <w:num w:numId="9" w16cid:durableId="170867595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695314">
    <w:abstractNumId w:val="21"/>
  </w:num>
  <w:num w:numId="11" w16cid:durableId="1320033458">
    <w:abstractNumId w:val="4"/>
  </w:num>
  <w:num w:numId="12" w16cid:durableId="1625772228">
    <w:abstractNumId w:val="14"/>
  </w:num>
  <w:num w:numId="13" w16cid:durableId="1976832084">
    <w:abstractNumId w:val="15"/>
  </w:num>
  <w:num w:numId="14" w16cid:durableId="1031564875">
    <w:abstractNumId w:val="23"/>
  </w:num>
  <w:num w:numId="15" w16cid:durableId="163209178">
    <w:abstractNumId w:val="12"/>
  </w:num>
  <w:num w:numId="16" w16cid:durableId="922253490">
    <w:abstractNumId w:val="27"/>
  </w:num>
  <w:num w:numId="17" w16cid:durableId="100997407">
    <w:abstractNumId w:val="24"/>
  </w:num>
  <w:num w:numId="18" w16cid:durableId="1323191817">
    <w:abstractNumId w:val="19"/>
  </w:num>
  <w:num w:numId="19" w16cid:durableId="1344938320">
    <w:abstractNumId w:val="9"/>
  </w:num>
  <w:num w:numId="20" w16cid:durableId="1045105427">
    <w:abstractNumId w:val="16"/>
  </w:num>
  <w:num w:numId="21" w16cid:durableId="957953241">
    <w:abstractNumId w:val="10"/>
  </w:num>
  <w:num w:numId="22" w16cid:durableId="884409409">
    <w:abstractNumId w:val="22"/>
  </w:num>
  <w:num w:numId="23" w16cid:durableId="1534727971">
    <w:abstractNumId w:val="7"/>
  </w:num>
  <w:num w:numId="24" w16cid:durableId="108009643">
    <w:abstractNumId w:val="25"/>
  </w:num>
  <w:num w:numId="25" w16cid:durableId="160618409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mirrorMargins/>
  <w:proofState w:spelling="clean" w:grammar="clean"/>
  <w:attachedTemplate r:id="rId1"/>
  <w:stylePaneFormatFilter w:val="3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C26"/>
    <w:rsid w:val="00001053"/>
    <w:rsid w:val="00006C17"/>
    <w:rsid w:val="00011D78"/>
    <w:rsid w:val="00015A60"/>
    <w:rsid w:val="00017B45"/>
    <w:rsid w:val="00023463"/>
    <w:rsid w:val="0003503D"/>
    <w:rsid w:val="00060974"/>
    <w:rsid w:val="00063F9D"/>
    <w:rsid w:val="000B071B"/>
    <w:rsid w:val="000B47CD"/>
    <w:rsid w:val="000B5A36"/>
    <w:rsid w:val="000C22AE"/>
    <w:rsid w:val="000D378F"/>
    <w:rsid w:val="000D3CE4"/>
    <w:rsid w:val="000D5219"/>
    <w:rsid w:val="000D6DAE"/>
    <w:rsid w:val="000E4393"/>
    <w:rsid w:val="00117D80"/>
    <w:rsid w:val="001309FB"/>
    <w:rsid w:val="001762A1"/>
    <w:rsid w:val="001B4A76"/>
    <w:rsid w:val="001B5C6B"/>
    <w:rsid w:val="001C5240"/>
    <w:rsid w:val="001C604C"/>
    <w:rsid w:val="001D71B9"/>
    <w:rsid w:val="001F3813"/>
    <w:rsid w:val="002178BA"/>
    <w:rsid w:val="002204D5"/>
    <w:rsid w:val="002210D5"/>
    <w:rsid w:val="00227040"/>
    <w:rsid w:val="00237B40"/>
    <w:rsid w:val="002462EF"/>
    <w:rsid w:val="00246C17"/>
    <w:rsid w:val="00264852"/>
    <w:rsid w:val="002742C3"/>
    <w:rsid w:val="00281FC7"/>
    <w:rsid w:val="002C182C"/>
    <w:rsid w:val="002D336F"/>
    <w:rsid w:val="002D5607"/>
    <w:rsid w:val="002E1B7B"/>
    <w:rsid w:val="002E3038"/>
    <w:rsid w:val="002E6A20"/>
    <w:rsid w:val="00331B2F"/>
    <w:rsid w:val="003374BB"/>
    <w:rsid w:val="0035222D"/>
    <w:rsid w:val="0038237B"/>
    <w:rsid w:val="003C3FD9"/>
    <w:rsid w:val="003D116F"/>
    <w:rsid w:val="003D7A8C"/>
    <w:rsid w:val="003F293E"/>
    <w:rsid w:val="0041430A"/>
    <w:rsid w:val="00420F50"/>
    <w:rsid w:val="004568D2"/>
    <w:rsid w:val="004612A7"/>
    <w:rsid w:val="00462F6A"/>
    <w:rsid w:val="00467305"/>
    <w:rsid w:val="0048772A"/>
    <w:rsid w:val="004A58A4"/>
    <w:rsid w:val="004B7CB1"/>
    <w:rsid w:val="004E5019"/>
    <w:rsid w:val="004F2E56"/>
    <w:rsid w:val="00501F47"/>
    <w:rsid w:val="00504D1F"/>
    <w:rsid w:val="00524FB2"/>
    <w:rsid w:val="0053765D"/>
    <w:rsid w:val="00555B61"/>
    <w:rsid w:val="005569CA"/>
    <w:rsid w:val="00562EF2"/>
    <w:rsid w:val="00574CFF"/>
    <w:rsid w:val="005A7280"/>
    <w:rsid w:val="005D19E5"/>
    <w:rsid w:val="005D1D45"/>
    <w:rsid w:val="005D4393"/>
    <w:rsid w:val="00601999"/>
    <w:rsid w:val="00611CD0"/>
    <w:rsid w:val="00631549"/>
    <w:rsid w:val="006425B4"/>
    <w:rsid w:val="00647B88"/>
    <w:rsid w:val="00653C1B"/>
    <w:rsid w:val="006545B8"/>
    <w:rsid w:val="00665F6E"/>
    <w:rsid w:val="006678D7"/>
    <w:rsid w:val="006747A4"/>
    <w:rsid w:val="006824D9"/>
    <w:rsid w:val="00684F2B"/>
    <w:rsid w:val="00693D4F"/>
    <w:rsid w:val="00697D23"/>
    <w:rsid w:val="006B0459"/>
    <w:rsid w:val="006B5987"/>
    <w:rsid w:val="006E13C5"/>
    <w:rsid w:val="00706D36"/>
    <w:rsid w:val="00707551"/>
    <w:rsid w:val="007116DC"/>
    <w:rsid w:val="0071403C"/>
    <w:rsid w:val="00715B18"/>
    <w:rsid w:val="00717E4B"/>
    <w:rsid w:val="00720F3C"/>
    <w:rsid w:val="00726747"/>
    <w:rsid w:val="0073220E"/>
    <w:rsid w:val="0074102F"/>
    <w:rsid w:val="007550BF"/>
    <w:rsid w:val="007729D4"/>
    <w:rsid w:val="00780423"/>
    <w:rsid w:val="00781E25"/>
    <w:rsid w:val="007828CF"/>
    <w:rsid w:val="00783EB8"/>
    <w:rsid w:val="007958DD"/>
    <w:rsid w:val="007C00E3"/>
    <w:rsid w:val="007E0240"/>
    <w:rsid w:val="007F32A3"/>
    <w:rsid w:val="008075CD"/>
    <w:rsid w:val="00837339"/>
    <w:rsid w:val="00845E8E"/>
    <w:rsid w:val="0085089D"/>
    <w:rsid w:val="00851E30"/>
    <w:rsid w:val="0088751E"/>
    <w:rsid w:val="008968B6"/>
    <w:rsid w:val="008B4CF6"/>
    <w:rsid w:val="008B6349"/>
    <w:rsid w:val="008C7FC3"/>
    <w:rsid w:val="008D6D8D"/>
    <w:rsid w:val="00901958"/>
    <w:rsid w:val="009055E3"/>
    <w:rsid w:val="00905B41"/>
    <w:rsid w:val="00916468"/>
    <w:rsid w:val="0092650E"/>
    <w:rsid w:val="00931C08"/>
    <w:rsid w:val="00931EE1"/>
    <w:rsid w:val="009330E7"/>
    <w:rsid w:val="00934946"/>
    <w:rsid w:val="009423EF"/>
    <w:rsid w:val="0095090C"/>
    <w:rsid w:val="00974C0C"/>
    <w:rsid w:val="009755D7"/>
    <w:rsid w:val="009C2357"/>
    <w:rsid w:val="009D10A5"/>
    <w:rsid w:val="009D26AE"/>
    <w:rsid w:val="009D3A40"/>
    <w:rsid w:val="009D7132"/>
    <w:rsid w:val="009E1DCF"/>
    <w:rsid w:val="009F7009"/>
    <w:rsid w:val="00A01A91"/>
    <w:rsid w:val="00A21D2D"/>
    <w:rsid w:val="00A23A35"/>
    <w:rsid w:val="00A24E9A"/>
    <w:rsid w:val="00A26B1A"/>
    <w:rsid w:val="00A3085D"/>
    <w:rsid w:val="00A4766C"/>
    <w:rsid w:val="00A65D98"/>
    <w:rsid w:val="00A80E5D"/>
    <w:rsid w:val="00A83D3D"/>
    <w:rsid w:val="00A90F7A"/>
    <w:rsid w:val="00AA1264"/>
    <w:rsid w:val="00AA2D89"/>
    <w:rsid w:val="00AC4AF1"/>
    <w:rsid w:val="00AE4C26"/>
    <w:rsid w:val="00B150A9"/>
    <w:rsid w:val="00B23929"/>
    <w:rsid w:val="00B241C9"/>
    <w:rsid w:val="00B3059C"/>
    <w:rsid w:val="00B33CAA"/>
    <w:rsid w:val="00B50CB4"/>
    <w:rsid w:val="00B50D4E"/>
    <w:rsid w:val="00B50F17"/>
    <w:rsid w:val="00B56BC0"/>
    <w:rsid w:val="00B67290"/>
    <w:rsid w:val="00B73379"/>
    <w:rsid w:val="00B73B62"/>
    <w:rsid w:val="00B92804"/>
    <w:rsid w:val="00BB34EA"/>
    <w:rsid w:val="00BE58E6"/>
    <w:rsid w:val="00BF610E"/>
    <w:rsid w:val="00C12E70"/>
    <w:rsid w:val="00C32F69"/>
    <w:rsid w:val="00C42785"/>
    <w:rsid w:val="00C437DF"/>
    <w:rsid w:val="00C63087"/>
    <w:rsid w:val="00C64078"/>
    <w:rsid w:val="00C706FC"/>
    <w:rsid w:val="00C72AF4"/>
    <w:rsid w:val="00CB6046"/>
    <w:rsid w:val="00CD10C2"/>
    <w:rsid w:val="00CD3865"/>
    <w:rsid w:val="00CE767E"/>
    <w:rsid w:val="00CF024D"/>
    <w:rsid w:val="00D20887"/>
    <w:rsid w:val="00D26ECC"/>
    <w:rsid w:val="00D324F1"/>
    <w:rsid w:val="00D4292A"/>
    <w:rsid w:val="00D44731"/>
    <w:rsid w:val="00D457B6"/>
    <w:rsid w:val="00D50046"/>
    <w:rsid w:val="00D54881"/>
    <w:rsid w:val="00D66950"/>
    <w:rsid w:val="00D76D88"/>
    <w:rsid w:val="00D8497D"/>
    <w:rsid w:val="00D94D9E"/>
    <w:rsid w:val="00DA7D60"/>
    <w:rsid w:val="00DB2AF8"/>
    <w:rsid w:val="00DB5592"/>
    <w:rsid w:val="00DE48B4"/>
    <w:rsid w:val="00E03ABC"/>
    <w:rsid w:val="00E154E2"/>
    <w:rsid w:val="00E20918"/>
    <w:rsid w:val="00E300EC"/>
    <w:rsid w:val="00E51820"/>
    <w:rsid w:val="00E56BAB"/>
    <w:rsid w:val="00E60A09"/>
    <w:rsid w:val="00E67297"/>
    <w:rsid w:val="00E758D6"/>
    <w:rsid w:val="00E82452"/>
    <w:rsid w:val="00E83C1C"/>
    <w:rsid w:val="00E84CE6"/>
    <w:rsid w:val="00E96B11"/>
    <w:rsid w:val="00E96C27"/>
    <w:rsid w:val="00E976D9"/>
    <w:rsid w:val="00EA12A2"/>
    <w:rsid w:val="00EA2A26"/>
    <w:rsid w:val="00EB3556"/>
    <w:rsid w:val="00EC4642"/>
    <w:rsid w:val="00EE1126"/>
    <w:rsid w:val="00EE2FE2"/>
    <w:rsid w:val="00EE4B7A"/>
    <w:rsid w:val="00F0099E"/>
    <w:rsid w:val="00F12607"/>
    <w:rsid w:val="00F15F98"/>
    <w:rsid w:val="00F251B6"/>
    <w:rsid w:val="00F34748"/>
    <w:rsid w:val="00F4281C"/>
    <w:rsid w:val="00F4544A"/>
    <w:rsid w:val="00F576B9"/>
    <w:rsid w:val="00F67E96"/>
    <w:rsid w:val="00F9579B"/>
    <w:rsid w:val="00FA70B7"/>
    <w:rsid w:val="00FD23A9"/>
    <w:rsid w:val="00FD7F88"/>
    <w:rsid w:val="00FE715C"/>
    <w:rsid w:val="00FF0521"/>
    <w:rsid w:val="00FF2798"/>
    <w:rsid w:val="00FF6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0CE57DB"/>
  <w15:docId w15:val="{4EFD016A-5C5C-47F6-9039-194AE1CE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6349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rFonts w:ascii="Times New Roman" w:hAnsi="Times New Roman"/>
      <w:sz w:val="22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qFormat/>
    <w:pPr>
      <w:spacing w:before="360"/>
      <w:outlineLvl w:val="1"/>
    </w:pPr>
  </w:style>
  <w:style w:type="paragraph" w:styleId="Heading3">
    <w:name w:val="heading 3"/>
    <w:basedOn w:val="Heading1"/>
    <w:next w:val="Normal"/>
    <w:qFormat/>
    <w:pPr>
      <w:spacing w:before="24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</w:style>
  <w:style w:type="paragraph" w:styleId="TOC4">
    <w:name w:val="toc 4"/>
    <w:basedOn w:val="TOC3"/>
    <w:semiHidden/>
  </w:style>
  <w:style w:type="paragraph" w:styleId="TOC3">
    <w:name w:val="toc 3"/>
    <w:basedOn w:val="TOC2"/>
    <w:semiHidden/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1">
    <w:name w:val="toc 1"/>
    <w:basedOn w:val="Normal"/>
    <w:semiHidden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</w:style>
  <w:style w:type="paragraph" w:styleId="TOC6">
    <w:name w:val="toc 6"/>
    <w:basedOn w:val="TOC4"/>
    <w:semiHidden/>
  </w:style>
  <w:style w:type="paragraph" w:styleId="TOC5">
    <w:name w:val="toc 5"/>
    <w:basedOn w:val="TOC4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character" w:styleId="FootnoteReference">
    <w:name w:val="footnote reference"/>
    <w:rsid w:val="00B3059C"/>
    <w:rPr>
      <w:position w:val="6"/>
      <w:sz w:val="16"/>
    </w:rPr>
  </w:style>
  <w:style w:type="paragraph" w:styleId="FootnoteText">
    <w:name w:val="footnote text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 w:line="240" w:lineRule="exact"/>
    </w:pPr>
    <w:rPr>
      <w:sz w:val="20"/>
    </w:rPr>
  </w:style>
  <w:style w:type="character" w:customStyle="1" w:styleId="FootnoteTextChar">
    <w:name w:val="Footnote Text Char"/>
    <w:link w:val="FootnoteText"/>
    <w:qFormat/>
    <w:rsid w:val="003374BB"/>
    <w:rPr>
      <w:lang w:val="fr-FR" w:eastAsia="en-US" w:bidi="ar-SA"/>
    </w:rPr>
  </w:style>
  <w:style w:type="paragraph" w:customStyle="1" w:styleId="enumlev1">
    <w:name w:val="enumlev1"/>
    <w:basedOn w:val="Normal"/>
    <w:link w:val="enumlev1Char"/>
    <w:qFormat/>
    <w:pPr>
      <w:spacing w:before="80"/>
      <w:ind w:left="794" w:hanging="794"/>
    </w:pPr>
  </w:style>
  <w:style w:type="character" w:customStyle="1" w:styleId="enumlev1Char">
    <w:name w:val="enumlev1 Char"/>
    <w:link w:val="enumlev1"/>
    <w:qFormat/>
    <w:rsid w:val="003374BB"/>
    <w:rPr>
      <w:sz w:val="22"/>
      <w:lang w:val="fr-FR" w:eastAsia="en-US" w:bidi="ar-SA"/>
    </w:r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</w:style>
  <w:style w:type="paragraph" w:customStyle="1" w:styleId="Chaptitle">
    <w:name w:val="Chap_titl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pPr>
      <w:spacing w:before="400"/>
    </w:pPr>
  </w:style>
  <w:style w:type="character" w:styleId="PageNumber">
    <w:name w:val="page number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pPr>
      <w:jc w:val="left"/>
    </w:pPr>
  </w:style>
  <w:style w:type="paragraph" w:styleId="BodyTextFirstIndent">
    <w:name w:val="Body Text First Indent"/>
    <w:basedOn w:val="BodyText"/>
    <w:rsid w:val="00EE1126"/>
    <w:pPr>
      <w:spacing w:after="120"/>
      <w:ind w:firstLine="210"/>
    </w:pPr>
    <w:rPr>
      <w:rFonts w:ascii="Times New Roman" w:hAnsi="Times New Roman" w:cs="Times New Roman"/>
      <w:b w:val="0"/>
      <w:bCs w:val="0"/>
      <w:sz w:val="22"/>
    </w:rPr>
  </w:style>
  <w:style w:type="paragraph" w:styleId="BodyText">
    <w:name w:val="Body Text"/>
    <w:basedOn w:val="Normal"/>
    <w:link w:val="BodyTextChar"/>
    <w:uiPriority w:val="1"/>
    <w:qFormat/>
    <w:rPr>
      <w:rFonts w:ascii="Arial" w:hAnsi="Arial" w:cs="Arial"/>
      <w:b/>
      <w:bCs/>
      <w:sz w:val="36"/>
    </w:rPr>
  </w:style>
  <w:style w:type="paragraph" w:customStyle="1" w:styleId="AnnexNoTitle">
    <w:name w:val="Annex_NoTitle"/>
    <w:basedOn w:val="Normal"/>
    <w:next w:val="Normalaftertitle"/>
    <w:pPr>
      <w:keepNext/>
      <w:keepLines/>
      <w:spacing w:before="720" w:after="120"/>
      <w:jc w:val="center"/>
    </w:pPr>
    <w:rPr>
      <w:b/>
      <w:sz w:val="24"/>
    </w:rPr>
  </w:style>
  <w:style w:type="character" w:customStyle="1" w:styleId="Appdef">
    <w:name w:val="App_def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paragraph" w:customStyle="1" w:styleId="AppendixNoTitle">
    <w:name w:val="Appendix_NoTitle"/>
    <w:basedOn w:val="AnnexNoTitle"/>
    <w:next w:val="Normalaftertitle"/>
  </w:style>
  <w:style w:type="character" w:customStyle="1" w:styleId="Artdef">
    <w:name w:val="Art_def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</w:style>
  <w:style w:type="paragraph" w:customStyle="1" w:styleId="Call">
    <w:name w:val="Call"/>
    <w:basedOn w:val="Normal"/>
    <w:next w:val="Normal"/>
    <w:link w:val="CallChar"/>
    <w:uiPriority w:val="99"/>
    <w:pPr>
      <w:keepNext/>
      <w:keepLines/>
      <w:spacing w:before="240"/>
      <w:ind w:left="794"/>
      <w:jc w:val="left"/>
    </w:pPr>
    <w:rPr>
      <w:i/>
    </w:rPr>
  </w:style>
  <w:style w:type="character" w:customStyle="1" w:styleId="CallChar">
    <w:name w:val="Call Char"/>
    <w:link w:val="Call"/>
    <w:rsid w:val="00E03ABC"/>
    <w:rPr>
      <w:i/>
      <w:sz w:val="22"/>
      <w:lang w:val="fr-FR" w:eastAsia="en-US" w:bidi="ar-SA"/>
    </w:rPr>
  </w:style>
  <w:style w:type="paragraph" w:customStyle="1" w:styleId="ChapNo">
    <w:name w:val="Chap_No"/>
    <w:basedOn w:val="Normal"/>
    <w:next w:val="Chaptitle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pPr>
      <w:ind w:left="284"/>
      <w:jc w:val="left"/>
    </w:pPr>
  </w:style>
  <w:style w:type="paragraph" w:styleId="Index3">
    <w:name w:val="index 3"/>
    <w:basedOn w:val="Normal"/>
    <w:next w:val="Normal"/>
    <w:semiHidden/>
    <w:pPr>
      <w:ind w:left="567"/>
      <w:jc w:val="left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RecNo">
    <w:name w:val="Rec_No"/>
    <w:basedOn w:val="Normal"/>
    <w:next w:val="Rectitle"/>
    <w:link w:val="RecNoChar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character" w:customStyle="1" w:styleId="RecNoChar">
    <w:name w:val="Rec_No Char"/>
    <w:link w:val="RecNo"/>
    <w:rsid w:val="003D7A8C"/>
    <w:rPr>
      <w:b/>
      <w:sz w:val="28"/>
      <w:lang w:val="fr-FR" w:eastAsia="en-US" w:bidi="ar-SA"/>
    </w:rPr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character" w:customStyle="1" w:styleId="Resdef">
    <w:name w:val="Res_def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link w:val="ResNoChar"/>
    <w:rsid w:val="00A80E5D"/>
    <w:pPr>
      <w:tabs>
        <w:tab w:val="clear" w:pos="794"/>
        <w:tab w:val="clear" w:pos="1191"/>
        <w:tab w:val="clear" w:pos="1588"/>
        <w:tab w:val="clear" w:pos="1985"/>
      </w:tabs>
      <w:jc w:val="center"/>
      <w:outlineLvl w:val="0"/>
    </w:pPr>
    <w:rPr>
      <w:b w:val="0"/>
      <w:caps/>
      <w:sz w:val="26"/>
    </w:rPr>
  </w:style>
  <w:style w:type="paragraph" w:customStyle="1" w:styleId="Restitle">
    <w:name w:val="Res_title"/>
    <w:basedOn w:val="Rectitle"/>
    <w:next w:val="Resref"/>
    <w:link w:val="RestitleChar"/>
    <w:uiPriority w:val="99"/>
    <w:rsid w:val="00A80E5D"/>
    <w:pPr>
      <w:outlineLvl w:val="0"/>
    </w:pPr>
    <w:rPr>
      <w:sz w:val="26"/>
    </w:rPr>
  </w:style>
  <w:style w:type="paragraph" w:customStyle="1" w:styleId="Resref">
    <w:name w:val="Res_ref"/>
    <w:basedOn w:val="Recref"/>
    <w:next w:val="Resdate"/>
    <w:uiPriority w:val="99"/>
    <w:qFormat/>
  </w:style>
  <w:style w:type="character" w:customStyle="1" w:styleId="RestitleChar">
    <w:name w:val="Res_title Char"/>
    <w:link w:val="Restitle"/>
    <w:uiPriority w:val="99"/>
    <w:rsid w:val="00A80E5D"/>
    <w:rPr>
      <w:rFonts w:ascii="Times New Roman" w:hAnsi="Times New Roman"/>
      <w:b/>
      <w:sz w:val="26"/>
      <w:lang w:val="fr-FR" w:eastAsia="en-US"/>
    </w:rPr>
  </w:style>
  <w:style w:type="character" w:customStyle="1" w:styleId="ResNoChar">
    <w:name w:val="Res_No Char"/>
    <w:link w:val="ResNo"/>
    <w:rsid w:val="00A80E5D"/>
    <w:rPr>
      <w:rFonts w:ascii="Times New Roman" w:hAnsi="Times New Roman"/>
      <w:caps/>
      <w:sz w:val="26"/>
      <w:lang w:val="fr-FR" w:eastAsia="en-US"/>
    </w:rPr>
  </w:style>
  <w:style w:type="paragraph" w:customStyle="1" w:styleId="SectionNo">
    <w:name w:val="Section_No"/>
    <w:basedOn w:val="Normal"/>
    <w:next w:val="Sectiontitle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character" w:customStyle="1" w:styleId="Tablefreq">
    <w:name w:val="Table_freq"/>
    <w:rPr>
      <w:b/>
      <w:color w:val="auto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  <w:jc w:val="left"/>
    </w:pPr>
    <w:rPr>
      <w:sz w:val="2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</w:rPr>
  </w:style>
  <w:style w:type="paragraph" w:styleId="Index5">
    <w:name w:val="index 5"/>
    <w:basedOn w:val="Normal"/>
    <w:next w:val="Normal"/>
    <w:semiHidden/>
    <w:pPr>
      <w:ind w:left="1132"/>
      <w:jc w:val="left"/>
    </w:pPr>
    <w:rPr>
      <w:sz w:val="24"/>
      <w:lang w:val="en-GB"/>
    </w:rPr>
  </w:style>
  <w:style w:type="paragraph" w:styleId="Index4">
    <w:name w:val="index 4"/>
    <w:basedOn w:val="Normal"/>
    <w:next w:val="Normal"/>
    <w:semiHidden/>
    <w:pPr>
      <w:ind w:left="849"/>
      <w:jc w:val="left"/>
    </w:pPr>
    <w:rPr>
      <w:sz w:val="24"/>
      <w:lang w:val="en-GB"/>
    </w:rPr>
  </w:style>
  <w:style w:type="paragraph" w:styleId="BodyText2">
    <w:name w:val="Body Text 2"/>
    <w:basedOn w:val="Normal"/>
    <w:pPr>
      <w:tabs>
        <w:tab w:val="right" w:pos="9639"/>
      </w:tabs>
      <w:spacing w:before="400" w:line="440" w:lineRule="exact"/>
      <w:jc w:val="left"/>
    </w:pPr>
    <w:rPr>
      <w:rFonts w:ascii="Arial" w:hAnsi="Arial" w:cs="Arial"/>
      <w:b/>
      <w:bCs/>
      <w:sz w:val="36"/>
    </w:rPr>
  </w:style>
  <w:style w:type="character" w:customStyle="1" w:styleId="href">
    <w:name w:val="href"/>
    <w:basedOn w:val="DefaultParagraphFont"/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  <w:rPr>
      <w:sz w:val="24"/>
      <w:lang w:val="en-GB"/>
    </w:rPr>
  </w:style>
  <w:style w:type="paragraph" w:customStyle="1" w:styleId="blanc">
    <w:name w:val="blanc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left"/>
    </w:pPr>
    <w:rPr>
      <w:sz w:val="2"/>
      <w:lang w:val="en-US"/>
    </w:rPr>
  </w:style>
  <w:style w:type="paragraph" w:customStyle="1" w:styleId="NormalIndent">
    <w:name w:val="Normal_Indent"/>
    <w:basedOn w:val="Normal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  <w:jc w:val="left"/>
    </w:pPr>
  </w:style>
  <w:style w:type="paragraph" w:customStyle="1" w:styleId="TableTitle">
    <w:name w:val="Table_Title"/>
    <w:basedOn w:val="Normal"/>
    <w:next w:val="Tabletext"/>
    <w:rsid w:val="00A01A91"/>
    <w:pPr>
      <w:keepNext/>
      <w:keepLines/>
      <w:spacing w:before="480" w:after="120"/>
      <w:jc w:val="center"/>
    </w:pPr>
    <w:rPr>
      <w:b/>
      <w:sz w:val="24"/>
      <w:lang w:val="en-GB"/>
    </w:rPr>
  </w:style>
  <w:style w:type="paragraph" w:customStyle="1" w:styleId="Normalaftertitle0">
    <w:name w:val="Normal after title"/>
    <w:basedOn w:val="Normal"/>
    <w:next w:val="Normal"/>
    <w:link w:val="NormalaftertitleChar"/>
    <w:rsid w:val="004A58A4"/>
    <w:pPr>
      <w:spacing w:before="280"/>
    </w:pPr>
    <w:rPr>
      <w:lang w:val="en-GB"/>
    </w:rPr>
  </w:style>
  <w:style w:type="character" w:customStyle="1" w:styleId="docdisplay">
    <w:name w:val="doc_display"/>
    <w:basedOn w:val="DefaultParagraphFont"/>
    <w:rsid w:val="00A83D3D"/>
  </w:style>
  <w:style w:type="paragraph" w:customStyle="1" w:styleId="AnnexNo">
    <w:name w:val="Anne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character" w:customStyle="1" w:styleId="CharChar">
    <w:name w:val="Char Char"/>
    <w:semiHidden/>
    <w:locked/>
    <w:rsid w:val="009D26AE"/>
    <w:rPr>
      <w:sz w:val="24"/>
      <w:lang w:val="en-GB" w:eastAsia="en-US" w:bidi="ar-SA"/>
    </w:rPr>
  </w:style>
  <w:style w:type="character" w:customStyle="1" w:styleId="NormalaftertitleChar">
    <w:name w:val="Normal after title Char"/>
    <w:link w:val="Normalaftertitle0"/>
    <w:locked/>
    <w:rsid w:val="004A58A4"/>
    <w:rPr>
      <w:rFonts w:ascii="Times New Roman" w:hAnsi="Times New Roman"/>
      <w:sz w:val="22"/>
      <w:lang w:val="en-GB" w:eastAsia="en-US"/>
    </w:rPr>
  </w:style>
  <w:style w:type="paragraph" w:styleId="BodyTextIndent">
    <w:name w:val="Body Text Indent"/>
    <w:basedOn w:val="Normal"/>
    <w:rsid w:val="00EE1126"/>
    <w:pPr>
      <w:spacing w:after="120"/>
      <w:ind w:left="283"/>
    </w:pPr>
  </w:style>
  <w:style w:type="paragraph" w:styleId="List2">
    <w:name w:val="List 2"/>
    <w:basedOn w:val="Normal"/>
    <w:rsid w:val="00EE1126"/>
    <w:pPr>
      <w:ind w:left="566" w:hanging="283"/>
    </w:pPr>
    <w:rPr>
      <w:sz w:val="24"/>
    </w:rPr>
  </w:style>
  <w:style w:type="paragraph" w:styleId="BodyTextIndent2">
    <w:name w:val="Body Text Indent 2"/>
    <w:basedOn w:val="Normal"/>
    <w:rsid w:val="008B4CF6"/>
    <w:pPr>
      <w:spacing w:after="120" w:line="480" w:lineRule="auto"/>
      <w:ind w:left="283"/>
    </w:pPr>
  </w:style>
  <w:style w:type="paragraph" w:customStyle="1" w:styleId="Formal">
    <w:name w:val="Formal"/>
    <w:basedOn w:val="ASN1"/>
    <w:rsid w:val="008B4CF6"/>
    <w:pPr>
      <w:overflowPunct w:val="0"/>
      <w:autoSpaceDE w:val="0"/>
      <w:autoSpaceDN w:val="0"/>
      <w:adjustRightInd w:val="0"/>
      <w:textAlignment w:val="baseline"/>
    </w:pPr>
    <w:rPr>
      <w:b w:val="0"/>
      <w:lang w:val="en-US"/>
    </w:rPr>
  </w:style>
  <w:style w:type="paragraph" w:customStyle="1" w:styleId="FigureNo">
    <w:name w:val="Figure_No"/>
    <w:basedOn w:val="Normal"/>
    <w:next w:val="Figuretitle"/>
    <w:uiPriority w:val="99"/>
    <w:rsid w:val="000E4393"/>
    <w:pPr>
      <w:keepNext/>
      <w:keepLines/>
      <w:spacing w:before="480" w:after="120"/>
      <w:jc w:val="center"/>
    </w:pPr>
    <w:rPr>
      <w:caps/>
      <w:sz w:val="24"/>
      <w:lang w:val="en-GB"/>
    </w:rPr>
  </w:style>
  <w:style w:type="paragraph" w:customStyle="1" w:styleId="Figuretitle">
    <w:name w:val="Figure_title"/>
    <w:basedOn w:val="Normal"/>
    <w:next w:val="Normal"/>
    <w:rsid w:val="000E4393"/>
    <w:pPr>
      <w:keepLines/>
      <w:spacing w:before="0" w:after="480"/>
      <w:jc w:val="center"/>
    </w:pPr>
    <w:rPr>
      <w:rFonts w:ascii="Times New Roman Bold" w:hAnsi="Times New Roman Bold"/>
      <w:b/>
      <w:sz w:val="24"/>
      <w:lang w:val="en-GB"/>
    </w:rPr>
  </w:style>
  <w:style w:type="paragraph" w:customStyle="1" w:styleId="AppendixNo">
    <w:name w:val="Appendix_No"/>
    <w:basedOn w:val="Normal"/>
    <w:next w:val="Normal"/>
    <w:rsid w:val="00C437DF"/>
    <w:pPr>
      <w:keepNext/>
      <w:keepLines/>
      <w:spacing w:before="480" w:after="80"/>
      <w:jc w:val="center"/>
    </w:pPr>
    <w:rPr>
      <w:caps/>
      <w:sz w:val="26"/>
      <w:lang w:val="en-GB"/>
    </w:rPr>
  </w:style>
  <w:style w:type="paragraph" w:customStyle="1" w:styleId="Appendixtitle">
    <w:name w:val="Appendix_title"/>
    <w:basedOn w:val="Normal"/>
    <w:next w:val="Normal"/>
    <w:rsid w:val="00C437DF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AA1264"/>
    <w:rPr>
      <w:rFonts w:ascii="Times New Roman" w:hAnsi="Times New Roman"/>
      <w:sz w:val="22"/>
      <w:lang w:val="fr-FR" w:eastAsia="en-US"/>
    </w:rPr>
  </w:style>
  <w:style w:type="character" w:customStyle="1" w:styleId="HeaderChar">
    <w:name w:val="Header Char"/>
    <w:basedOn w:val="DefaultParagraphFont"/>
    <w:link w:val="Header"/>
    <w:rsid w:val="00AA1264"/>
    <w:rPr>
      <w:rFonts w:ascii="Times New Roman" w:hAnsi="Times New Roman"/>
      <w:sz w:val="18"/>
      <w:lang w:val="fr-FR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EA2A26"/>
    <w:rPr>
      <w:rFonts w:ascii="Arial" w:hAnsi="Arial" w:cs="Arial"/>
      <w:b/>
      <w:bCs/>
      <w:sz w:val="36"/>
      <w:lang w:val="fr-FR" w:eastAsia="en-US"/>
    </w:rPr>
  </w:style>
  <w:style w:type="character" w:styleId="Strong">
    <w:name w:val="Strong"/>
    <w:basedOn w:val="DefaultParagraphFont"/>
    <w:uiPriority w:val="22"/>
    <w:qFormat/>
    <w:rsid w:val="002D336F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D19E5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D19E5"/>
    <w:rPr>
      <w:rFonts w:ascii="Times New Roman" w:hAnsi="Times New Roman"/>
      <w:lang w:val="fr-FR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5D19E5"/>
    <w:rPr>
      <w:rFonts w:ascii="Times New Roman" w:hAnsi="Times New Roman"/>
      <w:b/>
      <w:bCs/>
      <w:lang w:val="fr-FR" w:eastAsia="en-US"/>
    </w:rPr>
  </w:style>
  <w:style w:type="paragraph" w:customStyle="1" w:styleId="Reasons">
    <w:name w:val="Reasons"/>
    <w:basedOn w:val="Normal"/>
    <w:uiPriority w:val="99"/>
    <w:rsid w:val="008B6349"/>
    <w:pPr>
      <w:tabs>
        <w:tab w:val="clear" w:pos="794"/>
        <w:tab w:val="clear" w:pos="1191"/>
        <w:tab w:val="left" w:pos="1134"/>
      </w:tabs>
      <w:jc w:val="left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footer" Target="footer8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erdyeva\AppData\Roaming\Microsoft\Templates\TSB%20PUB\T-REC-FINAL-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T-REC-FINAL-R.dotm</Template>
  <TotalTime>60</TotalTime>
  <Pages>4</Pages>
  <Words>661</Words>
  <Characters>4955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РЕЗОЛЮЦИЯ 60 (Пересм. Нью-Дели, 2024 г.) Реагирование на задачи развития системы идентификации/нумерации и ее конвергенции с системами/сетями на основе протокола Интернет</vt:lpstr>
    </vt:vector>
  </TitlesOfParts>
  <Company>ITU</Company>
  <LinksUpToDate>false</LinksUpToDate>
  <CharactersWithSpaces>5605</CharactersWithSpaces>
  <SharedDoc>false</SharedDoc>
  <HLinks>
    <vt:vector size="6" baseType="variant">
      <vt:variant>
        <vt:i4>5832781</vt:i4>
      </vt:variant>
      <vt:variant>
        <vt:i4>2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РЕЗОЛЮЦИЯ 60 (Пересм. Нью-Дели, 2024 г.) Реагирование на задачи развития системы идентификации/нумерации и ее конвергенции с системами/сетями на основе протокола Интернет</dc:title>
  <dc:subject>WORLD TELECOMMUNICATION STANDARDIZATION ASSEMBLY - Florianópolis, 5-14 October 2004</dc:subject>
  <dc:creator>ITU-T</dc:creator>
  <cp:keywords/>
  <dc:description/>
  <cp:lastModifiedBy>Berdyeva, Elena</cp:lastModifiedBy>
  <cp:revision>37</cp:revision>
  <cp:lastPrinted>2024-11-27T11:41:00Z</cp:lastPrinted>
  <dcterms:created xsi:type="dcterms:W3CDTF">2024-09-24T12:18:00Z</dcterms:created>
  <dcterms:modified xsi:type="dcterms:W3CDTF">2024-11-27T11:42:00Z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