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741F4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741F46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741F46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E5070F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BE0ACB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E5070F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E5070F" w:rsidRPr="00E5070F">
              <w:rPr>
                <w:rFonts w:ascii="Arial" w:hAnsi="Arial"/>
                <w:b/>
                <w:bCs/>
                <w:sz w:val="36"/>
                <w:lang w:val="en-US"/>
              </w:rPr>
              <w:t>Enhancing participation of telecommunication operators from developing countries</w:t>
            </w:r>
          </w:p>
        </w:tc>
      </w:tr>
      <w:bookmarkEnd w:id="6"/>
      <w:tr w:rsidR="008968B6" w:rsidRPr="00741F46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797473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797473">
        <w:rPr>
          <w:rStyle w:val="href"/>
          <w:lang w:val="en-US"/>
        </w:rPr>
        <w:t>59</w:t>
      </w:r>
      <w:r w:rsidR="00741F46">
        <w:rPr>
          <w:rStyle w:val="href"/>
          <w:lang w:val="en-US"/>
        </w:rPr>
        <w:t xml:space="preserve"> </w:t>
      </w:r>
      <w:r w:rsidR="00741F46" w:rsidRPr="00F81B8E">
        <w:rPr>
          <w:lang w:val="en-GB"/>
        </w:rPr>
        <w:t>(R</w:t>
      </w:r>
      <w:r w:rsidR="00741F46" w:rsidRPr="00F81B8E">
        <w:rPr>
          <w:caps w:val="0"/>
          <w:lang w:val="en-GB"/>
        </w:rPr>
        <w:t>ev.</w:t>
      </w:r>
      <w:r w:rsidR="00741F46" w:rsidRPr="00F81B8E">
        <w:rPr>
          <w:lang w:val="en-GB"/>
        </w:rPr>
        <w:t xml:space="preserve"> </w:t>
      </w:r>
      <w:r w:rsidR="00741F46" w:rsidRPr="00F81B8E">
        <w:rPr>
          <w:caps w:val="0"/>
          <w:lang w:val="en-GB"/>
        </w:rPr>
        <w:t>Dubai, 2012)</w:t>
      </w:r>
      <w:bookmarkStart w:id="12" w:name="_GoBack"/>
      <w:bookmarkEnd w:id="12"/>
    </w:p>
    <w:p w:rsidR="00797473" w:rsidRPr="00F81B8E" w:rsidRDefault="00797473" w:rsidP="00797473">
      <w:pPr>
        <w:pStyle w:val="Restitle"/>
        <w:rPr>
          <w:lang w:val="en-GB"/>
        </w:rPr>
      </w:pPr>
      <w:r w:rsidRPr="00F81B8E">
        <w:rPr>
          <w:lang w:val="en-GB"/>
        </w:rPr>
        <w:t xml:space="preserve">Enhancing participation of telecommunication operators </w:t>
      </w:r>
      <w:r w:rsidRPr="00F81B8E">
        <w:rPr>
          <w:lang w:val="en-GB"/>
        </w:rPr>
        <w:br/>
        <w:t>from developing countries</w:t>
      </w:r>
      <w:r w:rsidRPr="00F81B8E">
        <w:rPr>
          <w:rStyle w:val="FootnoteReference"/>
          <w:lang w:val="en-GB"/>
        </w:rPr>
        <w:footnoteReference w:customMarkFollows="1" w:id="1"/>
        <w:t>1</w:t>
      </w:r>
      <w:r w:rsidRPr="00F81B8E">
        <w:rPr>
          <w:lang w:val="en-GB"/>
        </w:rPr>
        <w:t xml:space="preserve"> </w:t>
      </w:r>
    </w:p>
    <w:p w:rsidR="00797473" w:rsidRPr="00F81B8E" w:rsidRDefault="00797473" w:rsidP="00797473">
      <w:pPr>
        <w:pStyle w:val="Resref"/>
        <w:rPr>
          <w:lang w:val="en-GB"/>
        </w:rPr>
      </w:pPr>
      <w:r w:rsidRPr="00F81B8E">
        <w:rPr>
          <w:lang w:val="en-GB"/>
        </w:rPr>
        <w:t>(Johannesburg, 2008; Dubai, 2012)</w:t>
      </w:r>
    </w:p>
    <w:p w:rsidR="00797473" w:rsidRPr="00F81B8E" w:rsidRDefault="00797473" w:rsidP="00797473">
      <w:pPr>
        <w:pStyle w:val="Normalaftertitle0"/>
      </w:pPr>
      <w:r w:rsidRPr="00F81B8E">
        <w:t>The World Telecommunication Standardization Assembly (Dubai, 2012),</w:t>
      </w:r>
    </w:p>
    <w:p w:rsidR="00797473" w:rsidRPr="00F81B8E" w:rsidRDefault="00797473" w:rsidP="00797473">
      <w:pPr>
        <w:pStyle w:val="Call"/>
        <w:rPr>
          <w:lang w:val="en-GB"/>
        </w:rPr>
      </w:pPr>
      <w:r w:rsidRPr="00F81B8E">
        <w:rPr>
          <w:lang w:val="en-GB"/>
        </w:rPr>
        <w:t>recognizing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 xml:space="preserve">that the participation by operators from developing countries in standardization activities is weak; 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the majority of these operators are subsidiaries of developed countries' telecommunication companies which are Sector Members;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that the strategic objectives of Sector Members from developed countries participating in activities of the ITU Telecommunication Standardization Sector (ITU</w:t>
      </w:r>
      <w:r w:rsidRPr="00F81B8E">
        <w:rPr>
          <w:lang w:val="en-GB"/>
        </w:rPr>
        <w:noBreakHyphen/>
        <w:t>T) do not necessarily include the participation of their subsidiary entities;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that those developing countries' telecommunication operators are placing particular emphasis on information and communication technology (ICT) operation and infrastructure deployment, to the disadvantage of standardization activities;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e)</w:t>
      </w:r>
      <w:r w:rsidRPr="00F81B8E">
        <w:rPr>
          <w:lang w:val="en-GB"/>
        </w:rPr>
        <w:tab/>
      </w:r>
      <w:r w:rsidRPr="00F81B8E">
        <w:rPr>
          <w:rFonts w:eastAsia="Malgun Gothic"/>
          <w:szCs w:val="24"/>
          <w:lang w:val="en-GB"/>
        </w:rPr>
        <w:t xml:space="preserve">that the Plenipotentiary Conference adopted Resolution 170 (Guadalajara, 2010), on </w:t>
      </w:r>
      <w:r w:rsidRPr="00F81B8E">
        <w:rPr>
          <w:lang w:val="en-GB"/>
        </w:rPr>
        <w:t>the impact of ITU Recommendations on the activities of Sector Members,</w:t>
      </w:r>
    </w:p>
    <w:p w:rsidR="00797473" w:rsidRPr="00F81B8E" w:rsidRDefault="00797473" w:rsidP="00797473">
      <w:pPr>
        <w:pStyle w:val="Call"/>
        <w:rPr>
          <w:lang w:val="en-GB"/>
        </w:rPr>
      </w:pPr>
      <w:r w:rsidRPr="00F81B8E">
        <w:rPr>
          <w:lang w:val="en-GB"/>
        </w:rPr>
        <w:t>taking into account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lang w:val="en-GB"/>
        </w:rPr>
        <w:t xml:space="preserve">the strategic plan of the Union adopted in both Resolution 71 (Rev. </w:t>
      </w:r>
      <w:r w:rsidRPr="00F81B8E">
        <w:rPr>
          <w:rFonts w:eastAsia="Malgun Gothic"/>
          <w:szCs w:val="24"/>
          <w:lang w:val="en-GB"/>
        </w:rPr>
        <w:t>Guadalajara, 2010</w:t>
      </w:r>
      <w:r w:rsidRPr="00F81B8E">
        <w:rPr>
          <w:lang w:val="en-GB"/>
        </w:rPr>
        <w:t xml:space="preserve">) and Resolution 123 (Rev. </w:t>
      </w:r>
      <w:r w:rsidRPr="00F81B8E">
        <w:rPr>
          <w:rFonts w:eastAsia="Malgun Gothic"/>
          <w:szCs w:val="24"/>
          <w:lang w:val="en-GB"/>
        </w:rPr>
        <w:t>Guadalajara, 2010</w:t>
      </w:r>
      <w:r w:rsidRPr="00F81B8E">
        <w:rPr>
          <w:lang w:val="en-GB"/>
        </w:rPr>
        <w:t>) of the Plenipotentiary Conference,</w:t>
      </w:r>
    </w:p>
    <w:p w:rsidR="00797473" w:rsidRPr="00F81B8E" w:rsidRDefault="00797473" w:rsidP="00797473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developing countries would benefit from effective participation by their operators in ITU</w:t>
      </w:r>
      <w:r w:rsidRPr="00F81B8E">
        <w:rPr>
          <w:lang w:val="en-GB"/>
        </w:rPr>
        <w:noBreakHyphen/>
        <w:t>T activities;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this participation by the operators would contribute to enhancing capacity building in the developing countries, increase their competitiveness, and support innovation in the markets of developing countries,</w:t>
      </w:r>
    </w:p>
    <w:p w:rsidR="00797473" w:rsidRPr="00F81B8E" w:rsidRDefault="00797473" w:rsidP="00797473">
      <w:pPr>
        <w:pStyle w:val="Call"/>
        <w:rPr>
          <w:lang w:val="en-GB"/>
        </w:rPr>
      </w:pPr>
      <w:r w:rsidRPr="00F81B8E">
        <w:rPr>
          <w:lang w:val="en-GB"/>
        </w:rPr>
        <w:t xml:space="preserve">resolves to invite the Director of the Telecommunication Standardization Bureau 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>to encourage Sector Members from the developed countries to promote the participation in ITU</w:t>
      </w:r>
      <w:r w:rsidRPr="00F81B8E">
        <w:rPr>
          <w:lang w:val="en-GB"/>
        </w:rPr>
        <w:noBreakHyphen/>
        <w:t>T activities</w:t>
      </w:r>
      <w:r w:rsidRPr="00F81B8E" w:rsidDel="00FD29F9">
        <w:rPr>
          <w:lang w:val="en-GB"/>
        </w:rPr>
        <w:t xml:space="preserve"> </w:t>
      </w:r>
      <w:r w:rsidRPr="00F81B8E">
        <w:rPr>
          <w:lang w:val="en-GB"/>
        </w:rPr>
        <w:t>of their subsidiaries installed in developing countries;</w:t>
      </w:r>
    </w:p>
    <w:p w:rsidR="00797473" w:rsidRPr="00F81B8E" w:rsidRDefault="00797473" w:rsidP="00797473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>to develop mechanisms to support the effective participation by telecommunication operators from developing countries in standardization activities;</w:t>
      </w:r>
    </w:p>
    <w:p w:rsidR="00797473" w:rsidRDefault="00797473" w:rsidP="007974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Malgun Gothic"/>
          <w:szCs w:val="24"/>
          <w:lang w:val="en-GB"/>
        </w:rPr>
      </w:pPr>
      <w:r>
        <w:rPr>
          <w:rFonts w:eastAsia="Malgun Gothic"/>
          <w:szCs w:val="24"/>
          <w:lang w:val="en-GB"/>
        </w:rPr>
        <w:br w:type="page"/>
      </w:r>
    </w:p>
    <w:p w:rsidR="00797473" w:rsidRPr="00F81B8E" w:rsidRDefault="00797473" w:rsidP="00797473">
      <w:pPr>
        <w:rPr>
          <w:szCs w:val="24"/>
          <w:lang w:val="en-GB"/>
        </w:rPr>
      </w:pPr>
      <w:r w:rsidRPr="00F81B8E">
        <w:rPr>
          <w:rFonts w:eastAsia="Malgun Gothic"/>
          <w:szCs w:val="24"/>
          <w:lang w:val="en-GB"/>
        </w:rPr>
        <w:lastRenderedPageBreak/>
        <w:t>3</w:t>
      </w:r>
      <w:r w:rsidRPr="00F81B8E">
        <w:rPr>
          <w:rFonts w:eastAsia="Malgun Gothic"/>
          <w:szCs w:val="24"/>
          <w:lang w:val="en-GB"/>
        </w:rPr>
        <w:tab/>
        <w:t>to raise the awareness of the developing countries regarding the benefits of participation and of becoming an ITU-T Sector Member and/or Associate,</w:t>
      </w:r>
    </w:p>
    <w:p w:rsidR="00797473" w:rsidRPr="00F81B8E" w:rsidRDefault="00797473" w:rsidP="00797473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:rsidR="00797473" w:rsidRDefault="00797473" w:rsidP="00797473">
      <w:pPr>
        <w:rPr>
          <w:lang w:val="en-GB"/>
        </w:rPr>
      </w:pPr>
      <w:r w:rsidRPr="00F81B8E">
        <w:rPr>
          <w:lang w:val="en-GB"/>
        </w:rPr>
        <w:t>to encourage their Sector Members to participate in ITU</w:t>
      </w:r>
      <w:r w:rsidRPr="00F81B8E">
        <w:rPr>
          <w:lang w:val="en-GB"/>
        </w:rPr>
        <w:noBreakHyphen/>
        <w:t>T activities.</w:t>
      </w: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Default="00797473" w:rsidP="00797473">
      <w:pPr>
        <w:rPr>
          <w:lang w:val="en-GB"/>
        </w:rPr>
      </w:pPr>
    </w:p>
    <w:p w:rsidR="00797473" w:rsidRPr="00F81B8E" w:rsidRDefault="00797473" w:rsidP="00797473">
      <w:pPr>
        <w:rPr>
          <w:lang w:val="en-GB"/>
        </w:rPr>
      </w:pPr>
    </w:p>
    <w:p w:rsidR="005B4298" w:rsidRPr="006D724B" w:rsidRDefault="005B4298" w:rsidP="00797473">
      <w:pPr>
        <w:pStyle w:val="Restitle"/>
        <w:rPr>
          <w:lang w:val="en-GB"/>
        </w:rPr>
      </w:pPr>
    </w:p>
    <w:sectPr w:rsidR="005B4298" w:rsidRPr="006D724B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741F46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741F46">
      <w:rPr>
        <w:noProof/>
      </w:rPr>
      <w:t>59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741F46">
      <w:rPr>
        <w:noProof/>
      </w:rPr>
      <w:t>59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41F46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  <w:footnote w:id="1">
    <w:p w:rsidR="00797473" w:rsidRPr="008122EA" w:rsidRDefault="00797473" w:rsidP="00797473">
      <w:pPr>
        <w:pStyle w:val="FootnoteText"/>
        <w:rPr>
          <w:lang w:val="en-US"/>
        </w:rPr>
      </w:pPr>
      <w:r w:rsidRPr="00743CB3">
        <w:rPr>
          <w:rStyle w:val="FootnoteReference"/>
          <w:lang w:val="en-US"/>
        </w:rPr>
        <w:t>1</w:t>
      </w:r>
      <w:r w:rsidRPr="00743CB3">
        <w:rPr>
          <w:lang w:val="en-US"/>
        </w:rPr>
        <w:t xml:space="preserve"> </w:t>
      </w:r>
      <w:r w:rsidRPr="008122EA">
        <w:rPr>
          <w:rFonts w:eastAsia="SimSun"/>
          <w:lang w:val="en-US" w:eastAsia="zh-CN"/>
        </w:rPr>
        <w:tab/>
        <w:t>These include the least developed countries, small island developing states</w:t>
      </w:r>
      <w:r>
        <w:rPr>
          <w:lang w:val="en-US"/>
        </w:rPr>
        <w:t>, landlocked developing countries</w:t>
      </w:r>
      <w:r w:rsidRPr="008122EA">
        <w:rPr>
          <w:rFonts w:eastAsia="SimSun"/>
          <w:lang w:val="en-US" w:eastAsia="zh-CN"/>
        </w:rPr>
        <w:t xml:space="preserve"> and countries with economies </w:t>
      </w:r>
      <w:r w:rsidRPr="007F007A">
        <w:rPr>
          <w:lang w:val="en-US"/>
        </w:rPr>
        <w:t>in</w:t>
      </w:r>
      <w:r w:rsidRPr="008122EA">
        <w:rPr>
          <w:rFonts w:eastAsia="SimSun"/>
          <w:lang w:val="en-US" w:eastAsia="zh-CN"/>
        </w:rPr>
        <w:t xml:space="preserve">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66EDE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E77C5"/>
    <w:rsid w:val="00113415"/>
    <w:rsid w:val="001309FB"/>
    <w:rsid w:val="0016708A"/>
    <w:rsid w:val="001A0696"/>
    <w:rsid w:val="001A31C9"/>
    <w:rsid w:val="001B4A76"/>
    <w:rsid w:val="001C5240"/>
    <w:rsid w:val="001C604C"/>
    <w:rsid w:val="002204D5"/>
    <w:rsid w:val="002210D5"/>
    <w:rsid w:val="0022202A"/>
    <w:rsid w:val="00227040"/>
    <w:rsid w:val="00246C17"/>
    <w:rsid w:val="0026429C"/>
    <w:rsid w:val="002742C3"/>
    <w:rsid w:val="002C182C"/>
    <w:rsid w:val="002D5607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4FB2"/>
    <w:rsid w:val="005569CA"/>
    <w:rsid w:val="00562EF2"/>
    <w:rsid w:val="005722AD"/>
    <w:rsid w:val="00574CFF"/>
    <w:rsid w:val="005B4298"/>
    <w:rsid w:val="005C5595"/>
    <w:rsid w:val="005D1D45"/>
    <w:rsid w:val="005D45C9"/>
    <w:rsid w:val="00601999"/>
    <w:rsid w:val="00605DF4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987"/>
    <w:rsid w:val="006D724B"/>
    <w:rsid w:val="006E13C5"/>
    <w:rsid w:val="00707551"/>
    <w:rsid w:val="007116DC"/>
    <w:rsid w:val="0071403C"/>
    <w:rsid w:val="00720F3C"/>
    <w:rsid w:val="007352F1"/>
    <w:rsid w:val="0074102F"/>
    <w:rsid w:val="00741F46"/>
    <w:rsid w:val="007550BF"/>
    <w:rsid w:val="00780423"/>
    <w:rsid w:val="00783EB8"/>
    <w:rsid w:val="007958DD"/>
    <w:rsid w:val="00797473"/>
    <w:rsid w:val="007B42DA"/>
    <w:rsid w:val="007E0240"/>
    <w:rsid w:val="008075CD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23B"/>
    <w:rsid w:val="00934946"/>
    <w:rsid w:val="0095090C"/>
    <w:rsid w:val="00974C0C"/>
    <w:rsid w:val="009755D7"/>
    <w:rsid w:val="00982620"/>
    <w:rsid w:val="00985CBA"/>
    <w:rsid w:val="009B33F4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E4C26"/>
    <w:rsid w:val="00B130BD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5029"/>
    <w:rsid w:val="00B92804"/>
    <w:rsid w:val="00BB34EA"/>
    <w:rsid w:val="00BE0ACB"/>
    <w:rsid w:val="00BE58E6"/>
    <w:rsid w:val="00BF610E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32C23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DF31C3"/>
    <w:rsid w:val="00E03ABC"/>
    <w:rsid w:val="00E154E2"/>
    <w:rsid w:val="00E300EC"/>
    <w:rsid w:val="00E40876"/>
    <w:rsid w:val="00E5070F"/>
    <w:rsid w:val="00E51820"/>
    <w:rsid w:val="00E56BAB"/>
    <w:rsid w:val="00E67297"/>
    <w:rsid w:val="00E758D6"/>
    <w:rsid w:val="00E82452"/>
    <w:rsid w:val="00E83C1C"/>
    <w:rsid w:val="00E87FFB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52</TotalTime>
  <Pages>4</Pages>
  <Words>471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3619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55</cp:revision>
  <cp:lastPrinted>2008-12-10T09:03:00Z</cp:lastPrinted>
  <dcterms:created xsi:type="dcterms:W3CDTF">2013-04-17T14:43:00Z</dcterms:created>
  <dcterms:modified xsi:type="dcterms:W3CDTF">2013-04-23T14:12:00Z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