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44EB6" w14:textId="77777777" w:rsidR="003425B8" w:rsidRPr="00DE6304" w:rsidRDefault="003425B8" w:rsidP="003425B8">
      <w:pPr>
        <w:pStyle w:val="CoverNumber"/>
        <w:rPr>
          <w:b w:val="0"/>
          <w:bCs w:val="0"/>
          <w:rtl/>
        </w:rPr>
      </w:pPr>
    </w:p>
    <w:p w14:paraId="2C0C7D73" w14:textId="77777777" w:rsidR="003425B8" w:rsidRPr="00DE6304" w:rsidRDefault="003425B8" w:rsidP="003425B8">
      <w:pPr>
        <w:pStyle w:val="CoverNumber"/>
        <w:rPr>
          <w:lang w:val="fr-FR"/>
        </w:rPr>
      </w:pPr>
    </w:p>
    <w:p w14:paraId="76357CBD" w14:textId="77777777" w:rsidR="003425B8" w:rsidRPr="004273DB" w:rsidRDefault="003425B8" w:rsidP="003425B8">
      <w:pPr>
        <w:pStyle w:val="CoverSeries"/>
        <w:rPr>
          <w:b/>
          <w:bCs/>
          <w:sz w:val="56"/>
          <w:szCs w:val="56"/>
          <w:lang w:bidi="ar-SA"/>
        </w:rPr>
      </w:pPr>
      <w:r w:rsidRPr="004273DB">
        <w:rPr>
          <w:b/>
          <w:bCs/>
          <w:sz w:val="56"/>
          <w:szCs w:val="56"/>
          <w:rtl/>
          <w:lang w:val="en-GB" w:bidi="ar-SA"/>
        </w:rPr>
        <w:t>الجمعية العالمية لتقييس الاتصالات</w:t>
      </w:r>
    </w:p>
    <w:p w14:paraId="7CFF684D" w14:textId="77777777" w:rsidR="003425B8" w:rsidRPr="00E224A1" w:rsidRDefault="003425B8" w:rsidP="003425B8">
      <w:pPr>
        <w:pStyle w:val="CoverSeries"/>
        <w:rPr>
          <w:lang w:bidi="ar-SA"/>
        </w:rPr>
      </w:pPr>
      <w:r w:rsidRPr="00E224A1">
        <w:rPr>
          <w:rFonts w:hint="cs"/>
          <w:rtl/>
          <w:lang w:bidi="ar-SA"/>
        </w:rPr>
        <w:t>نيودلهي</w:t>
      </w:r>
      <w:r w:rsidRPr="00E224A1">
        <w:rPr>
          <w:rtl/>
          <w:lang w:bidi="ar-SA"/>
        </w:rPr>
        <w:t xml:space="preserve">، </w:t>
      </w:r>
      <w:r w:rsidRPr="00E224A1">
        <w:rPr>
          <w:lang w:val="en-GB" w:bidi="ar-SA"/>
        </w:rPr>
        <w:t>24-15</w:t>
      </w:r>
      <w:r w:rsidRPr="00E224A1">
        <w:rPr>
          <w:rFonts w:hint="cs"/>
          <w:rtl/>
          <w:lang w:bidi="ar-SY"/>
        </w:rPr>
        <w:t xml:space="preserve"> أكتوبر </w:t>
      </w:r>
      <w:r w:rsidRPr="00E224A1">
        <w:rPr>
          <w:lang w:val="en-GB" w:bidi="ar-SA"/>
        </w:rPr>
        <w:t>2024</w:t>
      </w:r>
    </w:p>
    <w:p w14:paraId="6D5145BC" w14:textId="77777777" w:rsidR="003425B8" w:rsidRPr="00FC6892" w:rsidRDefault="003425B8" w:rsidP="003425B8">
      <w:pPr>
        <w:pBdr>
          <w:bottom w:val="single" w:sz="8" w:space="1" w:color="auto"/>
        </w:pBdr>
        <w:rPr>
          <w:rtl/>
        </w:rPr>
      </w:pPr>
    </w:p>
    <w:p w14:paraId="61ED2F90" w14:textId="10E3D5F6" w:rsidR="003425B8" w:rsidRPr="00E224A1" w:rsidRDefault="003425B8" w:rsidP="004878FE">
      <w:pPr>
        <w:pStyle w:val="BodyText"/>
        <w:jc w:val="left"/>
        <w:rPr>
          <w:rtl/>
          <w:lang w:bidi="ar-EG"/>
        </w:rPr>
      </w:pPr>
      <w:bookmarkStart w:id="0" w:name="_Toc101071644"/>
      <w:bookmarkStart w:id="1" w:name="_Toc219795013"/>
      <w:bookmarkStart w:id="2" w:name="_Toc219795405"/>
      <w:bookmarkStart w:id="3" w:name="_Toc219803517"/>
      <w:r w:rsidRPr="00E224A1">
        <w:rPr>
          <w:rFonts w:hint="cs"/>
          <w:rtl/>
        </w:rPr>
        <w:t xml:space="preserve">القـرار </w:t>
      </w:r>
      <w:bookmarkEnd w:id="0"/>
      <w:bookmarkEnd w:id="1"/>
      <w:bookmarkEnd w:id="2"/>
      <w:bookmarkEnd w:id="3"/>
      <w:r w:rsidR="001B41F3">
        <w:t>5</w:t>
      </w:r>
      <w:r w:rsidR="004878FE">
        <w:t>8</w:t>
      </w:r>
      <w:r w:rsidRPr="00E224A1">
        <w:rPr>
          <w:rFonts w:hint="cs"/>
          <w:rtl/>
        </w:rPr>
        <w:t xml:space="preserve"> </w:t>
      </w:r>
      <w:r w:rsidRPr="00E224A1">
        <w:rPr>
          <w:lang w:val="en-GB"/>
        </w:rPr>
        <w:t>–</w:t>
      </w:r>
      <w:r w:rsidRPr="00E224A1">
        <w:rPr>
          <w:rFonts w:hint="cs"/>
          <w:rtl/>
        </w:rPr>
        <w:t xml:space="preserve"> </w:t>
      </w:r>
      <w:r w:rsidR="004878FE" w:rsidRPr="004878FE">
        <w:rPr>
          <w:rFonts w:hint="cs"/>
          <w:rtl/>
        </w:rPr>
        <w:t xml:space="preserve">تشجيع إنشاء وتعزيز الأفرقة الوطنية للاستجابة في حالات </w:t>
      </w:r>
      <w:r w:rsidR="004878FE" w:rsidRPr="004878FE">
        <w:rPr>
          <w:rFonts w:hint="cs"/>
          <w:rtl/>
          <w:lang w:bidi="ar-EG"/>
        </w:rPr>
        <w:t>الحوادث</w:t>
      </w:r>
      <w:r w:rsidR="004878FE" w:rsidRPr="004878FE">
        <w:rPr>
          <w:rFonts w:hint="cs"/>
          <w:rtl/>
        </w:rPr>
        <w:t xml:space="preserve"> الحاسوبية،</w:t>
      </w:r>
      <w:r w:rsidR="004878FE">
        <w:rPr>
          <w:rFonts w:hint="cs"/>
          <w:rtl/>
        </w:rPr>
        <w:t xml:space="preserve"> </w:t>
      </w:r>
      <w:r w:rsidR="004878FE" w:rsidRPr="004878FE">
        <w:rPr>
          <w:rFonts w:hint="cs"/>
          <w:rtl/>
        </w:rPr>
        <w:t xml:space="preserve">خاصة </w:t>
      </w:r>
      <w:r w:rsidR="004878FE" w:rsidRPr="004878FE">
        <w:rPr>
          <w:rFonts w:hint="cs"/>
          <w:rtl/>
          <w:lang w:bidi="ar-EG"/>
        </w:rPr>
        <w:t>للبلدان</w:t>
      </w:r>
      <w:r w:rsidR="004878FE">
        <w:rPr>
          <w:rFonts w:hint="eastAsia"/>
          <w:rtl/>
          <w:lang w:bidi="ar-EG"/>
        </w:rPr>
        <w:t> </w:t>
      </w:r>
      <w:r w:rsidR="004878FE" w:rsidRPr="004878FE">
        <w:rPr>
          <w:rFonts w:hint="cs"/>
          <w:rtl/>
          <w:lang w:bidi="ar-EG"/>
        </w:rPr>
        <w:t>النامية</w:t>
      </w:r>
    </w:p>
    <w:p w14:paraId="6346814D" w14:textId="77777777" w:rsidR="003425B8" w:rsidRDefault="003425B8" w:rsidP="003425B8"/>
    <w:p w14:paraId="22DB4695" w14:textId="77777777" w:rsidR="003425B8" w:rsidRDefault="003425B8" w:rsidP="003425B8">
      <w:pPr>
        <w:rPr>
          <w:rtl/>
        </w:rPr>
        <w:sectPr w:rsidR="003425B8" w:rsidSect="00590787">
          <w:footerReference w:type="default" r:id="rId11"/>
          <w:headerReference w:type="first" r:id="rId12"/>
          <w:footerReference w:type="first" r:id="rId13"/>
          <w:type w:val="oddPage"/>
          <w:pgSz w:w="11907" w:h="16840" w:code="9"/>
          <w:pgMar w:top="1089" w:right="1089" w:bottom="284" w:left="1089" w:header="567" w:footer="284" w:gutter="0"/>
          <w:cols w:space="708"/>
          <w:titlePg/>
          <w:docGrid w:linePitch="360"/>
        </w:sectPr>
      </w:pPr>
    </w:p>
    <w:p w14:paraId="512F9347" w14:textId="77777777" w:rsidR="003425B8" w:rsidRPr="00775D80" w:rsidRDefault="003425B8" w:rsidP="003425B8">
      <w:pPr>
        <w:spacing w:before="480"/>
        <w:jc w:val="center"/>
        <w:rPr>
          <w:sz w:val="36"/>
          <w:szCs w:val="36"/>
          <w:rtl/>
          <w:lang w:bidi="ar-EG"/>
        </w:rPr>
      </w:pPr>
      <w:r w:rsidRPr="00775D80">
        <w:rPr>
          <w:rFonts w:hint="cs"/>
          <w:sz w:val="36"/>
          <w:szCs w:val="36"/>
          <w:rtl/>
          <w:lang w:bidi="ar-EG"/>
        </w:rPr>
        <w:lastRenderedPageBreak/>
        <w:t>تمهيـد</w:t>
      </w:r>
    </w:p>
    <w:p w14:paraId="2931D9C5" w14:textId="77777777" w:rsidR="003425B8" w:rsidRPr="00775D80" w:rsidRDefault="003425B8" w:rsidP="003425B8">
      <w:pPr>
        <w:spacing w:before="160" w:line="180" w:lineRule="auto"/>
        <w:rPr>
          <w:sz w:val="20"/>
          <w:szCs w:val="20"/>
          <w:rtl/>
          <w:lang w:bidi="ar-EG"/>
        </w:rPr>
      </w:pPr>
      <w:r w:rsidRPr="00775D80">
        <w:rPr>
          <w:rFonts w:hint="cs"/>
          <w:sz w:val="20"/>
          <w:szCs w:val="20"/>
          <w:rtl/>
          <w:lang w:bidi="ar-EG"/>
        </w:rPr>
        <w:t xml:space="preserve">الاتحاد الدولي للاتصالات وكالة متخصصة للأمم المتحدة في ميدان الاتصالات. وقطاع تقييس الاتصالات </w:t>
      </w:r>
      <w:r w:rsidRPr="00775D80">
        <w:rPr>
          <w:sz w:val="20"/>
          <w:szCs w:val="20"/>
          <w:lang w:bidi="ar-EG"/>
        </w:rPr>
        <w:t>(ITU</w:t>
      </w:r>
      <w:r w:rsidRPr="00775D80">
        <w:rPr>
          <w:sz w:val="20"/>
          <w:szCs w:val="20"/>
          <w:lang w:bidi="ar-EG"/>
        </w:rPr>
        <w:noBreakHyphen/>
        <w:t>T)</w:t>
      </w:r>
      <w:r w:rsidRPr="00775D80">
        <w:rPr>
          <w:rFonts w:hint="cs"/>
          <w:sz w:val="20"/>
          <w:szCs w:val="20"/>
          <w:rtl/>
          <w:lang w:bidi="ar-EG"/>
        </w:rPr>
        <w:t xml:space="preserve"> هو هيئة دائمة في الاتحاد الدولي للاتصالات. وهو مسؤول عن دراسة المسائل التقنية والمسائل المتعلقة بالتشغيل والتعريفة، وإصدار التوصيات بشأنها بغرض تقييس الاتصالات على الصعيد العالمي.</w:t>
      </w:r>
    </w:p>
    <w:p w14:paraId="787C1F46" w14:textId="77777777" w:rsidR="003425B8" w:rsidRPr="00775D80" w:rsidRDefault="003425B8" w:rsidP="003425B8">
      <w:pPr>
        <w:spacing w:line="180" w:lineRule="auto"/>
        <w:rPr>
          <w:sz w:val="20"/>
          <w:szCs w:val="20"/>
          <w:rtl/>
          <w:lang w:bidi="ar-EG"/>
        </w:rPr>
      </w:pPr>
      <w:r w:rsidRPr="00775D80">
        <w:rPr>
          <w:rFonts w:hint="cs"/>
          <w:sz w:val="20"/>
          <w:szCs w:val="20"/>
          <w:rtl/>
          <w:lang w:bidi="ar-EG"/>
        </w:rPr>
        <w:t xml:space="preserve">وتحدد الجمعية العالمية لتقييس الاتصالات </w:t>
      </w:r>
      <w:r w:rsidRPr="00775D80">
        <w:rPr>
          <w:sz w:val="20"/>
          <w:szCs w:val="20"/>
          <w:lang w:bidi="ar-EG"/>
        </w:rPr>
        <w:t>(WTSA)</w:t>
      </w:r>
      <w:r w:rsidRPr="00775D80">
        <w:rPr>
          <w:rFonts w:hint="cs"/>
          <w:sz w:val="20"/>
          <w:szCs w:val="20"/>
          <w:rtl/>
          <w:lang w:bidi="ar-EG"/>
        </w:rPr>
        <w:t xml:space="preserve"> التي تجتمع مرة كل أربع سنوات المواضيع التي يجب أن تدرسها لجان الدراسات التابعة لقطاع تقييس الاتصالات وأن تُصدر توصيات بشأنها.</w:t>
      </w:r>
    </w:p>
    <w:p w14:paraId="4CC8AFEC" w14:textId="77777777" w:rsidR="003425B8" w:rsidRPr="00775D80" w:rsidRDefault="003425B8" w:rsidP="003425B8">
      <w:pPr>
        <w:spacing w:line="180" w:lineRule="auto"/>
        <w:rPr>
          <w:sz w:val="20"/>
          <w:szCs w:val="20"/>
          <w:rtl/>
          <w:lang w:bidi="ar-EG"/>
        </w:rPr>
      </w:pPr>
      <w:r w:rsidRPr="00775D80">
        <w:rPr>
          <w:rFonts w:hint="cs"/>
          <w:sz w:val="20"/>
          <w:szCs w:val="20"/>
          <w:rtl/>
          <w:lang w:bidi="ar-EG"/>
        </w:rPr>
        <w:t xml:space="preserve">وتتم الموافقة على هذه التوصيات وفقاً للإجراء الموضح في القرار رقم </w:t>
      </w:r>
      <w:r w:rsidRPr="00775D80">
        <w:rPr>
          <w:sz w:val="20"/>
          <w:szCs w:val="20"/>
          <w:lang w:bidi="ar-EG"/>
        </w:rPr>
        <w:t>1</w:t>
      </w:r>
      <w:r w:rsidRPr="00775D80">
        <w:rPr>
          <w:rFonts w:hint="cs"/>
          <w:sz w:val="20"/>
          <w:szCs w:val="20"/>
          <w:rtl/>
          <w:lang w:bidi="ar-EG"/>
        </w:rPr>
        <w:t xml:space="preserve"> الصادر عن الجمعية العالمية لتقييس</w:t>
      </w:r>
      <w:r w:rsidRPr="00775D80">
        <w:rPr>
          <w:rFonts w:hint="eastAsia"/>
          <w:sz w:val="20"/>
          <w:szCs w:val="20"/>
          <w:rtl/>
          <w:lang w:bidi="ar-EG"/>
        </w:rPr>
        <w:t> </w:t>
      </w:r>
      <w:r w:rsidRPr="00775D80">
        <w:rPr>
          <w:rFonts w:hint="cs"/>
          <w:sz w:val="20"/>
          <w:szCs w:val="20"/>
          <w:rtl/>
          <w:lang w:bidi="ar-EG"/>
        </w:rPr>
        <w:t>الاتصالات.</w:t>
      </w:r>
    </w:p>
    <w:p w14:paraId="4A11D55D" w14:textId="77777777" w:rsidR="003425B8" w:rsidRPr="00775D80" w:rsidRDefault="003425B8" w:rsidP="003425B8">
      <w:pPr>
        <w:spacing w:line="180" w:lineRule="auto"/>
        <w:rPr>
          <w:sz w:val="20"/>
          <w:szCs w:val="20"/>
          <w:rtl/>
          <w:lang w:bidi="ar-EG"/>
        </w:rPr>
      </w:pPr>
      <w:r w:rsidRPr="00775D80">
        <w:rPr>
          <w:rFonts w:hint="cs"/>
          <w:sz w:val="20"/>
          <w:szCs w:val="20"/>
          <w:rtl/>
          <w:lang w:bidi="ar-EG"/>
        </w:rPr>
        <w:t xml:space="preserve">وفي بعض مجالات تكنولوجيا المعلومات التي تقع ضمن اختصاص قطاع تقييس الاتصالات، تعد المعايير اللازمة على أساس التعاون مع المنظمة الدولية للتوحيد القياسي </w:t>
      </w:r>
      <w:r w:rsidRPr="00775D80">
        <w:rPr>
          <w:sz w:val="20"/>
          <w:szCs w:val="20"/>
          <w:lang w:bidi="ar-EG"/>
        </w:rPr>
        <w:t>(ISO)</w:t>
      </w:r>
      <w:r w:rsidRPr="00775D80">
        <w:rPr>
          <w:rFonts w:hint="cs"/>
          <w:sz w:val="20"/>
          <w:szCs w:val="20"/>
          <w:rtl/>
          <w:lang w:bidi="ar-EG"/>
        </w:rPr>
        <w:t xml:space="preserve"> واللجنة الكهرتقنية الدولية </w:t>
      </w:r>
      <w:r w:rsidRPr="00775D80">
        <w:rPr>
          <w:sz w:val="20"/>
          <w:szCs w:val="20"/>
          <w:lang w:bidi="ar-EG"/>
        </w:rPr>
        <w:t>(IEC)</w:t>
      </w:r>
      <w:r w:rsidRPr="00775D80">
        <w:rPr>
          <w:rFonts w:hint="cs"/>
          <w:sz w:val="20"/>
          <w:szCs w:val="20"/>
          <w:rtl/>
          <w:lang w:bidi="ar-EG"/>
        </w:rPr>
        <w:t>.</w:t>
      </w:r>
    </w:p>
    <w:p w14:paraId="29332874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2AA3B18D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64DF25AB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5FB4FAD8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3D08159F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7A3256D7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783A6D63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748375C2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72498AFC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0A65DAF7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008DDB20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5D1C003D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1642050C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7DC856FA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09BDA8D0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4C01EDEE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0111B069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1EA963AB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63616173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29E46550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3A0F78D7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7E9BB495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366BA839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5B21625B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2AC71A1F" w14:textId="77777777" w:rsidR="003425B8" w:rsidRPr="00775D80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3341E1AB" w14:textId="77777777" w:rsidR="003425B8" w:rsidRPr="00775D80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017B1EC3" w14:textId="77777777" w:rsidR="003425B8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6B57D6CF" w14:textId="77777777" w:rsidR="003425B8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23D8B757" w14:textId="77777777" w:rsidR="003425B8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4BFE5873" w14:textId="77777777" w:rsidR="003425B8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7794176E" w14:textId="77777777" w:rsidR="003425B8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6C06527B" w14:textId="77777777" w:rsidR="006D0645" w:rsidRDefault="006D0645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6148B4F6" w14:textId="77777777" w:rsidR="00CC164B" w:rsidRDefault="00CC164B" w:rsidP="003425B8">
      <w:pPr>
        <w:spacing w:before="0" w:line="180" w:lineRule="auto"/>
        <w:rPr>
          <w:sz w:val="20"/>
          <w:szCs w:val="20"/>
          <w:lang w:bidi="ar-EG"/>
        </w:rPr>
      </w:pPr>
    </w:p>
    <w:p w14:paraId="0753C722" w14:textId="77777777" w:rsidR="003425B8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340B13AE" w14:textId="77777777" w:rsidR="003425B8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27FEDA1F" w14:textId="77777777" w:rsidR="003425B8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77029DEB" w14:textId="77777777" w:rsidR="003425B8" w:rsidRPr="00775D80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3A71253A" w14:textId="77777777" w:rsidR="003425B8" w:rsidRPr="00775D80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21ADE86E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27BA8CF1" w14:textId="77777777" w:rsidR="003425B8" w:rsidRDefault="003425B8" w:rsidP="003425B8">
      <w:pPr>
        <w:spacing w:after="180"/>
        <w:jc w:val="center"/>
        <w:rPr>
          <w:sz w:val="20"/>
          <w:szCs w:val="20"/>
        </w:rPr>
      </w:pPr>
      <w:r w:rsidRPr="00775D80">
        <w:rPr>
          <w:sz w:val="20"/>
          <w:szCs w:val="20"/>
        </w:rPr>
        <w:t>© ITU 202</w:t>
      </w:r>
      <w:r>
        <w:rPr>
          <w:sz w:val="20"/>
          <w:szCs w:val="20"/>
        </w:rPr>
        <w:t>4</w:t>
      </w:r>
    </w:p>
    <w:p w14:paraId="1EEABA6F" w14:textId="3B0826E6" w:rsidR="003425B8" w:rsidRPr="00775D80" w:rsidRDefault="003425B8" w:rsidP="006D0645">
      <w:pPr>
        <w:rPr>
          <w:noProof/>
          <w:spacing w:val="-4"/>
          <w:sz w:val="26"/>
          <w:szCs w:val="34"/>
          <w:lang w:bidi="ar-EG"/>
        </w:rPr>
      </w:pPr>
      <w:r w:rsidRPr="00775D80">
        <w:rPr>
          <w:rFonts w:hint="cs"/>
          <w:sz w:val="20"/>
          <w:szCs w:val="20"/>
          <w:rtl/>
          <w:lang w:bidi="ar-EG"/>
        </w:rPr>
        <w:t>جميع الحقوق محفوظة. لا يجوز استنساخ أي جزء من هذه المنشورة بأي وسيلة كانت إلا بإذن خطي مسبق من الاتحاد الدولي للاتصالات.</w:t>
      </w:r>
    </w:p>
    <w:p w14:paraId="2DFEFAFC" w14:textId="77777777" w:rsidR="003425B8" w:rsidRPr="00775D80" w:rsidRDefault="003425B8" w:rsidP="003425B8">
      <w:pPr>
        <w:rPr>
          <w:rtl/>
          <w:lang w:val="en-GB"/>
        </w:rPr>
        <w:sectPr w:rsidR="003425B8" w:rsidRPr="00775D80" w:rsidSect="003425B8">
          <w:footerReference w:type="even" r:id="rId14"/>
          <w:footerReference w:type="default" r:id="rId15"/>
          <w:type w:val="evenPage"/>
          <w:pgSz w:w="11907" w:h="16840" w:code="9"/>
          <w:pgMar w:top="1134" w:right="1134" w:bottom="1134" w:left="1134" w:header="567" w:footer="567" w:gutter="0"/>
          <w:pgNumType w:fmt="lowerRoman" w:start="2"/>
          <w:cols w:space="708"/>
          <w:docGrid w:linePitch="360"/>
        </w:sectPr>
      </w:pPr>
    </w:p>
    <w:p w14:paraId="0C12E694" w14:textId="0B022BE6" w:rsidR="00AF6585" w:rsidRPr="002B66D2" w:rsidRDefault="00FB4581" w:rsidP="00157183">
      <w:pPr>
        <w:pStyle w:val="ResNo"/>
        <w:rPr>
          <w:rtl/>
        </w:rPr>
      </w:pPr>
      <w:bookmarkStart w:id="4" w:name="_Toc111642708"/>
      <w:bookmarkStart w:id="5" w:name="_Toc111646776"/>
      <w:r w:rsidRPr="002B66D2">
        <w:rPr>
          <w:rFonts w:hint="cs"/>
          <w:rtl/>
        </w:rPr>
        <w:lastRenderedPageBreak/>
        <w:t>القرار</w:t>
      </w:r>
      <w:r w:rsidRPr="002B66D2">
        <w:rPr>
          <w:rtl/>
        </w:rPr>
        <w:t xml:space="preserve"> </w:t>
      </w:r>
      <w:r w:rsidR="001B41F3">
        <w:rPr>
          <w:rStyle w:val="href"/>
        </w:rPr>
        <w:t>5</w:t>
      </w:r>
      <w:r w:rsidR="004878FE">
        <w:rPr>
          <w:rStyle w:val="href"/>
        </w:rPr>
        <w:t>8</w:t>
      </w:r>
      <w:r w:rsidRPr="002B66D2">
        <w:rPr>
          <w:rFonts w:hint="cs"/>
          <w:rtl/>
        </w:rPr>
        <w:t xml:space="preserve"> (المراجَع في نيودلهي، 2024)</w:t>
      </w:r>
      <w:bookmarkEnd w:id="4"/>
      <w:bookmarkEnd w:id="5"/>
    </w:p>
    <w:p w14:paraId="4C2463DA" w14:textId="244E1B75" w:rsidR="00AF6585" w:rsidRDefault="004878FE" w:rsidP="004878FE">
      <w:pPr>
        <w:pStyle w:val="Restitle"/>
      </w:pPr>
      <w:r w:rsidRPr="004878FE">
        <w:rPr>
          <w:rFonts w:hint="cs"/>
          <w:rtl/>
        </w:rPr>
        <w:t xml:space="preserve">تشجيع إنشاء وتعزيز الأفرقة الوطنية للاستجابة في حالات </w:t>
      </w:r>
      <w:r w:rsidRPr="004878FE">
        <w:rPr>
          <w:rFonts w:hint="cs"/>
          <w:rtl/>
          <w:lang w:bidi="ar-EG"/>
        </w:rPr>
        <w:t>الحوادث</w:t>
      </w:r>
      <w:r w:rsidRPr="004878FE">
        <w:rPr>
          <w:rFonts w:hint="cs"/>
          <w:rtl/>
        </w:rPr>
        <w:t xml:space="preserve"> الحاسوبية،</w:t>
      </w:r>
      <w:r w:rsidRPr="004878FE">
        <w:rPr>
          <w:rtl/>
        </w:rPr>
        <w:br/>
      </w:r>
      <w:r w:rsidRPr="004878FE">
        <w:rPr>
          <w:rFonts w:hint="cs"/>
          <w:rtl/>
        </w:rPr>
        <w:t xml:space="preserve">خاصة </w:t>
      </w:r>
      <w:r w:rsidRPr="004878FE">
        <w:rPr>
          <w:rFonts w:hint="cs"/>
          <w:rtl/>
          <w:lang w:bidi="ar-EG"/>
        </w:rPr>
        <w:t>للبلدان النامية</w:t>
      </w:r>
    </w:p>
    <w:p w14:paraId="686F53DA" w14:textId="77777777" w:rsidR="004878FE" w:rsidRPr="00FC0F14" w:rsidRDefault="004878FE" w:rsidP="004878FE">
      <w:pPr>
        <w:pStyle w:val="Resref"/>
        <w:rPr>
          <w:iCs w:val="0"/>
          <w:rtl/>
        </w:rPr>
      </w:pPr>
      <w:r w:rsidRPr="00FC0F14">
        <w:rPr>
          <w:rFonts w:hint="cs"/>
          <w:rtl/>
        </w:rPr>
        <w:t>(</w:t>
      </w:r>
      <w:r w:rsidRPr="00FC0F14">
        <w:rPr>
          <w:rFonts w:hint="cs"/>
          <w:rtl/>
          <w:lang w:bidi="ar-EG"/>
        </w:rPr>
        <w:t xml:space="preserve">جوهانسبرغ، </w:t>
      </w:r>
      <w:r w:rsidRPr="00FC0F14">
        <w:rPr>
          <w:lang w:val="de-CH" w:bidi="ar-EG"/>
        </w:rPr>
        <w:t>2008</w:t>
      </w:r>
      <w:r w:rsidRPr="00FC0F14">
        <w:rPr>
          <w:rFonts w:hint="cs"/>
          <w:rtl/>
          <w:lang w:bidi="ar-EG"/>
        </w:rPr>
        <w:t xml:space="preserve">؛ </w:t>
      </w:r>
      <w:r w:rsidRPr="00FC0F14">
        <w:rPr>
          <w:rFonts w:hint="cs"/>
          <w:rtl/>
        </w:rPr>
        <w:t xml:space="preserve">دبي، </w:t>
      </w:r>
      <w:r w:rsidRPr="00FC0F14">
        <w:t>2012</w:t>
      </w:r>
      <w:r w:rsidRPr="00FC0F14">
        <w:rPr>
          <w:rFonts w:hint="cs"/>
          <w:rtl/>
        </w:rPr>
        <w:t>؛ جنيف، 2022</w:t>
      </w:r>
      <w:r>
        <w:rPr>
          <w:rFonts w:hint="cs"/>
          <w:rtl/>
        </w:rPr>
        <w:t>؛ نيودلهي، 2024</w:t>
      </w:r>
      <w:r w:rsidRPr="00FC0F14">
        <w:rPr>
          <w:rFonts w:hint="cs"/>
          <w:rtl/>
        </w:rPr>
        <w:t>)</w:t>
      </w:r>
    </w:p>
    <w:p w14:paraId="11F0D28D" w14:textId="77777777" w:rsidR="004878FE" w:rsidRPr="009B1443" w:rsidRDefault="004878FE" w:rsidP="004878FE">
      <w:pPr>
        <w:pStyle w:val="Normalaftertitle"/>
        <w:keepNext/>
        <w:spacing w:line="240" w:lineRule="auto"/>
        <w:rPr>
          <w:lang w:bidi="ar-EG"/>
        </w:rPr>
      </w:pPr>
      <w:r w:rsidRPr="00FC0F14">
        <w:rPr>
          <w:rFonts w:hint="cs"/>
          <w:rtl/>
          <w:lang w:val="fr-FR" w:bidi="ar-EG"/>
        </w:rPr>
        <w:t>إن الجمعية العالمية لتقييس الاتصالات (</w:t>
      </w:r>
      <w:r>
        <w:rPr>
          <w:rFonts w:hint="cs"/>
          <w:rtl/>
          <w:lang w:val="fr-FR" w:bidi="ar-SY"/>
        </w:rPr>
        <w:t>نيودلهي، 2024</w:t>
      </w:r>
      <w:r w:rsidRPr="00FC0F14">
        <w:rPr>
          <w:rFonts w:hint="cs"/>
          <w:rtl/>
          <w:lang w:val="fr-FR" w:bidi="ar-EG"/>
        </w:rPr>
        <w:t>)،</w:t>
      </w:r>
    </w:p>
    <w:p w14:paraId="5ECA2477" w14:textId="77777777" w:rsidR="004878FE" w:rsidRPr="000074B5" w:rsidRDefault="004878FE" w:rsidP="004878FE">
      <w:pPr>
        <w:pStyle w:val="Call"/>
      </w:pPr>
      <w:r w:rsidRPr="000074B5">
        <w:rPr>
          <w:rFonts w:hint="cs"/>
          <w:rtl/>
        </w:rPr>
        <w:t>إذ تذكّ</w:t>
      </w:r>
      <w:r>
        <w:rPr>
          <w:rFonts w:hint="cs"/>
          <w:rtl/>
        </w:rPr>
        <w:t>ِ</w:t>
      </w:r>
      <w:r w:rsidRPr="000074B5">
        <w:rPr>
          <w:rFonts w:hint="cs"/>
          <w:rtl/>
        </w:rPr>
        <w:t>ر</w:t>
      </w:r>
    </w:p>
    <w:p w14:paraId="0BE5E0BF" w14:textId="77777777" w:rsidR="004878FE" w:rsidRDefault="004878FE" w:rsidP="004878FE">
      <w:pPr>
        <w:rPr>
          <w:rtl/>
          <w:lang w:val="fr-FR"/>
        </w:rPr>
      </w:pPr>
      <w:r>
        <w:rPr>
          <w:rFonts w:hint="cs"/>
          <w:i/>
          <w:iCs/>
          <w:rtl/>
          <w:lang w:val="fr-FR" w:bidi="ar-EG"/>
        </w:rPr>
        <w:t xml:space="preserve"> </w:t>
      </w:r>
      <w:r w:rsidRPr="00184A5E">
        <w:rPr>
          <w:rFonts w:hint="eastAsia"/>
          <w:i/>
          <w:iCs/>
          <w:rtl/>
          <w:lang w:val="fr-FR" w:bidi="ar-EG"/>
        </w:rPr>
        <w:t>أ</w:t>
      </w:r>
      <w:r w:rsidRPr="00184A5E">
        <w:rPr>
          <w:i/>
          <w:iCs/>
          <w:rtl/>
          <w:lang w:val="fr-FR" w:bidi="ar-EG"/>
        </w:rPr>
        <w:t xml:space="preserve"> )</w:t>
      </w:r>
      <w:r>
        <w:rPr>
          <w:rtl/>
          <w:lang w:val="fr-FR" w:bidi="ar-EG"/>
        </w:rPr>
        <w:tab/>
      </w:r>
      <w:r>
        <w:rPr>
          <w:rFonts w:hint="cs"/>
          <w:rtl/>
          <w:lang w:val="fr-FR" w:bidi="ar-EG"/>
        </w:rPr>
        <w:t>بالقرار 130 (المراجَع في بوخارست، 2022) الصادر عن مؤتمر المندوبين المفوضين، بشأن ت</w:t>
      </w:r>
      <w:r w:rsidRPr="00417B10">
        <w:rPr>
          <w:rtl/>
          <w:lang w:val="fr-FR"/>
        </w:rPr>
        <w:t>عزيز دور الاتحاد في مجال بناء الثقة والأمن في استخدام تكنولوجيا المعلومات والاتصالات</w:t>
      </w:r>
      <w:r>
        <w:rPr>
          <w:rFonts w:hint="cs"/>
          <w:rtl/>
          <w:lang w:val="fr-FR"/>
        </w:rPr>
        <w:t> </w:t>
      </w:r>
      <w:r>
        <w:t>(ICT)</w:t>
      </w:r>
      <w:r>
        <w:rPr>
          <w:rFonts w:hint="cs"/>
          <w:rtl/>
          <w:lang w:val="fr-FR"/>
        </w:rPr>
        <w:t>؛</w:t>
      </w:r>
    </w:p>
    <w:p w14:paraId="0CEBA800" w14:textId="77777777" w:rsidR="004878FE" w:rsidRPr="00FC0F14" w:rsidRDefault="004878FE" w:rsidP="004878FE">
      <w:pPr>
        <w:rPr>
          <w:rtl/>
          <w:lang w:val="fr-FR" w:bidi="ar-EG"/>
        </w:rPr>
      </w:pPr>
      <w:r w:rsidRPr="00184A5E">
        <w:rPr>
          <w:rFonts w:hint="eastAsia"/>
          <w:i/>
          <w:iCs/>
          <w:rtl/>
          <w:lang w:val="fr-FR" w:bidi="ar-EG"/>
        </w:rPr>
        <w:t>ب</w:t>
      </w:r>
      <w:r w:rsidRPr="00184A5E">
        <w:rPr>
          <w:i/>
          <w:iCs/>
          <w:rtl/>
          <w:lang w:val="fr-FR" w:bidi="ar-EG"/>
        </w:rPr>
        <w:t>)</w:t>
      </w:r>
      <w:r>
        <w:rPr>
          <w:rtl/>
          <w:lang w:val="fr-FR" w:bidi="ar-EG"/>
        </w:rPr>
        <w:tab/>
      </w:r>
      <w:r>
        <w:rPr>
          <w:rFonts w:hint="cs"/>
          <w:rtl/>
          <w:lang w:val="fr-FR" w:bidi="ar-EG"/>
        </w:rPr>
        <w:t>ب</w:t>
      </w:r>
      <w:r w:rsidRPr="00FC0F14">
        <w:rPr>
          <w:rFonts w:hint="cs"/>
          <w:rtl/>
          <w:lang w:val="fr-FR" w:bidi="ar-EG"/>
        </w:rPr>
        <w:t xml:space="preserve">أن القرار </w:t>
      </w:r>
      <w:r w:rsidRPr="00FC0F14">
        <w:rPr>
          <w:lang w:val="fr-FR" w:bidi="ar-EG"/>
        </w:rPr>
        <w:t>123</w:t>
      </w:r>
      <w:r w:rsidRPr="00FC0F14">
        <w:rPr>
          <w:rFonts w:hint="cs"/>
          <w:rtl/>
          <w:lang w:val="fr-FR" w:bidi="ar-EG"/>
        </w:rPr>
        <w:t xml:space="preserve"> (المراجَع في </w:t>
      </w:r>
      <w:r>
        <w:rPr>
          <w:rFonts w:hint="cs"/>
          <w:rtl/>
          <w:lang w:bidi="ar-EG"/>
        </w:rPr>
        <w:t>بوخارست، 2022</w:t>
      </w:r>
      <w:r w:rsidRPr="00FC0F14">
        <w:rPr>
          <w:rFonts w:hint="cs"/>
          <w:rtl/>
          <w:lang w:val="fr-FR" w:bidi="ar-EG"/>
        </w:rPr>
        <w:t>) الصادر عن مؤتمر المندوبين المفوضين قرر تكليف الأمين العام ومديري المكاتب الثلاثة بالعمل الوثيق فيما بينهم في متابعة المبادرات التي تساعد على سد الفجوة في ميدان التقييس بين البلدان النامية</w:t>
      </w:r>
      <w:r>
        <w:rPr>
          <w:rStyle w:val="FootnoteReference"/>
          <w:rtl/>
          <w:lang w:val="fr-FR" w:bidi="ar-EG"/>
        </w:rPr>
        <w:footnoteReference w:customMarkFollows="1" w:id="1"/>
        <w:t>1</w:t>
      </w:r>
      <w:r w:rsidRPr="00FC0F14">
        <w:rPr>
          <w:rFonts w:hint="cs"/>
          <w:rtl/>
          <w:lang w:val="fr-FR" w:bidi="ar-EG"/>
        </w:rPr>
        <w:t xml:space="preserve"> والبلدان</w:t>
      </w:r>
      <w:r w:rsidRPr="00FC0F14">
        <w:rPr>
          <w:rFonts w:hint="eastAsia"/>
          <w:lang w:val="fr-FR" w:bidi="ar-EG"/>
        </w:rPr>
        <w:t> </w:t>
      </w:r>
      <w:r w:rsidRPr="00FC0F14">
        <w:rPr>
          <w:rFonts w:hint="cs"/>
          <w:rtl/>
          <w:lang w:val="fr-FR" w:bidi="ar-EG"/>
        </w:rPr>
        <w:t>المتقدمة،</w:t>
      </w:r>
    </w:p>
    <w:p w14:paraId="4798CCB6" w14:textId="77777777" w:rsidR="004878FE" w:rsidRPr="00FC0F14" w:rsidRDefault="004878FE" w:rsidP="004878FE">
      <w:pPr>
        <w:pStyle w:val="Call"/>
        <w:spacing w:before="160"/>
        <w:rPr>
          <w:rtl/>
        </w:rPr>
      </w:pPr>
      <w:r w:rsidRPr="00FC0F14">
        <w:rPr>
          <w:rFonts w:hint="cs"/>
          <w:rtl/>
        </w:rPr>
        <w:t>وإذ تدرك</w:t>
      </w:r>
    </w:p>
    <w:p w14:paraId="4BF22B3F" w14:textId="77777777" w:rsidR="004878FE" w:rsidRPr="00FC0F14" w:rsidRDefault="004878FE" w:rsidP="004878FE">
      <w:pPr>
        <w:rPr>
          <w:rtl/>
          <w:lang w:val="fr-FR" w:bidi="ar-EG"/>
        </w:rPr>
      </w:pPr>
      <w:r w:rsidRPr="00FC0F14">
        <w:rPr>
          <w:rFonts w:hint="cs"/>
          <w:i/>
          <w:iCs/>
          <w:rtl/>
          <w:lang w:val="fr-FR" w:bidi="ar-EG"/>
        </w:rPr>
        <w:t xml:space="preserve"> أ )</w:t>
      </w:r>
      <w:r w:rsidRPr="00FC0F14">
        <w:rPr>
          <w:rFonts w:hint="cs"/>
          <w:rtl/>
          <w:lang w:val="fr-FR" w:bidi="ar-EG"/>
        </w:rPr>
        <w:tab/>
        <w:t xml:space="preserve">النتائج المرضية جداً التي تحققت في النهج الإقليمي في إطار القرار </w:t>
      </w:r>
      <w:r w:rsidRPr="00FC0F14">
        <w:rPr>
          <w:lang w:val="fr-FR" w:bidi="ar-EG"/>
        </w:rPr>
        <w:t>54</w:t>
      </w:r>
      <w:r w:rsidRPr="00FC0F14">
        <w:rPr>
          <w:rFonts w:hint="cs"/>
          <w:rtl/>
          <w:lang w:val="fr-FR" w:bidi="ar-EG"/>
        </w:rPr>
        <w:t xml:space="preserve"> (المراجَع في </w:t>
      </w:r>
      <w:r>
        <w:rPr>
          <w:rFonts w:hint="cs"/>
          <w:rtl/>
          <w:lang w:val="fr-FR" w:bidi="ar-EG"/>
        </w:rPr>
        <w:t>نيودلهي، 2024</w:t>
      </w:r>
      <w:r w:rsidRPr="00FC0F14">
        <w:rPr>
          <w:rFonts w:hint="cs"/>
          <w:rtl/>
          <w:lang w:bidi="ar-SY"/>
        </w:rPr>
        <w:t>)</w:t>
      </w:r>
      <w:r w:rsidRPr="00FC0F14">
        <w:rPr>
          <w:rFonts w:hint="cs"/>
          <w:rtl/>
          <w:lang w:val="fr-FR" w:bidi="ar-EG"/>
        </w:rPr>
        <w:t xml:space="preserve"> ل</w:t>
      </w:r>
      <w:r>
        <w:rPr>
          <w:rFonts w:hint="cs"/>
          <w:rtl/>
          <w:lang w:val="fr-FR" w:bidi="ar-EG"/>
        </w:rPr>
        <w:t>هذه ا</w:t>
      </w:r>
      <w:r w:rsidRPr="00FC0F14">
        <w:rPr>
          <w:rFonts w:hint="cs"/>
          <w:rtl/>
          <w:lang w:val="fr-FR" w:bidi="ar-EG"/>
        </w:rPr>
        <w:t>لجمعية؛</w:t>
      </w:r>
    </w:p>
    <w:p w14:paraId="2471F484" w14:textId="77777777" w:rsidR="004878FE" w:rsidRPr="00FC0F14" w:rsidRDefault="004878FE" w:rsidP="004878FE">
      <w:pPr>
        <w:rPr>
          <w:rtl/>
          <w:lang w:val="fr-FR" w:bidi="ar-EG"/>
        </w:rPr>
      </w:pPr>
      <w:r w:rsidRPr="00FC0F14">
        <w:rPr>
          <w:rFonts w:hint="cs"/>
          <w:i/>
          <w:iCs/>
          <w:rtl/>
          <w:lang w:val="fr-FR" w:bidi="ar-EG"/>
        </w:rPr>
        <w:t>ب)</w:t>
      </w:r>
      <w:r w:rsidRPr="00FC0F14">
        <w:rPr>
          <w:rFonts w:hint="cs"/>
          <w:rtl/>
          <w:lang w:val="fr-FR" w:bidi="ar-EG"/>
        </w:rPr>
        <w:tab/>
      </w:r>
      <w:r w:rsidRPr="004A61C5">
        <w:rPr>
          <w:spacing w:val="-2"/>
          <w:rtl/>
          <w:lang w:val="fr-FR"/>
        </w:rPr>
        <w:t>العمل ذا الأولوية العالية الذي يضطلع به قطاع تقييس الاتصالات</w:t>
      </w:r>
      <w:r w:rsidRPr="004A61C5">
        <w:rPr>
          <w:rFonts w:hint="cs"/>
          <w:spacing w:val="-2"/>
          <w:rtl/>
          <w:lang w:val="fr-FR"/>
        </w:rPr>
        <w:t xml:space="preserve"> </w:t>
      </w:r>
      <w:r w:rsidRPr="004A61C5">
        <w:rPr>
          <w:spacing w:val="-2"/>
          <w:rtl/>
          <w:lang w:val="fr-FR"/>
        </w:rPr>
        <w:t>(</w:t>
      </w:r>
      <w:r w:rsidRPr="004A61C5">
        <w:rPr>
          <w:spacing w:val="-2"/>
          <w:lang w:val="fr-FR"/>
        </w:rPr>
        <w:t>ITU-T</w:t>
      </w:r>
      <w:r w:rsidRPr="004A61C5">
        <w:rPr>
          <w:spacing w:val="-2"/>
          <w:rtl/>
          <w:lang w:val="fr-FR"/>
        </w:rPr>
        <w:t xml:space="preserve">) بشأن القرار 50 </w:t>
      </w:r>
      <w:r w:rsidRPr="004A61C5">
        <w:rPr>
          <w:rFonts w:hint="cs"/>
          <w:spacing w:val="-2"/>
          <w:rtl/>
          <w:lang w:val="fr-FR"/>
        </w:rPr>
        <w:t>(</w:t>
      </w:r>
      <w:r w:rsidRPr="004A61C5">
        <w:rPr>
          <w:rFonts w:hint="cs"/>
          <w:spacing w:val="-2"/>
          <w:rtl/>
          <w:lang w:val="fr-FR" w:bidi="ar-EG"/>
        </w:rPr>
        <w:t>المراجَع في نيودلهي، 2024</w:t>
      </w:r>
      <w:r w:rsidRPr="004A61C5">
        <w:rPr>
          <w:rFonts w:hint="cs"/>
          <w:spacing w:val="-2"/>
          <w:rtl/>
          <w:lang w:val="fr-FR"/>
        </w:rPr>
        <w:t xml:space="preserve">) لهذه الجمعية بشأن الأمن السيبراني، </w:t>
      </w:r>
      <w:r w:rsidRPr="004A61C5">
        <w:rPr>
          <w:spacing w:val="-2"/>
          <w:rtl/>
          <w:lang w:val="fr-FR"/>
        </w:rPr>
        <w:t>وفقاً لاختصاصاته وخبرته، بما في ذلك تعزيز فهم مشترك بين الحكومات وأصحاب المصلحة الآخرين ل</w:t>
      </w:r>
      <w:r w:rsidRPr="004A61C5">
        <w:rPr>
          <w:rFonts w:hint="cs"/>
          <w:spacing w:val="-2"/>
          <w:rtl/>
          <w:lang w:val="fr-FR"/>
        </w:rPr>
        <w:t xml:space="preserve">كيفية </w:t>
      </w:r>
      <w:r w:rsidRPr="004A61C5">
        <w:rPr>
          <w:spacing w:val="-2"/>
          <w:rtl/>
          <w:lang w:val="fr-FR"/>
        </w:rPr>
        <w:t>بناء الثقة والأمن في استخدام تكنولوجيا المعلومات والاتصالات على المستويات الوطنية والإقليمية والدولية</w:t>
      </w:r>
      <w:r w:rsidRPr="004A61C5">
        <w:rPr>
          <w:rFonts w:hint="cs"/>
          <w:spacing w:val="-2"/>
          <w:rtl/>
          <w:lang w:val="fr-FR"/>
        </w:rPr>
        <w:t>؛</w:t>
      </w:r>
    </w:p>
    <w:p w14:paraId="42BE439F" w14:textId="77777777" w:rsidR="004878FE" w:rsidRDefault="004878FE" w:rsidP="004878FE">
      <w:pPr>
        <w:rPr>
          <w:rtl/>
          <w:lang w:val="fr-FR" w:bidi="ar-EG"/>
        </w:rPr>
      </w:pPr>
      <w:r w:rsidRPr="00FC0F14">
        <w:rPr>
          <w:rFonts w:hint="cs"/>
          <w:i/>
          <w:iCs/>
          <w:rtl/>
          <w:lang w:val="fr-FR" w:bidi="ar-EG"/>
        </w:rPr>
        <w:t>ج)</w:t>
      </w:r>
      <w:r w:rsidRPr="00FC0F14">
        <w:rPr>
          <w:rFonts w:hint="cs"/>
          <w:rtl/>
          <w:lang w:val="fr-FR" w:bidi="ar-EG"/>
        </w:rPr>
        <w:tab/>
      </w:r>
      <w:r w:rsidRPr="001D7A6A">
        <w:rPr>
          <w:rtl/>
          <w:lang w:val="fr-FR"/>
        </w:rPr>
        <w:t xml:space="preserve">تزايد مستوى التحول الرقمي والاعتماد على </w:t>
      </w:r>
      <w:r>
        <w:rPr>
          <w:rFonts w:hint="cs"/>
          <w:rtl/>
          <w:lang w:val="fr-FR"/>
        </w:rPr>
        <w:t>تكنولوجيات</w:t>
      </w:r>
      <w:r w:rsidRPr="001D7A6A">
        <w:rPr>
          <w:rtl/>
          <w:lang w:val="fr-FR"/>
        </w:rPr>
        <w:t xml:space="preserve"> المعلومات والاتصالات</w:t>
      </w:r>
      <w:r w:rsidRPr="001D7A6A">
        <w:rPr>
          <w:lang w:bidi="ar-EG"/>
        </w:rPr>
        <w:t xml:space="preserve"> (ICT) </w:t>
      </w:r>
      <w:r w:rsidRPr="001D7A6A">
        <w:rPr>
          <w:rtl/>
          <w:lang w:val="fr-FR"/>
        </w:rPr>
        <w:t>في البلدان النامية</w:t>
      </w:r>
      <w:r>
        <w:rPr>
          <w:rFonts w:hint="cs"/>
          <w:rtl/>
          <w:lang w:val="fr-FR"/>
        </w:rPr>
        <w:t>؛</w:t>
      </w:r>
    </w:p>
    <w:p w14:paraId="1834F22C" w14:textId="77777777" w:rsidR="004878FE" w:rsidRDefault="004878FE" w:rsidP="004878FE">
      <w:pPr>
        <w:rPr>
          <w:rtl/>
          <w:lang w:val="fr-FR" w:bidi="ar-EG"/>
        </w:rPr>
      </w:pPr>
      <w:r w:rsidRPr="00184A5E">
        <w:rPr>
          <w:rFonts w:hint="eastAsia"/>
          <w:i/>
          <w:iCs/>
          <w:rtl/>
          <w:lang w:val="fr-FR" w:bidi="ar-EG"/>
        </w:rPr>
        <w:t>د</w:t>
      </w:r>
      <w:r w:rsidRPr="00184A5E">
        <w:rPr>
          <w:i/>
          <w:iCs/>
          <w:rtl/>
          <w:lang w:val="fr-FR" w:bidi="ar-EG"/>
        </w:rPr>
        <w:t xml:space="preserve"> )</w:t>
      </w:r>
      <w:r>
        <w:rPr>
          <w:rtl/>
          <w:lang w:val="fr-FR" w:bidi="ar-EG"/>
        </w:rPr>
        <w:tab/>
      </w:r>
      <w:r w:rsidRPr="007A4037">
        <w:rPr>
          <w:rtl/>
          <w:lang w:val="fr-FR"/>
        </w:rPr>
        <w:t xml:space="preserve">التعقيد المتزايد لإدارة البنية التحتية للدفاع السيبراني وأدواته وأفراده وخدماته الأمنية بسبب التعقيد المتزايد للهجمات السيبرانية على شبكات </w:t>
      </w:r>
      <w:r>
        <w:rPr>
          <w:rFonts w:hint="cs"/>
          <w:rtl/>
          <w:lang w:val="fr-FR"/>
        </w:rPr>
        <w:t>الاتصالات/</w:t>
      </w:r>
      <w:r w:rsidRPr="007A4037">
        <w:rPr>
          <w:rtl/>
          <w:lang w:val="fr-FR"/>
        </w:rPr>
        <w:t>تكنولوجيا المعلومات والاتصالات في جميع البلدان</w:t>
      </w:r>
      <w:r w:rsidRPr="00417B10">
        <w:rPr>
          <w:rtl/>
          <w:lang w:val="fr-FR"/>
        </w:rPr>
        <w:t>؛</w:t>
      </w:r>
    </w:p>
    <w:p w14:paraId="423B396E" w14:textId="77777777" w:rsidR="004878FE" w:rsidRDefault="004878FE" w:rsidP="004878FE">
      <w:pPr>
        <w:rPr>
          <w:lang w:val="fr-FR" w:bidi="ar-EG"/>
        </w:rPr>
      </w:pPr>
      <w:r>
        <w:rPr>
          <w:rFonts w:hint="cs"/>
          <w:i/>
          <w:iCs/>
          <w:rtl/>
          <w:lang w:val="fr-FR" w:bidi="ar-EG"/>
        </w:rPr>
        <w:t>هـ</w:t>
      </w:r>
      <w:r w:rsidRPr="00306387">
        <w:rPr>
          <w:rFonts w:hint="cs"/>
          <w:i/>
          <w:iCs/>
          <w:rtl/>
          <w:lang w:val="fr-FR" w:bidi="ar-EG"/>
        </w:rPr>
        <w:t xml:space="preserve"> )</w:t>
      </w:r>
      <w:r>
        <w:rPr>
          <w:i/>
          <w:iCs/>
          <w:rtl/>
          <w:lang w:val="fr-FR" w:bidi="ar-EG"/>
        </w:rPr>
        <w:tab/>
      </w:r>
      <w:r w:rsidRPr="00184A5E">
        <w:rPr>
          <w:rtl/>
          <w:lang w:val="fr-FR" w:bidi="ar-EG"/>
        </w:rPr>
        <w:t xml:space="preserve">أنه مع استمرار تطور خدمات </w:t>
      </w:r>
      <w:r>
        <w:rPr>
          <w:rFonts w:hint="cs"/>
          <w:rtl/>
          <w:lang w:val="fr-FR" w:bidi="ar-EG"/>
        </w:rPr>
        <w:t>وتكنولوجيات</w:t>
      </w:r>
      <w:r w:rsidRPr="00184A5E">
        <w:rPr>
          <w:rtl/>
          <w:lang w:val="fr-FR" w:bidi="ar-EG"/>
        </w:rPr>
        <w:t xml:space="preserve"> البنية التحتية للاتصالات/تكنولوجيا المعلومات والاتصالات، تتطور أيض</w:t>
      </w:r>
      <w:r>
        <w:rPr>
          <w:rFonts w:hint="cs"/>
          <w:rtl/>
          <w:lang w:val="fr-FR" w:bidi="ar-EG"/>
        </w:rPr>
        <w:t>اً</w:t>
      </w:r>
      <w:r w:rsidRPr="00184A5E">
        <w:rPr>
          <w:rtl/>
          <w:lang w:val="fr-FR" w:bidi="ar-EG"/>
        </w:rPr>
        <w:t xml:space="preserve"> التهديدات والهجمات </w:t>
      </w:r>
      <w:r w:rsidRPr="00724331">
        <w:rPr>
          <w:rtl/>
          <w:lang w:val="fr-FR" w:bidi="ar-EG"/>
        </w:rPr>
        <w:t>السيبرانية</w:t>
      </w:r>
      <w:r w:rsidRPr="00184A5E">
        <w:rPr>
          <w:rtl/>
          <w:lang w:val="fr-FR" w:bidi="ar-EG"/>
        </w:rPr>
        <w:t xml:space="preserve">، وتنتشر من خلال مجموعة متنوعة من الوسائل، مثل الأجهزة </w:t>
      </w:r>
      <w:r>
        <w:rPr>
          <w:rFonts w:hint="cs"/>
          <w:rtl/>
          <w:lang w:val="fr-FR" w:bidi="ar-EG"/>
        </w:rPr>
        <w:t>المتنقلة</w:t>
      </w:r>
      <w:r w:rsidRPr="00184A5E">
        <w:rPr>
          <w:rtl/>
          <w:lang w:val="fr-FR" w:bidi="ar-EG"/>
        </w:rPr>
        <w:t xml:space="preserve"> </w:t>
      </w:r>
      <w:r>
        <w:rPr>
          <w:rFonts w:hint="cs"/>
          <w:rtl/>
          <w:lang w:val="fr-FR" w:bidi="ar-EG"/>
        </w:rPr>
        <w:t>والمخدّمات</w:t>
      </w:r>
      <w:r w:rsidRPr="00184A5E">
        <w:rPr>
          <w:rtl/>
          <w:lang w:val="fr-FR" w:bidi="ar-EG"/>
        </w:rPr>
        <w:t xml:space="preserve"> والشبكات وحتى التكنولوجيا التشغيلي</w:t>
      </w:r>
      <w:r>
        <w:rPr>
          <w:rFonts w:hint="cs"/>
          <w:rtl/>
          <w:lang w:val="fr-FR" w:bidi="ar-EG"/>
        </w:rPr>
        <w:t>ة؛</w:t>
      </w:r>
    </w:p>
    <w:p w14:paraId="75171AAF" w14:textId="77777777" w:rsidR="004878FE" w:rsidRDefault="004878FE" w:rsidP="004878FE">
      <w:pPr>
        <w:rPr>
          <w:rtl/>
          <w:lang w:bidi="ar-EG"/>
        </w:rPr>
      </w:pPr>
      <w:r>
        <w:rPr>
          <w:rFonts w:hint="cs"/>
          <w:i/>
          <w:iCs/>
          <w:spacing w:val="-6"/>
          <w:rtl/>
          <w:lang w:val="fr-FR" w:bidi="ar-EG"/>
        </w:rPr>
        <w:t>و )</w:t>
      </w:r>
      <w:r w:rsidRPr="00FC0F14">
        <w:rPr>
          <w:rFonts w:hint="cs"/>
          <w:spacing w:val="-6"/>
          <w:rtl/>
          <w:lang w:val="fr-FR" w:bidi="ar-EG"/>
        </w:rPr>
        <w:tab/>
      </w:r>
      <w:r w:rsidRPr="00FC0F14">
        <w:rPr>
          <w:rFonts w:hint="cs"/>
          <w:rtl/>
          <w:lang w:val="fr-FR" w:bidi="ar-EG"/>
        </w:rPr>
        <w:t>العمل الذي اضطلع به قطاع تنمية الاتصالات بالاتحاد</w:t>
      </w:r>
      <w:r w:rsidRPr="00FC0F14">
        <w:rPr>
          <w:rFonts w:hint="eastAsia"/>
          <w:rtl/>
          <w:lang w:val="fr-FR" w:bidi="ar-EG"/>
        </w:rPr>
        <w:t> </w:t>
      </w:r>
      <w:r w:rsidRPr="00FC0F14">
        <w:rPr>
          <w:lang w:bidi="ar-EG"/>
        </w:rPr>
        <w:t>(ITU-D)</w:t>
      </w:r>
      <w:r w:rsidRPr="00FC0F14">
        <w:rPr>
          <w:rFonts w:hint="cs"/>
          <w:rtl/>
          <w:lang w:val="fr-FR" w:bidi="ar-EG"/>
        </w:rPr>
        <w:t xml:space="preserve"> في إطار المسألة </w:t>
      </w:r>
      <w:r w:rsidRPr="00FC0F14">
        <w:rPr>
          <w:lang w:bidi="ar-EG"/>
        </w:rPr>
        <w:t>22/1</w:t>
      </w:r>
      <w:r w:rsidRPr="00FC0F14">
        <w:rPr>
          <w:rFonts w:hint="cs"/>
          <w:rtl/>
          <w:lang w:bidi="ar-EG"/>
        </w:rPr>
        <w:t xml:space="preserve"> السابقة للجنة الدراسات</w:t>
      </w:r>
      <w:r w:rsidRPr="00FC0F14">
        <w:rPr>
          <w:rFonts w:hint="eastAsia"/>
          <w:rtl/>
          <w:lang w:bidi="ar-EG"/>
        </w:rPr>
        <w:t> </w:t>
      </w:r>
      <w:r w:rsidRPr="00FC0F14">
        <w:rPr>
          <w:lang w:val="fr-CH" w:bidi="ar-EG"/>
        </w:rPr>
        <w:t>1</w:t>
      </w:r>
      <w:r w:rsidRPr="00FC0F14">
        <w:rPr>
          <w:rFonts w:hint="cs"/>
          <w:rtl/>
          <w:lang w:val="fr-CH" w:bidi="ar-EG"/>
        </w:rPr>
        <w:t xml:space="preserve"> </w:t>
      </w:r>
      <w:r>
        <w:rPr>
          <w:rFonts w:hint="cs"/>
          <w:rtl/>
          <w:lang w:val="fr-CH" w:bidi="ar-EG"/>
        </w:rPr>
        <w:t>ب</w:t>
      </w:r>
      <w:r w:rsidRPr="00FC0F14">
        <w:rPr>
          <w:rFonts w:hint="cs"/>
          <w:rtl/>
          <w:lang w:bidi="ar-EG"/>
        </w:rPr>
        <w:t xml:space="preserve">قطاع </w:t>
      </w:r>
      <w:r>
        <w:rPr>
          <w:rFonts w:hint="cs"/>
          <w:rtl/>
          <w:lang w:bidi="ar-EG"/>
        </w:rPr>
        <w:t xml:space="preserve">تنمية الاتصالات </w:t>
      </w:r>
      <w:r w:rsidRPr="00FC0F14">
        <w:rPr>
          <w:rFonts w:hint="cs"/>
          <w:rtl/>
          <w:lang w:bidi="ar-EG"/>
        </w:rPr>
        <w:t xml:space="preserve">والمسألة </w:t>
      </w:r>
      <w:r w:rsidRPr="00FC0F14">
        <w:rPr>
          <w:lang w:bidi="ar-EG"/>
        </w:rPr>
        <w:t>3/2</w:t>
      </w:r>
      <w:r w:rsidRPr="00FC0F14">
        <w:rPr>
          <w:rFonts w:hint="cs"/>
          <w:rtl/>
          <w:lang w:bidi="ar-EG"/>
        </w:rPr>
        <w:t xml:space="preserve"> الحالية للجنة الدراسات 2 </w:t>
      </w:r>
      <w:r>
        <w:rPr>
          <w:rFonts w:hint="cs"/>
          <w:rtl/>
          <w:lang w:val="fr-CH" w:bidi="ar-EG"/>
        </w:rPr>
        <w:t>ب</w:t>
      </w:r>
      <w:r w:rsidRPr="00FC0F14">
        <w:rPr>
          <w:rFonts w:hint="cs"/>
          <w:rtl/>
          <w:lang w:bidi="ar-EG"/>
        </w:rPr>
        <w:t xml:space="preserve">قطاع </w:t>
      </w:r>
      <w:r>
        <w:rPr>
          <w:rFonts w:hint="cs"/>
          <w:rtl/>
          <w:lang w:bidi="ar-EG"/>
        </w:rPr>
        <w:t>تنمية الاتصالات</w:t>
      </w:r>
      <w:r w:rsidRPr="00FC0F14">
        <w:rPr>
          <w:rFonts w:hint="cs"/>
          <w:rtl/>
          <w:lang w:bidi="ar-EG"/>
        </w:rPr>
        <w:t>،</w:t>
      </w:r>
    </w:p>
    <w:p w14:paraId="126790BB" w14:textId="77777777" w:rsidR="004878FE" w:rsidRDefault="004878FE" w:rsidP="004878FE">
      <w:pPr>
        <w:rPr>
          <w:rtl/>
        </w:rPr>
      </w:pPr>
      <w:r>
        <w:rPr>
          <w:rtl/>
        </w:rPr>
        <w:br w:type="page"/>
      </w:r>
    </w:p>
    <w:p w14:paraId="2A2811CE" w14:textId="77777777" w:rsidR="004878FE" w:rsidRPr="00FC0F14" w:rsidRDefault="004878FE" w:rsidP="004878FE">
      <w:pPr>
        <w:pStyle w:val="Call"/>
        <w:spacing w:before="160"/>
        <w:rPr>
          <w:rtl/>
        </w:rPr>
      </w:pPr>
      <w:r w:rsidRPr="00FC0F14">
        <w:rPr>
          <w:rFonts w:hint="cs"/>
          <w:rtl/>
        </w:rPr>
        <w:lastRenderedPageBreak/>
        <w:t>وإذ تلاحظ</w:t>
      </w:r>
    </w:p>
    <w:p w14:paraId="5E3FC455" w14:textId="77777777" w:rsidR="004878FE" w:rsidRPr="00FC0F14" w:rsidRDefault="004878FE" w:rsidP="004878FE">
      <w:pPr>
        <w:rPr>
          <w:rtl/>
          <w:lang w:val="fr-FR" w:bidi="ar-EG"/>
        </w:rPr>
      </w:pPr>
      <w:r w:rsidRPr="00FC0F14">
        <w:rPr>
          <w:rFonts w:hint="cs"/>
          <w:i/>
          <w:iCs/>
          <w:rtl/>
          <w:lang w:val="fr-FR" w:bidi="ar-EG"/>
        </w:rPr>
        <w:t xml:space="preserve"> أ )</w:t>
      </w:r>
      <w:r w:rsidRPr="00FC0F14">
        <w:rPr>
          <w:rFonts w:hint="cs"/>
          <w:rtl/>
          <w:lang w:val="fr-FR" w:bidi="ar-EG"/>
        </w:rPr>
        <w:tab/>
        <w:t xml:space="preserve">أن انخفاض مستوى التأهب لطوارئ </w:t>
      </w:r>
      <w:r>
        <w:rPr>
          <w:rFonts w:hint="cs"/>
          <w:rtl/>
          <w:lang w:val="fr-FR" w:bidi="ar-EG"/>
        </w:rPr>
        <w:t>الأمن السيبراني</w:t>
      </w:r>
      <w:r w:rsidRPr="00FC0F14">
        <w:rPr>
          <w:rFonts w:hint="cs"/>
          <w:rtl/>
          <w:lang w:val="fr-FR" w:bidi="ar-EG"/>
        </w:rPr>
        <w:t xml:space="preserve"> ما زال في كثير من البلدان، خاصة البلدان النامية؛</w:t>
      </w:r>
    </w:p>
    <w:p w14:paraId="4F5BC912" w14:textId="77777777" w:rsidR="004878FE" w:rsidRPr="00FC0F14" w:rsidRDefault="004878FE" w:rsidP="004878FE">
      <w:pPr>
        <w:rPr>
          <w:rtl/>
          <w:lang w:val="fr-FR" w:bidi="ar-EG"/>
        </w:rPr>
      </w:pPr>
      <w:r w:rsidRPr="00FC0F14">
        <w:rPr>
          <w:rFonts w:hint="cs"/>
          <w:i/>
          <w:iCs/>
          <w:rtl/>
          <w:lang w:val="fr-FR" w:bidi="ar-EG"/>
        </w:rPr>
        <w:t>ب)</w:t>
      </w:r>
      <w:r w:rsidRPr="00FC0F14">
        <w:rPr>
          <w:rFonts w:hint="cs"/>
          <w:rtl/>
          <w:lang w:val="fr-FR" w:bidi="ar-EG"/>
        </w:rPr>
        <w:tab/>
        <w:t>أن ارتفاع مستوى التوصيلية بين شبكات تكنولوجيا المعلومات والاتصالات قد يتأثر سلباً جراء إطلاق هجمة من</w:t>
      </w:r>
      <w:r>
        <w:rPr>
          <w:rFonts w:hint="eastAsia"/>
          <w:rtl/>
          <w:lang w:val="fr-FR" w:bidi="ar-EG"/>
        </w:rPr>
        <w:t> </w:t>
      </w:r>
      <w:r w:rsidRPr="00FC0F14">
        <w:rPr>
          <w:rFonts w:hint="cs"/>
          <w:rtl/>
          <w:lang w:val="fr-FR" w:bidi="ar-EG"/>
        </w:rPr>
        <w:t>شبكات في البلدان</w:t>
      </w:r>
      <w:r>
        <w:rPr>
          <w:rFonts w:hint="cs"/>
          <w:rtl/>
          <w:lang w:val="fr-FR" w:bidi="ar-EG"/>
        </w:rPr>
        <w:t xml:space="preserve"> والمناطق</w:t>
      </w:r>
      <w:r w:rsidRPr="00FC0F14">
        <w:rPr>
          <w:rFonts w:hint="cs"/>
          <w:rtl/>
          <w:lang w:val="fr-FR" w:bidi="ar-EG"/>
        </w:rPr>
        <w:t xml:space="preserve"> الأقل استعداداً لها؛</w:t>
      </w:r>
    </w:p>
    <w:p w14:paraId="0F3D895D" w14:textId="77777777" w:rsidR="004878FE" w:rsidRPr="00FC0F14" w:rsidRDefault="004878FE" w:rsidP="004878FE">
      <w:pPr>
        <w:rPr>
          <w:rtl/>
          <w:lang w:val="fr-FR" w:bidi="ar-EG"/>
        </w:rPr>
      </w:pPr>
      <w:r w:rsidRPr="00FC0F14">
        <w:rPr>
          <w:rFonts w:hint="cs"/>
          <w:i/>
          <w:iCs/>
          <w:rtl/>
          <w:lang w:val="fr-FR" w:bidi="ar-EG"/>
        </w:rPr>
        <w:t>ج)</w:t>
      </w:r>
      <w:r w:rsidRPr="00FC0F14">
        <w:rPr>
          <w:rFonts w:hint="cs"/>
          <w:rtl/>
          <w:lang w:val="fr-FR" w:bidi="ar-EG"/>
        </w:rPr>
        <w:tab/>
        <w:t xml:space="preserve">أهمية توفر المستوى الملائم من التأهب لطوارئ </w:t>
      </w:r>
      <w:r>
        <w:rPr>
          <w:rFonts w:hint="cs"/>
          <w:rtl/>
          <w:lang w:val="fr-FR" w:bidi="ar-EG"/>
        </w:rPr>
        <w:t>الأمن السيبراني</w:t>
      </w:r>
      <w:r w:rsidRPr="00FC0F14">
        <w:rPr>
          <w:rFonts w:hint="cs"/>
          <w:rtl/>
          <w:lang w:val="fr-FR" w:bidi="ar-EG"/>
        </w:rPr>
        <w:t xml:space="preserve"> في جميع البلدان؛</w:t>
      </w:r>
    </w:p>
    <w:p w14:paraId="46CB75BF" w14:textId="77777777" w:rsidR="004878FE" w:rsidRDefault="004878FE" w:rsidP="004878FE">
      <w:pPr>
        <w:rPr>
          <w:lang w:val="fr-FR"/>
        </w:rPr>
      </w:pPr>
      <w:r w:rsidRPr="00FC0F14">
        <w:rPr>
          <w:rFonts w:hint="cs"/>
          <w:i/>
          <w:iCs/>
          <w:rtl/>
          <w:lang w:val="fr-FR" w:bidi="ar-EG"/>
        </w:rPr>
        <w:t>د )</w:t>
      </w:r>
      <w:r w:rsidRPr="00FC0F14">
        <w:rPr>
          <w:rFonts w:hint="cs"/>
          <w:rtl/>
          <w:lang w:val="fr-FR" w:bidi="ar-EG"/>
        </w:rPr>
        <w:tab/>
      </w:r>
      <w:r>
        <w:rPr>
          <w:rFonts w:hint="cs"/>
          <w:spacing w:val="4"/>
          <w:rtl/>
          <w:lang w:val="fr-FR" w:bidi="ar-EG"/>
        </w:rPr>
        <w:t>الحاجة إلى وفوائد</w:t>
      </w:r>
      <w:r w:rsidRPr="00FC0F14">
        <w:rPr>
          <w:rFonts w:hint="cs"/>
          <w:spacing w:val="4"/>
          <w:rtl/>
          <w:lang w:val="fr-FR" w:bidi="ar-EG"/>
        </w:rPr>
        <w:t xml:space="preserve"> إنشاء أفرقة </w:t>
      </w:r>
      <w:r>
        <w:rPr>
          <w:rFonts w:hint="cs"/>
          <w:spacing w:val="4"/>
          <w:rtl/>
          <w:lang w:val="fr-FR" w:bidi="ar-EG"/>
        </w:rPr>
        <w:t>ال</w:t>
      </w:r>
      <w:r w:rsidRPr="00FC0F14">
        <w:rPr>
          <w:rFonts w:hint="cs"/>
          <w:spacing w:val="4"/>
          <w:rtl/>
          <w:lang w:val="fr-FR" w:bidi="ar-EG"/>
        </w:rPr>
        <w:t xml:space="preserve">استجابة </w:t>
      </w:r>
      <w:r>
        <w:rPr>
          <w:rFonts w:hint="cs"/>
          <w:spacing w:val="4"/>
          <w:rtl/>
          <w:lang w:val="fr-FR" w:bidi="ar-EG"/>
        </w:rPr>
        <w:t>للحوادث</w:t>
      </w:r>
      <w:r w:rsidRPr="00FC0F14">
        <w:rPr>
          <w:rFonts w:hint="cs"/>
          <w:spacing w:val="4"/>
          <w:rtl/>
          <w:lang w:val="fr-FR" w:bidi="ar-EG"/>
        </w:rPr>
        <w:t xml:space="preserve"> الحاسوبية</w:t>
      </w:r>
      <w:r>
        <w:rPr>
          <w:rFonts w:hint="cs"/>
          <w:spacing w:val="4"/>
          <w:rtl/>
          <w:lang w:val="fr-FR" w:bidi="ar-EG"/>
        </w:rPr>
        <w:t>/أفرقة الاستجابة لحوادث الأمن السيبراني/أفرقة الاستجابة للحوادث السيبرانية</w:t>
      </w:r>
      <w:r w:rsidRPr="00FC0F14">
        <w:rPr>
          <w:rFonts w:hint="cs"/>
          <w:spacing w:val="4"/>
          <w:rtl/>
          <w:lang w:val="fr-FR" w:bidi="ar-EG"/>
        </w:rPr>
        <w:t xml:space="preserve"> </w:t>
      </w:r>
      <w:r w:rsidRPr="00FC0F14">
        <w:rPr>
          <w:spacing w:val="4"/>
          <w:lang w:val="fr-FR" w:bidi="ar-EG"/>
        </w:rPr>
        <w:t>(CIRT)</w:t>
      </w:r>
      <w:r>
        <w:rPr>
          <w:rFonts w:hint="cs"/>
          <w:rtl/>
          <w:lang w:val="fr-FR" w:bidi="ar-EG"/>
        </w:rPr>
        <w:t xml:space="preserve">، </w:t>
      </w:r>
      <w:r w:rsidRPr="00A121AA">
        <w:rPr>
          <w:rtl/>
          <w:lang w:val="fr-FR"/>
        </w:rPr>
        <w:t xml:space="preserve">مثلاً </w:t>
      </w:r>
      <w:r>
        <w:rPr>
          <w:rFonts w:hint="cs"/>
          <w:rtl/>
          <w:lang w:val="fr-FR"/>
        </w:rPr>
        <w:t xml:space="preserve">من خلال </w:t>
      </w:r>
      <w:r w:rsidRPr="00A121AA">
        <w:rPr>
          <w:rtl/>
          <w:lang w:val="fr-FR"/>
        </w:rPr>
        <w:t>تقديم نقطة اتصال واحدة للتعاون والتواصل بين البلدان، وللمساعدة في التنسيق بين الكيانات المختلفة (من قبيل أفرقة استجابة قطاعية في حالات الحوادث الحاسوبية) ضمن بلد ما؛</w:t>
      </w:r>
    </w:p>
    <w:p w14:paraId="06710CBD" w14:textId="77777777" w:rsidR="004878FE" w:rsidRPr="00184A5E" w:rsidRDefault="004878FE" w:rsidP="004878FE">
      <w:pPr>
        <w:rPr>
          <w:rtl/>
          <w:lang w:val="fr-FR" w:bidi="ar-EG"/>
        </w:rPr>
      </w:pPr>
      <w:r>
        <w:rPr>
          <w:rFonts w:hint="cs"/>
          <w:i/>
          <w:iCs/>
          <w:rtl/>
          <w:lang w:val="fr-FR" w:bidi="ar-EG"/>
        </w:rPr>
        <w:t>هـ</w:t>
      </w:r>
      <w:r w:rsidRPr="00306387">
        <w:rPr>
          <w:rFonts w:hint="cs"/>
          <w:i/>
          <w:iCs/>
          <w:rtl/>
          <w:lang w:val="fr-FR" w:bidi="ar-EG"/>
        </w:rPr>
        <w:t xml:space="preserve"> )</w:t>
      </w:r>
      <w:r>
        <w:rPr>
          <w:i/>
          <w:iCs/>
          <w:rtl/>
          <w:lang w:val="fr-FR" w:bidi="ar-EG"/>
        </w:rPr>
        <w:tab/>
      </w:r>
      <w:r w:rsidRPr="00184A5E">
        <w:rPr>
          <w:rtl/>
          <w:lang w:val="fr-FR"/>
        </w:rPr>
        <w:t xml:space="preserve">أن </w:t>
      </w:r>
      <w:r>
        <w:rPr>
          <w:rFonts w:hint="cs"/>
          <w:rtl/>
          <w:lang w:val="fr-FR"/>
        </w:rPr>
        <w:t>تزايد</w:t>
      </w:r>
      <w:r w:rsidRPr="00184A5E">
        <w:rPr>
          <w:rtl/>
          <w:lang w:val="fr-FR"/>
        </w:rPr>
        <w:t xml:space="preserve"> تعقيد قضايا الأمن السيبراني قد يستلزم </w:t>
      </w:r>
      <w:r>
        <w:rPr>
          <w:rFonts w:hint="cs"/>
          <w:rtl/>
          <w:lang w:val="fr-FR"/>
        </w:rPr>
        <w:t>تطوير قدرات</w:t>
      </w:r>
      <w:r w:rsidRPr="00184A5E">
        <w:rPr>
          <w:rtl/>
          <w:lang w:val="fr-FR"/>
        </w:rPr>
        <w:t xml:space="preserve"> أفرقة الاستجابة في حالات الحوادث الحاسوبية؛</w:t>
      </w:r>
    </w:p>
    <w:p w14:paraId="3A0254CD" w14:textId="77777777" w:rsidR="004878FE" w:rsidRDefault="004878FE" w:rsidP="004878FE">
      <w:pPr>
        <w:rPr>
          <w:rtl/>
          <w:lang w:bidi="ar-EG"/>
        </w:rPr>
      </w:pPr>
      <w:r>
        <w:rPr>
          <w:rFonts w:hint="cs"/>
          <w:i/>
          <w:iCs/>
          <w:rtl/>
          <w:lang w:val="fr-FR" w:bidi="ar-EG"/>
        </w:rPr>
        <w:t>و</w:t>
      </w:r>
      <w:r w:rsidRPr="00306387">
        <w:rPr>
          <w:rFonts w:hint="cs"/>
          <w:i/>
          <w:iCs/>
          <w:rtl/>
          <w:lang w:val="fr-FR" w:bidi="ar-EG"/>
        </w:rPr>
        <w:t xml:space="preserve"> )</w:t>
      </w:r>
      <w:r>
        <w:rPr>
          <w:i/>
          <w:iCs/>
          <w:rtl/>
          <w:lang w:val="fr-FR" w:bidi="ar-EG"/>
        </w:rPr>
        <w:tab/>
      </w:r>
      <w:r>
        <w:rPr>
          <w:rFonts w:hint="cs"/>
          <w:rtl/>
          <w:lang w:val="fr-FR" w:bidi="ar-EG"/>
        </w:rPr>
        <w:t xml:space="preserve">أن مصطلح </w:t>
      </w:r>
      <w:r w:rsidRPr="00CE3AFD">
        <w:rPr>
          <w:rtl/>
          <w:lang w:val="fr-FR"/>
        </w:rPr>
        <w:t xml:space="preserve">أفرقة </w:t>
      </w:r>
      <w:r>
        <w:rPr>
          <w:rFonts w:hint="cs"/>
          <w:rtl/>
          <w:lang w:val="fr-FR"/>
        </w:rPr>
        <w:t>الاستجابة</w:t>
      </w:r>
      <w:r w:rsidRPr="00CE3AFD">
        <w:rPr>
          <w:rtl/>
          <w:lang w:val="fr-FR"/>
        </w:rPr>
        <w:t xml:space="preserve"> للحوادث الحاسوبية</w:t>
      </w:r>
      <w:r>
        <w:rPr>
          <w:rFonts w:hint="cs"/>
          <w:rtl/>
          <w:lang w:val="fr-FR"/>
        </w:rPr>
        <w:t xml:space="preserve"> </w:t>
      </w:r>
      <w:r w:rsidRPr="00CE3AFD">
        <w:rPr>
          <w:lang w:bidi="ar-EG"/>
        </w:rPr>
        <w:t>(CIRT)</w:t>
      </w:r>
      <w:r>
        <w:rPr>
          <w:rFonts w:hint="cs"/>
          <w:rtl/>
          <w:lang w:bidi="ar-EG"/>
        </w:rPr>
        <w:t xml:space="preserve"> يشير إلى </w:t>
      </w:r>
      <w:r w:rsidRPr="00CE3AFD">
        <w:rPr>
          <w:rtl/>
          <w:lang w:bidi="ar-EG"/>
        </w:rPr>
        <w:t>مجموعة واسعة من المؤسسات التي تؤدي وظائف الاستجابة لحوادث الأمن السيبراني، مثل مركز أمن سيبراني (</w:t>
      </w:r>
      <w:r w:rsidRPr="00CE3AFD">
        <w:rPr>
          <w:lang w:bidi="ar-EG"/>
        </w:rPr>
        <w:t>CSC</w:t>
      </w:r>
      <w:r w:rsidRPr="00CE3AFD">
        <w:rPr>
          <w:rtl/>
          <w:lang w:bidi="ar-EG"/>
        </w:rPr>
        <w:t>)، ومركز عمليات أمنية (</w:t>
      </w:r>
      <w:r w:rsidRPr="00CE3AFD">
        <w:rPr>
          <w:lang w:bidi="ar-EG"/>
        </w:rPr>
        <w:t>SOC</w:t>
      </w:r>
      <w:r w:rsidRPr="00CE3AFD">
        <w:rPr>
          <w:rtl/>
          <w:lang w:bidi="ar-EG"/>
        </w:rPr>
        <w:t xml:space="preserve">)، </w:t>
      </w:r>
      <w:r>
        <w:rPr>
          <w:rFonts w:hint="cs"/>
          <w:rtl/>
          <w:lang w:bidi="ar-EG"/>
        </w:rPr>
        <w:t>وفرقة</w:t>
      </w:r>
      <w:r w:rsidRPr="00CE3AFD">
        <w:rPr>
          <w:rtl/>
          <w:lang w:bidi="ar-EG"/>
        </w:rPr>
        <w:t xml:space="preserve"> استجابة لحالات الطوارئ الحاسوبية (</w:t>
      </w:r>
      <w:r w:rsidRPr="00CE3AFD">
        <w:rPr>
          <w:lang w:bidi="ar-EG"/>
        </w:rPr>
        <w:t>CERT</w:t>
      </w:r>
      <w:r w:rsidRPr="00CE3AFD">
        <w:rPr>
          <w:rtl/>
          <w:lang w:bidi="ar-EG"/>
        </w:rPr>
        <w:t xml:space="preserve">)، </w:t>
      </w:r>
      <w:r>
        <w:rPr>
          <w:rFonts w:hint="cs"/>
          <w:rtl/>
          <w:lang w:bidi="ar-EG"/>
        </w:rPr>
        <w:t>وفرقة</w:t>
      </w:r>
      <w:r w:rsidRPr="00CE3AFD">
        <w:rPr>
          <w:rtl/>
          <w:lang w:bidi="ar-EG"/>
        </w:rPr>
        <w:t xml:space="preserve"> استجابة لحوادث الأمن الحاسوبي (</w:t>
      </w:r>
      <w:r w:rsidRPr="00CE3AFD">
        <w:rPr>
          <w:lang w:bidi="ar-EG"/>
        </w:rPr>
        <w:t>CSIRT</w:t>
      </w:r>
      <w:r w:rsidRPr="00CE3AFD">
        <w:rPr>
          <w:rtl/>
          <w:lang w:bidi="ar-EG"/>
        </w:rPr>
        <w:t>)،</w:t>
      </w:r>
    </w:p>
    <w:p w14:paraId="067C0169" w14:textId="77777777" w:rsidR="004878FE" w:rsidRDefault="004878FE" w:rsidP="004878FE">
      <w:pPr>
        <w:pStyle w:val="Call"/>
        <w:rPr>
          <w:rtl/>
        </w:rPr>
      </w:pPr>
      <w:r>
        <w:rPr>
          <w:rFonts w:hint="cs"/>
          <w:rtl/>
        </w:rPr>
        <w:t>و</w:t>
      </w:r>
      <w:r w:rsidRPr="00184A5E">
        <w:rPr>
          <w:rFonts w:hint="eastAsia"/>
          <w:rtl/>
        </w:rPr>
        <w:t>إذ</w:t>
      </w:r>
      <w:r w:rsidRPr="00184A5E">
        <w:rPr>
          <w:rtl/>
        </w:rPr>
        <w:t xml:space="preserve"> </w:t>
      </w:r>
      <w:r w:rsidRPr="00184A5E">
        <w:rPr>
          <w:rFonts w:hint="eastAsia"/>
          <w:rtl/>
        </w:rPr>
        <w:t>تضع</w:t>
      </w:r>
      <w:r w:rsidRPr="00184A5E">
        <w:rPr>
          <w:rtl/>
        </w:rPr>
        <w:t xml:space="preserve"> </w:t>
      </w:r>
      <w:r w:rsidRPr="00184A5E">
        <w:rPr>
          <w:rFonts w:hint="eastAsia"/>
          <w:rtl/>
        </w:rPr>
        <w:t>في اعتبارها</w:t>
      </w:r>
    </w:p>
    <w:p w14:paraId="5E4ED0D1" w14:textId="77777777" w:rsidR="004878FE" w:rsidRPr="00FC0F14" w:rsidRDefault="004878FE" w:rsidP="004878FE">
      <w:pPr>
        <w:rPr>
          <w:rtl/>
          <w:lang w:bidi="ar-SY"/>
        </w:rPr>
      </w:pPr>
      <w:r w:rsidRPr="00FC0F14">
        <w:rPr>
          <w:rFonts w:hint="cs"/>
          <w:spacing w:val="4"/>
          <w:rtl/>
          <w:lang w:val="fr-FR" w:bidi="ar-EG"/>
        </w:rPr>
        <w:t xml:space="preserve">أعمال لجنة الدراسات </w:t>
      </w:r>
      <w:r w:rsidRPr="00FC0F14">
        <w:rPr>
          <w:spacing w:val="4"/>
          <w:lang w:bidi="ar-EG"/>
        </w:rPr>
        <w:t>17</w:t>
      </w:r>
      <w:r w:rsidRPr="00FC0F14">
        <w:rPr>
          <w:rFonts w:hint="cs"/>
          <w:spacing w:val="4"/>
          <w:rtl/>
          <w:lang w:bidi="ar-SY"/>
        </w:rPr>
        <w:t xml:space="preserve"> </w:t>
      </w:r>
      <w:r>
        <w:rPr>
          <w:rFonts w:hint="cs"/>
          <w:spacing w:val="4"/>
          <w:rtl/>
          <w:lang w:bidi="ar-SY"/>
        </w:rPr>
        <w:t>ب</w:t>
      </w:r>
      <w:r w:rsidRPr="00FC0F14">
        <w:rPr>
          <w:rFonts w:hint="cs"/>
          <w:spacing w:val="4"/>
          <w:rtl/>
          <w:lang w:bidi="ar-SY"/>
        </w:rPr>
        <w:t>قطاع تقييس الاتصالات</w:t>
      </w:r>
      <w:r w:rsidRPr="00FC0F14">
        <w:rPr>
          <w:rFonts w:hint="eastAsia"/>
          <w:spacing w:val="4"/>
          <w:rtl/>
          <w:lang w:bidi="ar-SY"/>
        </w:rPr>
        <w:t> </w:t>
      </w:r>
      <w:r w:rsidRPr="00FC0F14">
        <w:rPr>
          <w:spacing w:val="4"/>
          <w:lang w:bidi="ar-SY"/>
        </w:rPr>
        <w:t>(ITU-T)</w:t>
      </w:r>
      <w:r w:rsidRPr="00FC0F14">
        <w:rPr>
          <w:rFonts w:hint="cs"/>
          <w:spacing w:val="4"/>
          <w:rtl/>
          <w:lang w:bidi="ar-SY"/>
        </w:rPr>
        <w:t xml:space="preserve"> في مجال أفرقة الاستجابة في حالات الحوادث الحاسوبية</w:t>
      </w:r>
      <w:r>
        <w:rPr>
          <w:rFonts w:hint="cs"/>
          <w:spacing w:val="4"/>
          <w:rtl/>
          <w:lang w:bidi="ar-SY"/>
        </w:rPr>
        <w:t xml:space="preserve"> والأفرقة أو الكيانات الأمنية الأخرى من قبيل تلك التي تشملها التوصية </w:t>
      </w:r>
      <w:r>
        <w:rPr>
          <w:spacing w:val="4"/>
          <w:lang w:val="de-CH" w:bidi="ar-SY"/>
        </w:rPr>
        <w:t>ITU-T X.1060</w:t>
      </w:r>
      <w:r w:rsidRPr="00FC0F14">
        <w:rPr>
          <w:rFonts w:hint="cs"/>
          <w:spacing w:val="4"/>
          <w:rtl/>
          <w:lang w:bidi="ar-SY"/>
        </w:rPr>
        <w:t>،</w:t>
      </w:r>
      <w:r w:rsidRPr="00FC0F14">
        <w:rPr>
          <w:rFonts w:hint="cs"/>
          <w:spacing w:val="4"/>
          <w:rtl/>
          <w:lang w:bidi="ar-EG"/>
        </w:rPr>
        <w:t xml:space="preserve"> </w:t>
      </w:r>
      <w:r w:rsidRPr="00FC0F14">
        <w:rPr>
          <w:rFonts w:hint="cs"/>
          <w:spacing w:val="4"/>
          <w:rtl/>
          <w:lang w:bidi="ar-SY"/>
        </w:rPr>
        <w:t>خاصةً</w:t>
      </w:r>
      <w:r w:rsidRPr="00FC0F14">
        <w:rPr>
          <w:rFonts w:hint="cs"/>
          <w:rtl/>
          <w:lang w:bidi="ar-SY"/>
        </w:rPr>
        <w:t xml:space="preserve"> بالنسبة للبلدان النامية، والتعاون فيما بينها، كما هو وارد في مخرجات لجنة الدراسات،</w:t>
      </w:r>
    </w:p>
    <w:p w14:paraId="10ADBA32" w14:textId="77777777" w:rsidR="004878FE" w:rsidRPr="00FC0F14" w:rsidRDefault="004878FE" w:rsidP="004878FE">
      <w:pPr>
        <w:pStyle w:val="Call"/>
        <w:spacing w:before="160"/>
        <w:rPr>
          <w:rtl/>
        </w:rPr>
      </w:pPr>
      <w:r w:rsidRPr="00FC0F14">
        <w:rPr>
          <w:rFonts w:hint="cs"/>
          <w:rtl/>
        </w:rPr>
        <w:t>وإذ لا يغرب عن بالها</w:t>
      </w:r>
    </w:p>
    <w:p w14:paraId="73CCC297" w14:textId="77777777" w:rsidR="004878FE" w:rsidRPr="00FC0F14" w:rsidRDefault="004878FE" w:rsidP="004878FE">
      <w:pPr>
        <w:rPr>
          <w:rtl/>
          <w:lang w:val="fr-FR" w:bidi="ar-EG"/>
        </w:rPr>
      </w:pPr>
      <w:r w:rsidRPr="00FC0F14">
        <w:rPr>
          <w:rFonts w:hint="cs"/>
          <w:rtl/>
          <w:lang w:val="fr-FR" w:bidi="ar-EG"/>
        </w:rPr>
        <w:t>أن إنشاء أفرقة استجاب</w:t>
      </w:r>
      <w:r w:rsidRPr="00FC0F14">
        <w:rPr>
          <w:rFonts w:hint="cs"/>
          <w:rtl/>
        </w:rPr>
        <w:t>ة في حالات الحوادث الحاسوبية تعمل على ما يرام في البلدان النامية من شأنه تحسين مستوى مشاركة البلدان النامية في </w:t>
      </w:r>
      <w:r>
        <w:rPr>
          <w:rFonts w:hint="cs"/>
          <w:rtl/>
        </w:rPr>
        <w:t>ال</w:t>
      </w:r>
      <w:r w:rsidRPr="00FC0F14">
        <w:rPr>
          <w:rFonts w:hint="cs"/>
          <w:rtl/>
        </w:rPr>
        <w:t>أنشطة</w:t>
      </w:r>
      <w:r>
        <w:rPr>
          <w:rFonts w:hint="cs"/>
          <w:rtl/>
        </w:rPr>
        <w:t xml:space="preserve"> العالمية</w:t>
      </w:r>
      <w:r w:rsidRPr="00FC0F14">
        <w:rPr>
          <w:rFonts w:hint="cs"/>
          <w:rtl/>
        </w:rPr>
        <w:t xml:space="preserve"> </w:t>
      </w:r>
      <w:r>
        <w:rPr>
          <w:rFonts w:hint="cs"/>
          <w:rtl/>
        </w:rPr>
        <w:t>ل</w:t>
      </w:r>
      <w:r w:rsidRPr="00FC0F14">
        <w:rPr>
          <w:rFonts w:hint="cs"/>
          <w:rtl/>
        </w:rPr>
        <w:t xml:space="preserve">لاستجابة في حالات الطوارئ </w:t>
      </w:r>
      <w:r>
        <w:rPr>
          <w:rFonts w:hint="cs"/>
          <w:rtl/>
        </w:rPr>
        <w:t>فيما يتعلق ب</w:t>
      </w:r>
      <w:r>
        <w:rPr>
          <w:rFonts w:hint="cs"/>
          <w:rtl/>
          <w:lang w:val="fr-CH" w:bidi="ar-SY"/>
        </w:rPr>
        <w:t>الأمن السيبراني</w:t>
      </w:r>
      <w:r w:rsidRPr="00FC0F14">
        <w:rPr>
          <w:rFonts w:hint="cs"/>
          <w:rtl/>
        </w:rPr>
        <w:t xml:space="preserve"> </w:t>
      </w:r>
      <w:r>
        <w:rPr>
          <w:rFonts w:hint="cs"/>
          <w:rtl/>
        </w:rPr>
        <w:t xml:space="preserve">وبالتالي </w:t>
      </w:r>
      <w:r w:rsidRPr="00FC0F14">
        <w:rPr>
          <w:rFonts w:hint="cs"/>
          <w:rtl/>
        </w:rPr>
        <w:t>المساهمة في إقامة بنية تحتية عالمية</w:t>
      </w:r>
      <w:r>
        <w:rPr>
          <w:rFonts w:hint="cs"/>
          <w:rtl/>
        </w:rPr>
        <w:t xml:space="preserve"> فعالة وآمنة</w:t>
      </w:r>
      <w:r w:rsidRPr="00FC0F14">
        <w:rPr>
          <w:rFonts w:hint="cs"/>
          <w:rtl/>
        </w:rPr>
        <w:t xml:space="preserve"> </w:t>
      </w:r>
      <w:r>
        <w:rPr>
          <w:rFonts w:hint="cs"/>
          <w:rtl/>
        </w:rPr>
        <w:t>للاتصالات/</w:t>
      </w:r>
      <w:r w:rsidRPr="00FC0F14">
        <w:rPr>
          <w:rFonts w:hint="cs"/>
          <w:rtl/>
        </w:rPr>
        <w:t>تكنولوجيا المعلومات والاتصالات</w:t>
      </w:r>
      <w:r>
        <w:rPr>
          <w:rFonts w:hint="cs"/>
          <w:rtl/>
        </w:rPr>
        <w:t xml:space="preserve"> وخبرات في مجال الأمن السيبراني</w:t>
      </w:r>
      <w:r w:rsidRPr="00FC0F14">
        <w:rPr>
          <w:rFonts w:hint="cs"/>
          <w:rtl/>
        </w:rPr>
        <w:t>،</w:t>
      </w:r>
    </w:p>
    <w:p w14:paraId="1151FE10" w14:textId="77777777" w:rsidR="004878FE" w:rsidRPr="00FC0F14" w:rsidRDefault="004878FE" w:rsidP="004878FE">
      <w:pPr>
        <w:pStyle w:val="Call"/>
        <w:spacing w:before="160"/>
        <w:rPr>
          <w:rtl/>
        </w:rPr>
      </w:pPr>
      <w:r w:rsidRPr="00FC0F14">
        <w:rPr>
          <w:rFonts w:hint="cs"/>
          <w:rtl/>
        </w:rPr>
        <w:t>تقرر</w:t>
      </w:r>
    </w:p>
    <w:p w14:paraId="118C722C" w14:textId="77777777" w:rsidR="004878FE" w:rsidRPr="00467409" w:rsidRDefault="004878FE" w:rsidP="004878FE">
      <w:pPr>
        <w:rPr>
          <w:rtl/>
          <w:lang w:val="fr-CH" w:bidi="ar-SY"/>
        </w:rPr>
      </w:pPr>
      <w:r w:rsidRPr="00467409">
        <w:rPr>
          <w:rFonts w:hint="cs"/>
          <w:rtl/>
          <w:lang w:val="fr-FR" w:bidi="ar-EG"/>
        </w:rPr>
        <w:t>1</w:t>
      </w:r>
      <w:r w:rsidRPr="00467409">
        <w:rPr>
          <w:rtl/>
          <w:lang w:val="fr-FR" w:bidi="ar-EG"/>
        </w:rPr>
        <w:tab/>
      </w:r>
      <w:r w:rsidRPr="00467409">
        <w:rPr>
          <w:rFonts w:hint="cs"/>
          <w:rtl/>
          <w:lang w:val="fr-FR" w:bidi="ar-EG"/>
        </w:rPr>
        <w:t xml:space="preserve">أن تدعم إنشاء وتعزيز الأفرقة وطنية للاستجابة في حالات الحوادث الحاسوبية في الدول الأعضاء حيث </w:t>
      </w:r>
      <w:r w:rsidRPr="00467409">
        <w:rPr>
          <w:rFonts w:hint="cs"/>
          <w:rtl/>
          <w:lang w:val="fr-CH" w:bidi="ar-SY"/>
        </w:rPr>
        <w:t xml:space="preserve">يطلب الدعم، وأن تعزز </w:t>
      </w:r>
      <w:r w:rsidRPr="00467409">
        <w:rPr>
          <w:rtl/>
          <w:lang w:val="fr-CH" w:bidi="ar-SY"/>
        </w:rPr>
        <w:t xml:space="preserve">الإطار التشغيلي ذي الصلة </w:t>
      </w:r>
      <w:r w:rsidRPr="00467409">
        <w:rPr>
          <w:rFonts w:hint="cs"/>
          <w:rtl/>
          <w:lang w:val="fr-CH" w:bidi="ar-SY"/>
        </w:rPr>
        <w:t>لأفرقة</w:t>
      </w:r>
      <w:r w:rsidRPr="00467409">
        <w:rPr>
          <w:rtl/>
          <w:lang w:val="fr-CH" w:bidi="ar-SY"/>
        </w:rPr>
        <w:t xml:space="preserve"> الاستجابة </w:t>
      </w:r>
      <w:r w:rsidRPr="00467409">
        <w:rPr>
          <w:rFonts w:hint="cs"/>
          <w:rtl/>
          <w:lang w:val="fr-CH" w:bidi="ar-SY"/>
        </w:rPr>
        <w:t>في حالات ال</w:t>
      </w:r>
      <w:r w:rsidRPr="00467409">
        <w:rPr>
          <w:rtl/>
          <w:lang w:val="fr-CH" w:bidi="ar-SY"/>
        </w:rPr>
        <w:t xml:space="preserve">حوادث الحاسوبية في الدول الأعضاء حيث </w:t>
      </w:r>
      <w:r w:rsidRPr="00467409">
        <w:rPr>
          <w:rFonts w:hint="cs"/>
          <w:rtl/>
          <w:lang w:val="fr-CH" w:bidi="ar-SY"/>
        </w:rPr>
        <w:t>يتم إنشاء</w:t>
      </w:r>
      <w:r w:rsidRPr="00467409">
        <w:rPr>
          <w:rtl/>
          <w:lang w:val="fr-CH" w:bidi="ar-SY"/>
        </w:rPr>
        <w:t xml:space="preserve"> </w:t>
      </w:r>
      <w:r w:rsidRPr="00467409">
        <w:rPr>
          <w:rFonts w:hint="cs"/>
          <w:rtl/>
          <w:lang w:val="fr-CH" w:bidi="ar-SY"/>
        </w:rPr>
        <w:t>أفرقة</w:t>
      </w:r>
      <w:r w:rsidRPr="00467409">
        <w:rPr>
          <w:rtl/>
          <w:lang w:val="fr-CH" w:bidi="ar-SY"/>
        </w:rPr>
        <w:t xml:space="preserve"> استجابة</w:t>
      </w:r>
      <w:r w:rsidRPr="00467409">
        <w:rPr>
          <w:rFonts w:hint="eastAsia"/>
          <w:rtl/>
          <w:lang w:val="fr-CH" w:bidi="ar-SY"/>
        </w:rPr>
        <w:t>،</w:t>
      </w:r>
      <w:r w:rsidRPr="00467409">
        <w:rPr>
          <w:rtl/>
          <w:lang w:val="fr-CH" w:bidi="ar-SY"/>
        </w:rPr>
        <w:t xml:space="preserve"> إذا لزم الأمر</w:t>
      </w:r>
      <w:r w:rsidRPr="00467409">
        <w:rPr>
          <w:rFonts w:hint="cs"/>
          <w:rtl/>
          <w:lang w:val="fr-CH" w:bidi="ar-SY"/>
        </w:rPr>
        <w:t>؛</w:t>
      </w:r>
    </w:p>
    <w:p w14:paraId="5404CAF7" w14:textId="77777777" w:rsidR="004878FE" w:rsidRPr="00467409" w:rsidRDefault="004878FE" w:rsidP="004878FE">
      <w:pPr>
        <w:rPr>
          <w:rtl/>
          <w:lang w:val="fr-FR" w:bidi="ar-EG"/>
        </w:rPr>
      </w:pPr>
      <w:r w:rsidRPr="00467409">
        <w:rPr>
          <w:rFonts w:hint="cs"/>
          <w:rtl/>
          <w:lang w:val="fr-FR" w:bidi="ar-EG"/>
        </w:rPr>
        <w:t>2</w:t>
      </w:r>
      <w:r w:rsidRPr="00467409">
        <w:rPr>
          <w:rtl/>
          <w:lang w:val="fr-FR" w:bidi="ar-EG"/>
        </w:rPr>
        <w:tab/>
      </w:r>
      <w:r w:rsidRPr="00467409">
        <w:rPr>
          <w:rFonts w:hint="cs"/>
          <w:rtl/>
          <w:lang w:val="fr-FR"/>
        </w:rPr>
        <w:t>تشجيع قطاع تقييس الاتصالات على تطوير أدوات لدعم</w:t>
      </w:r>
      <w:r w:rsidRPr="00467409">
        <w:rPr>
          <w:rtl/>
          <w:lang w:val="fr-FR"/>
        </w:rPr>
        <w:t xml:space="preserve"> أفرقة الاستجابة في حالات الحوادث الحاسوبية في تعزيز تبادل المعلومات من أجل الاستجابة في حالات حوادث الأمن السيبراني، بهدف رفع مستوى التأهب لطوارئ الأمن السيبراني، خاصة في</w:t>
      </w:r>
      <w:r>
        <w:rPr>
          <w:rFonts w:hint="cs"/>
          <w:rtl/>
          <w:lang w:val="fr-FR"/>
        </w:rPr>
        <w:t> </w:t>
      </w:r>
      <w:r w:rsidRPr="00467409">
        <w:rPr>
          <w:rtl/>
          <w:lang w:val="fr-FR"/>
        </w:rPr>
        <w:t>البلدان النامية؛</w:t>
      </w:r>
    </w:p>
    <w:p w14:paraId="56EB3C6C" w14:textId="77777777" w:rsidR="004878FE" w:rsidRPr="00467409" w:rsidRDefault="004878FE" w:rsidP="004878FE">
      <w:pPr>
        <w:rPr>
          <w:rtl/>
          <w:lang w:val="fr-FR" w:bidi="ar-EG"/>
        </w:rPr>
      </w:pPr>
      <w:r w:rsidRPr="00467409">
        <w:rPr>
          <w:rFonts w:hint="cs"/>
          <w:rtl/>
          <w:lang w:val="fr-FR" w:bidi="ar-EG"/>
        </w:rPr>
        <w:t>3</w:t>
      </w:r>
      <w:r w:rsidRPr="00467409">
        <w:rPr>
          <w:rtl/>
          <w:lang w:val="fr-FR" w:bidi="ar-EG"/>
        </w:rPr>
        <w:tab/>
      </w:r>
      <w:r w:rsidRPr="00467409">
        <w:rPr>
          <w:rtl/>
          <w:lang w:val="fr-FR"/>
        </w:rPr>
        <w:t xml:space="preserve">إشراك المكاتب الإقليمية للاتحاد في تنفيذ هذا القرار وإذكاء وعي الدول الأعضاء بأهمية أفرقة الاستجابة في حالات الحوادث الحاسوبية </w:t>
      </w:r>
      <w:r w:rsidRPr="00467409">
        <w:rPr>
          <w:rFonts w:hint="cs"/>
          <w:rtl/>
          <w:lang w:val="fr-FR"/>
        </w:rPr>
        <w:t xml:space="preserve">عبر </w:t>
      </w:r>
      <w:r w:rsidRPr="00467409">
        <w:rPr>
          <w:rtl/>
          <w:lang w:val="fr-FR"/>
        </w:rPr>
        <w:t xml:space="preserve">أنشطة قطاع تقييس الاتصالات </w:t>
      </w:r>
      <w:r w:rsidRPr="00467409">
        <w:rPr>
          <w:rFonts w:hint="cs"/>
          <w:rtl/>
          <w:lang w:val="fr-FR"/>
        </w:rPr>
        <w:t>ذات الصلة</w:t>
      </w:r>
      <w:r w:rsidRPr="00467409">
        <w:rPr>
          <w:rtl/>
          <w:lang w:val="fr-FR"/>
        </w:rPr>
        <w:t>،</w:t>
      </w:r>
    </w:p>
    <w:p w14:paraId="1979DB25" w14:textId="77777777" w:rsidR="004878FE" w:rsidRDefault="004878FE" w:rsidP="004878FE">
      <w:pPr>
        <w:rPr>
          <w:rtl/>
        </w:rPr>
      </w:pPr>
      <w:r>
        <w:rPr>
          <w:rtl/>
        </w:rPr>
        <w:br w:type="page"/>
      </w:r>
    </w:p>
    <w:p w14:paraId="72D8E119" w14:textId="77777777" w:rsidR="004878FE" w:rsidRDefault="004878FE" w:rsidP="004878FE">
      <w:pPr>
        <w:pStyle w:val="Call"/>
        <w:spacing w:before="160"/>
        <w:rPr>
          <w:rtl/>
        </w:rPr>
      </w:pPr>
      <w:r w:rsidRPr="00467409">
        <w:rPr>
          <w:rFonts w:hint="cs"/>
          <w:rtl/>
        </w:rPr>
        <w:lastRenderedPageBreak/>
        <w:t>تكلف لجنة الدراسات 17 بقطاع تقييس الاتصالات بالاتحاد</w:t>
      </w:r>
    </w:p>
    <w:p w14:paraId="054060F0" w14:textId="77777777" w:rsidR="004878FE" w:rsidRDefault="004878FE" w:rsidP="004878FE">
      <w:pPr>
        <w:rPr>
          <w:rtl/>
        </w:rPr>
      </w:pPr>
      <w:r>
        <w:rPr>
          <w:rFonts w:hint="cs"/>
          <w:rtl/>
        </w:rPr>
        <w:t>1</w:t>
      </w:r>
      <w:r>
        <w:rPr>
          <w:rtl/>
        </w:rPr>
        <w:tab/>
      </w:r>
      <w:r w:rsidRPr="00416106">
        <w:rPr>
          <w:rtl/>
        </w:rPr>
        <w:t xml:space="preserve">بمواصلة وضع التوصيات </w:t>
      </w:r>
      <w:r>
        <w:rPr>
          <w:rFonts w:hint="cs"/>
          <w:rtl/>
        </w:rPr>
        <w:t xml:space="preserve">والإضافات من قطاع تقييس الاتصالات </w:t>
      </w:r>
      <w:r w:rsidRPr="00416106">
        <w:rPr>
          <w:rtl/>
        </w:rPr>
        <w:t xml:space="preserve">والأدوات </w:t>
      </w:r>
      <w:r>
        <w:rPr>
          <w:rFonts w:hint="cs"/>
          <w:rtl/>
        </w:rPr>
        <w:t xml:space="preserve">المحتملة </w:t>
      </w:r>
      <w:r w:rsidRPr="00416106">
        <w:rPr>
          <w:rtl/>
        </w:rPr>
        <w:t xml:space="preserve">التي </w:t>
      </w:r>
      <w:r>
        <w:rPr>
          <w:rFonts w:hint="cs"/>
          <w:rtl/>
        </w:rPr>
        <w:t>توجه إنشاء</w:t>
      </w:r>
      <w:r w:rsidRPr="00416106">
        <w:rPr>
          <w:rtl/>
        </w:rPr>
        <w:t xml:space="preserve"> </w:t>
      </w:r>
      <w:r>
        <w:rPr>
          <w:rFonts w:hint="cs"/>
          <w:rtl/>
        </w:rPr>
        <w:t>فريق</w:t>
      </w:r>
      <w:r w:rsidRPr="00416106">
        <w:rPr>
          <w:rtl/>
        </w:rPr>
        <w:t xml:space="preserve"> الاستجابة في حالات الحوادث الحاسوبية</w:t>
      </w:r>
      <w:r>
        <w:rPr>
          <w:rFonts w:hint="cs"/>
          <w:rtl/>
        </w:rPr>
        <w:t xml:space="preserve"> وتعزيز الإطار التشغيلي لأفرقة الاستجابة، التي يمكن أن تستخدمها الأفرقة</w:t>
      </w:r>
      <w:r w:rsidRPr="00416106">
        <w:rPr>
          <w:rtl/>
        </w:rPr>
        <w:t xml:space="preserve"> </w:t>
      </w:r>
      <w:r>
        <w:rPr>
          <w:rFonts w:hint="cs"/>
          <w:rtl/>
        </w:rPr>
        <w:t xml:space="preserve">الوطنية للاستجابة </w:t>
      </w:r>
      <w:r w:rsidRPr="00416106">
        <w:rPr>
          <w:rtl/>
        </w:rPr>
        <w:t>في</w:t>
      </w:r>
      <w:r>
        <w:rPr>
          <w:rFonts w:hint="cs"/>
          <w:rtl/>
        </w:rPr>
        <w:t> </w:t>
      </w:r>
      <w:r w:rsidRPr="00416106">
        <w:rPr>
          <w:rtl/>
        </w:rPr>
        <w:t>جميع أنحاء العالم لتطوير قدراتها؛</w:t>
      </w:r>
    </w:p>
    <w:p w14:paraId="11D39D8C" w14:textId="77777777" w:rsidR="004878FE" w:rsidRDefault="004878FE" w:rsidP="004878FE">
      <w:pPr>
        <w:rPr>
          <w:rtl/>
        </w:rPr>
      </w:pPr>
      <w:r>
        <w:rPr>
          <w:rFonts w:hint="cs"/>
          <w:rtl/>
        </w:rPr>
        <w:t>2</w:t>
      </w:r>
      <w:r>
        <w:rPr>
          <w:rtl/>
        </w:rPr>
        <w:tab/>
      </w:r>
      <w:r w:rsidRPr="00147FAE">
        <w:rPr>
          <w:rtl/>
        </w:rPr>
        <w:t>باستكشاف الشراكات بشكل استباقي مع المنظمات</w:t>
      </w:r>
      <w:r>
        <w:rPr>
          <w:rFonts w:hint="cs"/>
          <w:rtl/>
        </w:rPr>
        <w:t xml:space="preserve"> والمحافل</w:t>
      </w:r>
      <w:r w:rsidRPr="00147FAE">
        <w:rPr>
          <w:rtl/>
        </w:rPr>
        <w:t xml:space="preserve"> الأخرى المعنية بوضع المعايير لتطوير هذه الأدوات؛</w:t>
      </w:r>
    </w:p>
    <w:p w14:paraId="7E4FCCD6" w14:textId="77777777" w:rsidR="004878FE" w:rsidRDefault="004878FE" w:rsidP="004878FE">
      <w:pPr>
        <w:rPr>
          <w:rtl/>
        </w:rPr>
      </w:pPr>
      <w:r>
        <w:rPr>
          <w:rFonts w:hint="cs"/>
          <w:rtl/>
        </w:rPr>
        <w:t>3</w:t>
      </w:r>
      <w:r>
        <w:rPr>
          <w:rtl/>
        </w:rPr>
        <w:tab/>
      </w:r>
      <w:r>
        <w:rPr>
          <w:rFonts w:hint="cs"/>
          <w:rtl/>
        </w:rPr>
        <w:t>ب</w:t>
      </w:r>
      <w:r w:rsidRPr="00147FAE">
        <w:rPr>
          <w:rtl/>
        </w:rPr>
        <w:t xml:space="preserve">التعاون مع قطاع تنمية الاتصالات بالاتحاد في عمله بشأن إنشاء وتعزيز أفرقة </w:t>
      </w:r>
      <w:r>
        <w:rPr>
          <w:rFonts w:hint="cs"/>
          <w:rtl/>
        </w:rPr>
        <w:t>الوطنية</w:t>
      </w:r>
      <w:r w:rsidRPr="00147FAE">
        <w:rPr>
          <w:rtl/>
        </w:rPr>
        <w:t xml:space="preserve"> </w:t>
      </w:r>
      <w:r>
        <w:rPr>
          <w:rFonts w:hint="cs"/>
          <w:rtl/>
        </w:rPr>
        <w:t>ل</w:t>
      </w:r>
      <w:r w:rsidRPr="00147FAE">
        <w:rPr>
          <w:rtl/>
        </w:rPr>
        <w:t>لاستجابة</w:t>
      </w:r>
      <w:r>
        <w:rPr>
          <w:rFonts w:hint="cs"/>
          <w:rtl/>
        </w:rPr>
        <w:t xml:space="preserve"> في</w:t>
      </w:r>
      <w:r>
        <w:rPr>
          <w:rFonts w:hint="eastAsia"/>
          <w:rtl/>
        </w:rPr>
        <w:t> </w:t>
      </w:r>
      <w:r>
        <w:rPr>
          <w:rFonts w:hint="cs"/>
          <w:rtl/>
        </w:rPr>
        <w:t>حالات ا</w:t>
      </w:r>
      <w:r w:rsidRPr="00147FAE">
        <w:rPr>
          <w:rtl/>
        </w:rPr>
        <w:t>لحوادث الحاسوبية حسب الاقتضاء</w:t>
      </w:r>
      <w:r>
        <w:rPr>
          <w:rFonts w:hint="cs"/>
          <w:rtl/>
        </w:rPr>
        <w:t>؛</w:t>
      </w:r>
    </w:p>
    <w:p w14:paraId="56722ACC" w14:textId="77777777" w:rsidR="004878FE" w:rsidRDefault="004878FE" w:rsidP="004878FE">
      <w:pPr>
        <w:rPr>
          <w:rtl/>
        </w:rPr>
      </w:pPr>
      <w:r>
        <w:rPr>
          <w:rFonts w:hint="cs"/>
          <w:rtl/>
        </w:rPr>
        <w:t>4</w:t>
      </w:r>
      <w:r>
        <w:rPr>
          <w:rtl/>
        </w:rPr>
        <w:tab/>
      </w:r>
      <w:r>
        <w:rPr>
          <w:rFonts w:hint="cs"/>
          <w:rtl/>
        </w:rPr>
        <w:t xml:space="preserve">بتشجيع </w:t>
      </w:r>
      <w:r w:rsidRPr="007A1F61">
        <w:rPr>
          <w:rtl/>
        </w:rPr>
        <w:t xml:space="preserve">الدراسات </w:t>
      </w:r>
      <w:r>
        <w:rPr>
          <w:rFonts w:hint="cs"/>
          <w:rtl/>
        </w:rPr>
        <w:t>بشأن</w:t>
      </w:r>
      <w:r w:rsidRPr="007A1F61">
        <w:rPr>
          <w:rtl/>
        </w:rPr>
        <w:t xml:space="preserve"> الإطار </w:t>
      </w:r>
      <w:r>
        <w:rPr>
          <w:rFonts w:hint="cs"/>
          <w:rtl/>
        </w:rPr>
        <w:t>المتعلق</w:t>
      </w:r>
      <w:r w:rsidRPr="007A1F61">
        <w:rPr>
          <w:rtl/>
        </w:rPr>
        <w:t xml:space="preserve"> </w:t>
      </w:r>
      <w:r>
        <w:rPr>
          <w:rFonts w:hint="cs"/>
          <w:rtl/>
        </w:rPr>
        <w:t>بالفريق</w:t>
      </w:r>
      <w:r w:rsidRPr="007A1F61">
        <w:rPr>
          <w:rtl/>
        </w:rPr>
        <w:t xml:space="preserve"> </w:t>
      </w:r>
      <w:r>
        <w:rPr>
          <w:rFonts w:hint="cs"/>
          <w:rtl/>
        </w:rPr>
        <w:t>الوطني ل</w:t>
      </w:r>
      <w:r w:rsidRPr="007A1F61">
        <w:rPr>
          <w:rtl/>
        </w:rPr>
        <w:t>لاستجابة</w:t>
      </w:r>
      <w:r>
        <w:rPr>
          <w:rFonts w:hint="cs"/>
          <w:rtl/>
        </w:rPr>
        <w:t xml:space="preserve"> في حالات</w:t>
      </w:r>
      <w:r w:rsidRPr="007A1F61">
        <w:rPr>
          <w:rtl/>
        </w:rPr>
        <w:t xml:space="preserve"> </w:t>
      </w:r>
      <w:r>
        <w:rPr>
          <w:rFonts w:hint="cs"/>
          <w:rtl/>
        </w:rPr>
        <w:t>ا</w:t>
      </w:r>
      <w:r w:rsidRPr="007A1F61">
        <w:rPr>
          <w:rtl/>
        </w:rPr>
        <w:t>لحوادث الحاسوبية</w:t>
      </w:r>
      <w:r>
        <w:rPr>
          <w:rFonts w:hint="cs"/>
          <w:rtl/>
        </w:rPr>
        <w:t>؛</w:t>
      </w:r>
    </w:p>
    <w:p w14:paraId="74E0B417" w14:textId="77777777" w:rsidR="004878FE" w:rsidRDefault="004878FE" w:rsidP="004878FE">
      <w:pPr>
        <w:rPr>
          <w:rtl/>
        </w:rPr>
      </w:pPr>
      <w:r>
        <w:rPr>
          <w:rFonts w:hint="cs"/>
          <w:rtl/>
        </w:rPr>
        <w:t>5</w:t>
      </w:r>
      <w:r>
        <w:rPr>
          <w:rtl/>
        </w:rPr>
        <w:tab/>
      </w:r>
      <w:r w:rsidRPr="00F67397">
        <w:rPr>
          <w:rtl/>
        </w:rPr>
        <w:t xml:space="preserve">بدعم مدير مكتب تقييس الاتصالات </w:t>
      </w:r>
      <w:r w:rsidRPr="00334047">
        <w:rPr>
          <w:rtl/>
        </w:rPr>
        <w:t>(</w:t>
      </w:r>
      <w:r w:rsidRPr="00334047">
        <w:t>TSB</w:t>
      </w:r>
      <w:r w:rsidRPr="00334047">
        <w:rPr>
          <w:rtl/>
        </w:rPr>
        <w:t xml:space="preserve">) </w:t>
      </w:r>
      <w:r w:rsidRPr="00F67397">
        <w:rPr>
          <w:rtl/>
        </w:rPr>
        <w:t xml:space="preserve">في المبادرات التي تساعد على سد الفجوة التقييسية بين البلدان النامية والبلدان المتقدمة فيما يتعلق </w:t>
      </w:r>
      <w:r>
        <w:rPr>
          <w:rFonts w:hint="cs"/>
          <w:rtl/>
        </w:rPr>
        <w:t xml:space="preserve">بأفرقة الاستجابة في حالات الحوادث الحاسوبية، </w:t>
      </w:r>
      <w:r w:rsidRPr="00F67397">
        <w:rPr>
          <w:rtl/>
        </w:rPr>
        <w:t xml:space="preserve">والتي ينبغي أن تشمل بنود عمل تتعلق </w:t>
      </w:r>
      <w:r>
        <w:rPr>
          <w:rFonts w:hint="cs"/>
          <w:rtl/>
        </w:rPr>
        <w:t>بالدراسات المضطلع بها بشأن الإطار المتعلق بأفرقة الاستجابة</w:t>
      </w:r>
      <w:r w:rsidRPr="00F67397">
        <w:rPr>
          <w:rtl/>
        </w:rPr>
        <w:t xml:space="preserve">، وإطلاع الأفرقة ذات الصلة في قطاع تنمية الاتصالات </w:t>
      </w:r>
      <w:r>
        <w:rPr>
          <w:rFonts w:hint="cs"/>
          <w:rtl/>
        </w:rPr>
        <w:t xml:space="preserve">على النتائج </w:t>
      </w:r>
      <w:r w:rsidRPr="00F67397">
        <w:rPr>
          <w:rtl/>
        </w:rPr>
        <w:t xml:space="preserve">باعتبارها مهمة </w:t>
      </w:r>
      <w:r>
        <w:rPr>
          <w:rFonts w:hint="cs"/>
          <w:rtl/>
        </w:rPr>
        <w:t>لجنة الدراسات</w:t>
      </w:r>
      <w:r w:rsidRPr="00F67397">
        <w:rPr>
          <w:rtl/>
        </w:rPr>
        <w:t xml:space="preserve"> الرائد</w:t>
      </w:r>
      <w:r>
        <w:rPr>
          <w:rFonts w:hint="cs"/>
          <w:rtl/>
        </w:rPr>
        <w:t>ة</w:t>
      </w:r>
      <w:r w:rsidRPr="00F67397">
        <w:rPr>
          <w:rtl/>
        </w:rPr>
        <w:t xml:space="preserve"> المعني</w:t>
      </w:r>
      <w:r>
        <w:rPr>
          <w:rFonts w:hint="cs"/>
          <w:rtl/>
        </w:rPr>
        <w:t>ة</w:t>
      </w:r>
      <w:r w:rsidRPr="00F67397">
        <w:rPr>
          <w:rtl/>
        </w:rPr>
        <w:t xml:space="preserve"> بالأمن</w:t>
      </w:r>
      <w:r>
        <w:rPr>
          <w:rFonts w:hint="cs"/>
          <w:rtl/>
        </w:rPr>
        <w:t>،</w:t>
      </w:r>
    </w:p>
    <w:p w14:paraId="6B69CA58" w14:textId="77777777" w:rsidR="004878FE" w:rsidRDefault="004878FE" w:rsidP="004878FE">
      <w:pPr>
        <w:pStyle w:val="Call"/>
        <w:spacing w:before="160"/>
        <w:rPr>
          <w:rtl/>
        </w:rPr>
      </w:pPr>
      <w:r>
        <w:rPr>
          <w:rFonts w:hint="cs"/>
          <w:rtl/>
        </w:rPr>
        <w:t>تكلف مدير مكتب تقييس الاتصالات</w:t>
      </w:r>
    </w:p>
    <w:p w14:paraId="548472B3" w14:textId="77777777" w:rsidR="004878FE" w:rsidRDefault="004878FE" w:rsidP="004878FE">
      <w:pPr>
        <w:rPr>
          <w:rtl/>
        </w:rPr>
      </w:pPr>
      <w:r>
        <w:rPr>
          <w:rFonts w:hint="cs"/>
          <w:rtl/>
        </w:rPr>
        <w:t>ب</w:t>
      </w:r>
      <w:r w:rsidRPr="00F67397">
        <w:rPr>
          <w:rtl/>
        </w:rPr>
        <w:t>إبلاغ الفريق الاستشاري لتقييس الاتصالات سنوياً بشأن تنفيذ هذا القرار،</w:t>
      </w:r>
    </w:p>
    <w:p w14:paraId="78312A0B" w14:textId="77777777" w:rsidR="004878FE" w:rsidRPr="00705644" w:rsidRDefault="004878FE" w:rsidP="004878FE">
      <w:pPr>
        <w:pStyle w:val="Call"/>
        <w:rPr>
          <w:rtl/>
        </w:rPr>
      </w:pPr>
      <w:r>
        <w:rPr>
          <w:rFonts w:hint="cs"/>
          <w:rtl/>
        </w:rPr>
        <w:t xml:space="preserve">تكلف </w:t>
      </w:r>
      <w:r w:rsidRPr="00FC0F14">
        <w:rPr>
          <w:rFonts w:hint="cs"/>
          <w:rtl/>
        </w:rPr>
        <w:t>مدير مكتب تقييس الاتصالات، بالتعاون مع مدير مكتب تنمية الاتصالات</w:t>
      </w:r>
    </w:p>
    <w:p w14:paraId="1126F337" w14:textId="77777777" w:rsidR="004878FE" w:rsidRPr="00FC0F14" w:rsidRDefault="004878FE" w:rsidP="004878FE">
      <w:pPr>
        <w:rPr>
          <w:rtl/>
        </w:rPr>
      </w:pPr>
      <w:r>
        <w:rPr>
          <w:rFonts w:hint="cs"/>
          <w:rtl/>
        </w:rPr>
        <w:t>1</w:t>
      </w:r>
      <w:r w:rsidRPr="00FC0F14">
        <w:rPr>
          <w:rFonts w:hint="cs"/>
          <w:rtl/>
        </w:rPr>
        <w:tab/>
        <w:t>بتحديد الأماكن التي يتعين إنشاء هذه الأفرقة الوطنية فيها، ولا سيما في البلدان النامية، وتشجيع إنشائها؛</w:t>
      </w:r>
    </w:p>
    <w:p w14:paraId="1E4D4B57" w14:textId="77777777" w:rsidR="004878FE" w:rsidRDefault="004878FE" w:rsidP="004878FE">
      <w:r>
        <w:rPr>
          <w:rFonts w:hint="cs"/>
          <w:rtl/>
        </w:rPr>
        <w:t>2</w:t>
      </w:r>
      <w:r w:rsidRPr="00FC0F14">
        <w:rPr>
          <w:rFonts w:hint="cs"/>
          <w:rtl/>
        </w:rPr>
        <w:tab/>
      </w:r>
      <w:r w:rsidRPr="004A61C5">
        <w:rPr>
          <w:rFonts w:hint="cs"/>
          <w:spacing w:val="-2"/>
          <w:rtl/>
        </w:rPr>
        <w:t xml:space="preserve">بالتعاون مع الخبراء الدوليين والهيئات الدولية لمساعدة البلدان في إنشاء وتعزيز الأفرقة الوطنية للاستجابة في حالات الحوادث الحاسوبية، من خلال </w:t>
      </w:r>
      <w:r w:rsidRPr="004A61C5">
        <w:rPr>
          <w:spacing w:val="-2"/>
          <w:rtl/>
        </w:rPr>
        <w:t xml:space="preserve">تحسين وتسريع </w:t>
      </w:r>
      <w:r w:rsidRPr="004A61C5">
        <w:rPr>
          <w:rFonts w:hint="cs"/>
          <w:spacing w:val="-2"/>
          <w:rtl/>
        </w:rPr>
        <w:t>وضع</w:t>
      </w:r>
      <w:r w:rsidRPr="004A61C5">
        <w:rPr>
          <w:spacing w:val="-2"/>
          <w:rtl/>
        </w:rPr>
        <w:t xml:space="preserve"> توصيات </w:t>
      </w:r>
      <w:r w:rsidRPr="004A61C5">
        <w:rPr>
          <w:rFonts w:hint="cs"/>
          <w:spacing w:val="-2"/>
          <w:rtl/>
        </w:rPr>
        <w:t>وإضافات</w:t>
      </w:r>
      <w:r w:rsidRPr="004A61C5">
        <w:rPr>
          <w:spacing w:val="-2"/>
          <w:rtl/>
        </w:rPr>
        <w:t xml:space="preserve"> وتقارير </w:t>
      </w:r>
      <w:r w:rsidRPr="004A61C5">
        <w:rPr>
          <w:rFonts w:hint="cs"/>
          <w:spacing w:val="-2"/>
          <w:rtl/>
        </w:rPr>
        <w:t>تقنية من قطاع تقييس الاتصالات</w:t>
      </w:r>
      <w:r w:rsidRPr="004A61C5">
        <w:rPr>
          <w:spacing w:val="-2"/>
          <w:rtl/>
        </w:rPr>
        <w:t xml:space="preserve"> في هذا</w:t>
      </w:r>
      <w:r w:rsidRPr="004A61C5">
        <w:rPr>
          <w:rFonts w:hint="cs"/>
          <w:spacing w:val="-2"/>
          <w:rtl/>
        </w:rPr>
        <w:t> </w:t>
      </w:r>
      <w:r w:rsidRPr="004A61C5">
        <w:rPr>
          <w:spacing w:val="-2"/>
          <w:rtl/>
        </w:rPr>
        <w:t>المجال</w:t>
      </w:r>
      <w:r w:rsidRPr="004A61C5">
        <w:rPr>
          <w:rFonts w:hint="cs"/>
          <w:spacing w:val="-2"/>
          <w:rtl/>
        </w:rPr>
        <w:t>؛</w:t>
      </w:r>
    </w:p>
    <w:p w14:paraId="16501197" w14:textId="77777777" w:rsidR="004878FE" w:rsidRDefault="004878FE" w:rsidP="004878FE">
      <w:pPr>
        <w:rPr>
          <w:rtl/>
        </w:rPr>
      </w:pPr>
      <w:r>
        <w:rPr>
          <w:rFonts w:hint="cs"/>
          <w:rtl/>
        </w:rPr>
        <w:t>3</w:t>
      </w:r>
      <w:r>
        <w:rPr>
          <w:rtl/>
        </w:rPr>
        <w:tab/>
      </w:r>
      <w:r>
        <w:rPr>
          <w:rFonts w:hint="cs"/>
          <w:rtl/>
        </w:rPr>
        <w:t>ب</w:t>
      </w:r>
      <w:r w:rsidRPr="005170E3">
        <w:rPr>
          <w:rtl/>
        </w:rPr>
        <w:t xml:space="preserve">دعم تعزيز الممارسات </w:t>
      </w:r>
      <w:r>
        <w:rPr>
          <w:rFonts w:hint="cs"/>
          <w:rtl/>
        </w:rPr>
        <w:t xml:space="preserve">الفضلى </w:t>
      </w:r>
      <w:r w:rsidRPr="005170E3">
        <w:rPr>
          <w:rtl/>
        </w:rPr>
        <w:t xml:space="preserve">الوطنية والإقليمية والدولية المتعلقة بإنشاء </w:t>
      </w:r>
      <w:r>
        <w:rPr>
          <w:rFonts w:hint="cs"/>
          <w:rtl/>
        </w:rPr>
        <w:t>ال</w:t>
      </w:r>
      <w:r w:rsidRPr="00FC0F14">
        <w:rPr>
          <w:rFonts w:hint="cs"/>
          <w:rtl/>
        </w:rPr>
        <w:t xml:space="preserve">أفرقة </w:t>
      </w:r>
      <w:r>
        <w:rPr>
          <w:rFonts w:hint="cs"/>
          <w:rtl/>
        </w:rPr>
        <w:t>ال</w:t>
      </w:r>
      <w:r w:rsidRPr="00FC0F14">
        <w:rPr>
          <w:rFonts w:hint="cs"/>
          <w:rtl/>
        </w:rPr>
        <w:t xml:space="preserve">وطنية </w:t>
      </w:r>
      <w:r>
        <w:rPr>
          <w:rFonts w:hint="cs"/>
          <w:rtl/>
        </w:rPr>
        <w:t>لل</w:t>
      </w:r>
      <w:r w:rsidRPr="00FC0F14">
        <w:rPr>
          <w:rFonts w:hint="cs"/>
          <w:rtl/>
        </w:rPr>
        <w:t>استجابة في حالات الحوادث الحاسوبية</w:t>
      </w:r>
      <w:r w:rsidRPr="005170E3">
        <w:rPr>
          <w:rtl/>
        </w:rPr>
        <w:t xml:space="preserve"> من خلال </w:t>
      </w:r>
      <w:r>
        <w:rPr>
          <w:rFonts w:hint="cs"/>
          <w:rtl/>
        </w:rPr>
        <w:t>تقديم</w:t>
      </w:r>
      <w:r w:rsidRPr="005170E3">
        <w:rPr>
          <w:rtl/>
        </w:rPr>
        <w:t xml:space="preserve"> توصيات وإضافات </w:t>
      </w:r>
      <w:r>
        <w:rPr>
          <w:rFonts w:hint="cs"/>
          <w:rtl/>
        </w:rPr>
        <w:t xml:space="preserve">وتقارير </w:t>
      </w:r>
      <w:r w:rsidRPr="005170E3">
        <w:rPr>
          <w:rtl/>
        </w:rPr>
        <w:t>تقنية</w:t>
      </w:r>
      <w:r>
        <w:rPr>
          <w:rFonts w:hint="cs"/>
          <w:rtl/>
        </w:rPr>
        <w:t xml:space="preserve"> من قطاع تقييس الاتصالات؛</w:t>
      </w:r>
    </w:p>
    <w:p w14:paraId="18BF7E30" w14:textId="77777777" w:rsidR="004878FE" w:rsidRDefault="004878FE" w:rsidP="004878FE">
      <w:pPr>
        <w:rPr>
          <w:spacing w:val="-2"/>
          <w:rtl/>
        </w:rPr>
      </w:pPr>
      <w:r>
        <w:rPr>
          <w:rFonts w:hint="cs"/>
          <w:spacing w:val="-2"/>
          <w:rtl/>
        </w:rPr>
        <w:t>4</w:t>
      </w:r>
      <w:r>
        <w:rPr>
          <w:spacing w:val="-2"/>
          <w:rtl/>
        </w:rPr>
        <w:tab/>
      </w:r>
      <w:r>
        <w:rPr>
          <w:rFonts w:hint="cs"/>
          <w:spacing w:val="-2"/>
          <w:rtl/>
        </w:rPr>
        <w:t>بإذكاء</w:t>
      </w:r>
      <w:r w:rsidRPr="005170E3">
        <w:rPr>
          <w:spacing w:val="-2"/>
          <w:rtl/>
        </w:rPr>
        <w:t xml:space="preserve"> الوعي بمخرجات </w:t>
      </w:r>
      <w:r>
        <w:rPr>
          <w:rFonts w:hint="cs"/>
          <w:spacing w:val="-2"/>
          <w:rtl/>
        </w:rPr>
        <w:t>لجنة</w:t>
      </w:r>
      <w:r w:rsidRPr="005170E3">
        <w:rPr>
          <w:spacing w:val="-2"/>
          <w:rtl/>
        </w:rPr>
        <w:t xml:space="preserve"> الدراس</w:t>
      </w:r>
      <w:r>
        <w:rPr>
          <w:rFonts w:hint="cs"/>
          <w:spacing w:val="-2"/>
          <w:rtl/>
        </w:rPr>
        <w:t>ات</w:t>
      </w:r>
      <w:r w:rsidRPr="005170E3">
        <w:rPr>
          <w:spacing w:val="-2"/>
          <w:rtl/>
        </w:rPr>
        <w:t xml:space="preserve"> 17 </w:t>
      </w:r>
      <w:r w:rsidRPr="0078580E">
        <w:rPr>
          <w:spacing w:val="-2"/>
          <w:rtl/>
        </w:rPr>
        <w:t xml:space="preserve">بقطاع تقييس الاتصالات </w:t>
      </w:r>
      <w:r w:rsidRPr="005170E3">
        <w:rPr>
          <w:spacing w:val="-2"/>
          <w:rtl/>
        </w:rPr>
        <w:t xml:space="preserve">مثل التوصيات </w:t>
      </w:r>
      <w:r>
        <w:rPr>
          <w:rFonts w:hint="cs"/>
          <w:spacing w:val="-2"/>
          <w:rtl/>
        </w:rPr>
        <w:t>والإضافات</w:t>
      </w:r>
      <w:r w:rsidRPr="005170E3">
        <w:rPr>
          <w:spacing w:val="-2"/>
          <w:rtl/>
        </w:rPr>
        <w:t xml:space="preserve"> والتقارير </w:t>
      </w:r>
      <w:r>
        <w:rPr>
          <w:rFonts w:hint="cs"/>
          <w:spacing w:val="-2"/>
          <w:rtl/>
        </w:rPr>
        <w:t>التقنية</w:t>
      </w:r>
      <w:r w:rsidRPr="005170E3"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 xml:space="preserve">من قطاع تقييس الاتصالات </w:t>
      </w:r>
      <w:r w:rsidRPr="005170E3">
        <w:rPr>
          <w:spacing w:val="-2"/>
          <w:rtl/>
        </w:rPr>
        <w:t xml:space="preserve">لإنشاء وتعزيز </w:t>
      </w:r>
      <w:r>
        <w:rPr>
          <w:rFonts w:hint="cs"/>
          <w:spacing w:val="-2"/>
          <w:rtl/>
        </w:rPr>
        <w:t>أفرقة</w:t>
      </w:r>
      <w:r w:rsidRPr="005170E3">
        <w:rPr>
          <w:spacing w:val="-2"/>
          <w:rtl/>
        </w:rPr>
        <w:t xml:space="preserve"> الاستجابة </w:t>
      </w:r>
      <w:r>
        <w:rPr>
          <w:rFonts w:hint="cs"/>
          <w:spacing w:val="-2"/>
          <w:rtl/>
        </w:rPr>
        <w:t>في حالات ا</w:t>
      </w:r>
      <w:r w:rsidRPr="005170E3">
        <w:rPr>
          <w:spacing w:val="-2"/>
          <w:rtl/>
        </w:rPr>
        <w:t>لحوادث الحاسوبية، بما في ذلك الإطار التشغيلي ذي الصلة</w:t>
      </w:r>
      <w:r>
        <w:rPr>
          <w:rFonts w:hint="cs"/>
          <w:spacing w:val="-2"/>
          <w:rtl/>
        </w:rPr>
        <w:t>؛</w:t>
      </w:r>
    </w:p>
    <w:p w14:paraId="0558B0FD" w14:textId="77777777" w:rsidR="004878FE" w:rsidRPr="00FC0F14" w:rsidRDefault="004878FE" w:rsidP="004878FE">
      <w:pPr>
        <w:rPr>
          <w:rtl/>
        </w:rPr>
      </w:pPr>
      <w:r>
        <w:rPr>
          <w:rFonts w:hint="cs"/>
          <w:rtl/>
        </w:rPr>
        <w:t>5</w:t>
      </w:r>
      <w:r w:rsidRPr="00FC0F14">
        <w:tab/>
      </w:r>
      <w:r w:rsidRPr="00FC0F14">
        <w:rPr>
          <w:rFonts w:hint="cs"/>
          <w:rtl/>
        </w:rPr>
        <w:t>بتقديم الدعم، حسب الاقتضاء، في حدود الموارد الحالية للميزانية؛</w:t>
      </w:r>
    </w:p>
    <w:p w14:paraId="368A7A35" w14:textId="77777777" w:rsidR="004878FE" w:rsidRPr="00FC0F14" w:rsidRDefault="004878FE" w:rsidP="004878FE">
      <w:pPr>
        <w:rPr>
          <w:rtl/>
        </w:rPr>
      </w:pPr>
      <w:r>
        <w:rPr>
          <w:rFonts w:hint="cs"/>
          <w:rtl/>
        </w:rPr>
        <w:t>6</w:t>
      </w:r>
      <w:r w:rsidRPr="00FC0F14">
        <w:rPr>
          <w:rFonts w:hint="cs"/>
          <w:rtl/>
        </w:rPr>
        <w:tab/>
        <w:t xml:space="preserve">بتسهيل التعاون بين </w:t>
      </w:r>
      <w:r>
        <w:rPr>
          <w:rFonts w:hint="cs"/>
          <w:rtl/>
        </w:rPr>
        <w:t>ال</w:t>
      </w:r>
      <w:r w:rsidRPr="00FC0F14">
        <w:rPr>
          <w:rFonts w:hint="cs"/>
          <w:rtl/>
        </w:rPr>
        <w:t xml:space="preserve">أفرقة الوطنية </w:t>
      </w:r>
      <w:r>
        <w:rPr>
          <w:rFonts w:hint="cs"/>
          <w:rtl/>
        </w:rPr>
        <w:t>لل</w:t>
      </w:r>
      <w:r w:rsidRPr="00FC0F14">
        <w:rPr>
          <w:rFonts w:hint="cs"/>
          <w:rtl/>
        </w:rPr>
        <w:t>استجابة في مجالات مثل بناء القدرات وتبادل المعلومات، ضمن إطار مناسب؛</w:t>
      </w:r>
    </w:p>
    <w:p w14:paraId="797F01BE" w14:textId="77777777" w:rsidR="004878FE" w:rsidRDefault="004878FE" w:rsidP="004878FE">
      <w:r>
        <w:rPr>
          <w:rFonts w:hint="cs"/>
          <w:rtl/>
        </w:rPr>
        <w:t>7</w:t>
      </w:r>
      <w:r w:rsidRPr="00FC0F14">
        <w:tab/>
      </w:r>
      <w:r w:rsidRPr="00FC0F14">
        <w:rPr>
          <w:rFonts w:hint="cs"/>
          <w:rtl/>
        </w:rPr>
        <w:t>باتخاذ الإجراءات اللازمة للتقدم في تنفيذ هذا القرار،</w:t>
      </w:r>
    </w:p>
    <w:p w14:paraId="76D3BD75" w14:textId="22F68A13" w:rsidR="00BE6A37" w:rsidRDefault="00BE6A37" w:rsidP="004878FE">
      <w:r>
        <w:br w:type="page"/>
      </w:r>
    </w:p>
    <w:p w14:paraId="1872C299" w14:textId="77777777" w:rsidR="004878FE" w:rsidRPr="00FC0F14" w:rsidRDefault="004878FE" w:rsidP="004878FE">
      <w:pPr>
        <w:pStyle w:val="Call"/>
        <w:spacing w:before="160"/>
        <w:rPr>
          <w:rtl/>
        </w:rPr>
      </w:pPr>
      <w:r w:rsidRPr="00FC0F14">
        <w:rPr>
          <w:rFonts w:hint="cs"/>
          <w:rtl/>
        </w:rPr>
        <w:lastRenderedPageBreak/>
        <w:t>تدعو الدول الأعضاء</w:t>
      </w:r>
      <w:r w:rsidRPr="00FC0F14">
        <w:rPr>
          <w:rFonts w:hint="cs"/>
          <w:rtl/>
          <w:lang w:bidi="ar-EG"/>
        </w:rPr>
        <w:t xml:space="preserve"> إلى</w:t>
      </w:r>
    </w:p>
    <w:p w14:paraId="05A022B4" w14:textId="77777777" w:rsidR="004878FE" w:rsidRPr="00FC0F14" w:rsidRDefault="004878FE" w:rsidP="004878FE">
      <w:pPr>
        <w:rPr>
          <w:rtl/>
          <w:lang w:bidi="ar-EG"/>
        </w:rPr>
      </w:pPr>
      <w:r w:rsidRPr="00FC0F14">
        <w:rPr>
          <w:lang w:bidi="ar-EG"/>
        </w:rPr>
        <w:t>1</w:t>
      </w:r>
      <w:r w:rsidRPr="00FC0F14">
        <w:rPr>
          <w:rFonts w:hint="cs"/>
          <w:rtl/>
          <w:lang w:bidi="ar-EG"/>
        </w:rPr>
        <w:tab/>
        <w:t xml:space="preserve">النظر في إنشاء </w:t>
      </w:r>
      <w:r>
        <w:rPr>
          <w:rFonts w:hint="cs"/>
          <w:rtl/>
          <w:lang w:bidi="ar-EG"/>
        </w:rPr>
        <w:t>وتعزيز الأفرقة</w:t>
      </w:r>
      <w:r w:rsidRPr="00FC0F1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</w:t>
      </w:r>
      <w:r w:rsidRPr="00FC0F14">
        <w:rPr>
          <w:rFonts w:hint="cs"/>
          <w:rtl/>
          <w:lang w:bidi="ar-EG"/>
        </w:rPr>
        <w:t>وطني</w:t>
      </w:r>
      <w:r>
        <w:rPr>
          <w:rFonts w:hint="cs"/>
          <w:rtl/>
          <w:lang w:bidi="ar-EG"/>
        </w:rPr>
        <w:t>ة</w:t>
      </w:r>
      <w:r w:rsidRPr="00FC0F1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للا</w:t>
      </w:r>
      <w:r w:rsidRPr="00FC0F14">
        <w:rPr>
          <w:rFonts w:hint="cs"/>
          <w:rtl/>
          <w:lang w:bidi="ar-EG"/>
        </w:rPr>
        <w:t xml:space="preserve">ستجابة كأولوية </w:t>
      </w:r>
      <w:proofErr w:type="gramStart"/>
      <w:r w:rsidRPr="00FC0F14">
        <w:rPr>
          <w:rFonts w:hint="cs"/>
          <w:rtl/>
          <w:lang w:bidi="ar-EG"/>
        </w:rPr>
        <w:t>عالية؛</w:t>
      </w:r>
      <w:proofErr w:type="gramEnd"/>
    </w:p>
    <w:p w14:paraId="6B6012ED" w14:textId="77777777" w:rsidR="004878FE" w:rsidRDefault="004878FE" w:rsidP="004878FE">
      <w:pPr>
        <w:rPr>
          <w:lang w:bidi="ar-EG"/>
        </w:rPr>
      </w:pPr>
      <w:r w:rsidRPr="00FC0F14">
        <w:rPr>
          <w:lang w:bidi="ar-EG"/>
        </w:rPr>
        <w:t>2</w:t>
      </w:r>
      <w:r w:rsidRPr="00FC0F14">
        <w:rPr>
          <w:rFonts w:hint="cs"/>
          <w:rtl/>
          <w:lang w:bidi="ar-EG"/>
        </w:rPr>
        <w:tab/>
        <w:t xml:space="preserve">التعاون مع غيرها من الدول الأعضاء ومع أعضاء </w:t>
      </w:r>
      <w:proofErr w:type="gramStart"/>
      <w:r w:rsidRPr="00FC0F14">
        <w:rPr>
          <w:rFonts w:hint="cs"/>
          <w:rtl/>
          <w:lang w:bidi="ar-EG"/>
        </w:rPr>
        <w:t>القطاع</w:t>
      </w:r>
      <w:r>
        <w:rPr>
          <w:rFonts w:hint="cs"/>
          <w:rtl/>
          <w:lang w:bidi="ar-EG"/>
        </w:rPr>
        <w:t>؛</w:t>
      </w:r>
      <w:proofErr w:type="gramEnd"/>
    </w:p>
    <w:p w14:paraId="59366FA6" w14:textId="77777777" w:rsidR="004878FE" w:rsidRDefault="004878FE" w:rsidP="004878FE">
      <w:pPr>
        <w:rPr>
          <w:rtl/>
          <w:lang w:bidi="ar-EG"/>
        </w:rPr>
      </w:pPr>
      <w:r>
        <w:rPr>
          <w:rFonts w:hint="cs"/>
          <w:rtl/>
          <w:lang w:bidi="ar-EG"/>
        </w:rPr>
        <w:t>3</w:t>
      </w:r>
      <w:r>
        <w:rPr>
          <w:rtl/>
          <w:lang w:bidi="ar-EG"/>
        </w:rPr>
        <w:tab/>
      </w:r>
      <w:r w:rsidRPr="002F31A5">
        <w:rPr>
          <w:rtl/>
        </w:rPr>
        <w:t xml:space="preserve">النظر في الكيفية التي يمكن بها </w:t>
      </w:r>
      <w:r>
        <w:rPr>
          <w:rFonts w:hint="cs"/>
          <w:rtl/>
        </w:rPr>
        <w:t>ل</w:t>
      </w:r>
      <w:r w:rsidRPr="002F31A5">
        <w:rPr>
          <w:rtl/>
        </w:rPr>
        <w:t>لجنة الدراسات</w:t>
      </w:r>
      <w:r w:rsidRPr="002F31A5">
        <w:rPr>
          <w:lang w:bidi="ar-EG"/>
        </w:rPr>
        <w:t xml:space="preserve"> </w:t>
      </w:r>
      <w:r w:rsidRPr="002F31A5">
        <w:rPr>
          <w:cs/>
        </w:rPr>
        <w:t>‎</w:t>
      </w:r>
      <w:r w:rsidRPr="002F31A5">
        <w:rPr>
          <w:lang w:bidi="ar-EG"/>
        </w:rPr>
        <w:t xml:space="preserve">17 </w:t>
      </w:r>
      <w:r w:rsidRPr="002F31A5">
        <w:rPr>
          <w:rtl/>
        </w:rPr>
        <w:t xml:space="preserve">‏أن </w:t>
      </w:r>
      <w:r>
        <w:rPr>
          <w:rFonts w:hint="cs"/>
          <w:rtl/>
        </w:rPr>
        <w:t>تثري بها فهم</w:t>
      </w:r>
      <w:r w:rsidRPr="002F31A5">
        <w:rPr>
          <w:rtl/>
        </w:rPr>
        <w:t xml:space="preserve"> أعضاء الاتحاد لأدوار ومسؤوليات أفرقة الاستجابة في حالات الحوادث الحاسوبية، واتخاذ الإجراءات المناسبة؛</w:t>
      </w:r>
    </w:p>
    <w:p w14:paraId="18661E74" w14:textId="77777777" w:rsidR="004878FE" w:rsidRDefault="004878FE" w:rsidP="004878FE">
      <w:pPr>
        <w:rPr>
          <w:rtl/>
        </w:rPr>
      </w:pPr>
      <w:r>
        <w:rPr>
          <w:rFonts w:hint="cs"/>
          <w:rtl/>
          <w:lang w:bidi="ar-EG"/>
        </w:rPr>
        <w:t>4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ت</w:t>
      </w:r>
      <w:r w:rsidRPr="00D44A28">
        <w:rPr>
          <w:rtl/>
        </w:rPr>
        <w:t>شجيع شبكات التعاون والمشاركة في المنظمات الدولية لتعزيز قدرات الأمن السيبراني العالمية والتعاون في</w:t>
      </w:r>
      <w:r>
        <w:rPr>
          <w:rFonts w:hint="cs"/>
          <w:rtl/>
        </w:rPr>
        <w:t> </w:t>
      </w:r>
      <w:r w:rsidRPr="00D44A28">
        <w:rPr>
          <w:rtl/>
        </w:rPr>
        <w:t>الاستجابة في حالات الحوادث،</w:t>
      </w:r>
    </w:p>
    <w:p w14:paraId="20AB183E" w14:textId="77777777" w:rsidR="004878FE" w:rsidRDefault="004878FE" w:rsidP="004878FE">
      <w:pPr>
        <w:pStyle w:val="Call"/>
        <w:spacing w:before="160"/>
        <w:rPr>
          <w:rtl/>
        </w:rPr>
      </w:pPr>
      <w:r w:rsidRPr="00FC0F14">
        <w:rPr>
          <w:rFonts w:hint="cs"/>
          <w:rtl/>
        </w:rPr>
        <w:t>تدعو الدول الأعضاء وأعضاء القطاع</w:t>
      </w:r>
      <w:r>
        <w:rPr>
          <w:rFonts w:hint="cs"/>
          <w:rtl/>
        </w:rPr>
        <w:t xml:space="preserve"> والمنتسبين والهيئات الأكاديمية، حسب الاقتضاء</w:t>
      </w:r>
      <w:r>
        <w:rPr>
          <w:rFonts w:hint="cs"/>
          <w:rtl/>
          <w:lang w:bidi="ar-EG"/>
        </w:rPr>
        <w:t>،</w:t>
      </w:r>
      <w:r>
        <w:rPr>
          <w:rFonts w:hint="cs"/>
          <w:rtl/>
        </w:rPr>
        <w:t xml:space="preserve"> إلى</w:t>
      </w:r>
    </w:p>
    <w:p w14:paraId="5ECDBCAB" w14:textId="77777777" w:rsidR="004878FE" w:rsidRDefault="004878FE" w:rsidP="004878FE">
      <w:pPr>
        <w:rPr>
          <w:rtl/>
        </w:rPr>
      </w:pPr>
      <w:r>
        <w:rPr>
          <w:rFonts w:hint="cs"/>
          <w:rtl/>
        </w:rPr>
        <w:t>1</w:t>
      </w:r>
      <w:r>
        <w:rPr>
          <w:rtl/>
        </w:rPr>
        <w:tab/>
      </w:r>
      <w:r w:rsidRPr="00D44A28">
        <w:rPr>
          <w:rtl/>
        </w:rPr>
        <w:t>‏النظر في المشاركة في تحسين</w:t>
      </w:r>
      <w:r>
        <w:rPr>
          <w:rFonts w:hint="cs"/>
          <w:rtl/>
        </w:rPr>
        <w:t xml:space="preserve"> وتطوير التوصيات والإضافات والتقارير التقنية </w:t>
      </w:r>
      <w:r>
        <w:rPr>
          <w:rFonts w:hint="cs"/>
          <w:spacing w:val="-2"/>
          <w:rtl/>
        </w:rPr>
        <w:t xml:space="preserve">من قطاع تقييس الاتصالات </w:t>
      </w:r>
      <w:r w:rsidRPr="00D44A28">
        <w:rPr>
          <w:rtl/>
        </w:rPr>
        <w:t xml:space="preserve">من أجل دعم إنشاء وتشغيل </w:t>
      </w:r>
      <w:r>
        <w:rPr>
          <w:rFonts w:hint="cs"/>
          <w:rtl/>
        </w:rPr>
        <w:t>ال</w:t>
      </w:r>
      <w:r w:rsidRPr="00D44A28">
        <w:rPr>
          <w:rtl/>
        </w:rPr>
        <w:t xml:space="preserve">أفرقة </w:t>
      </w:r>
      <w:r>
        <w:rPr>
          <w:rFonts w:hint="cs"/>
          <w:rtl/>
        </w:rPr>
        <w:t>ال</w:t>
      </w:r>
      <w:r w:rsidRPr="00D44A28">
        <w:rPr>
          <w:rtl/>
        </w:rPr>
        <w:t>وطنية للاستجابة في حالات الحوادث الحاسوبية على نحو فعال</w:t>
      </w:r>
      <w:r w:rsidRPr="00D44A28">
        <w:rPr>
          <w:cs/>
        </w:rPr>
        <w:t>‎</w:t>
      </w:r>
      <w:r w:rsidRPr="00D44A28">
        <w:rPr>
          <w:rtl/>
        </w:rPr>
        <w:t>؛</w:t>
      </w:r>
    </w:p>
    <w:p w14:paraId="15CBC42A" w14:textId="77777777" w:rsidR="004878FE" w:rsidRPr="00FC0F14" w:rsidRDefault="004878FE" w:rsidP="004878FE">
      <w:pPr>
        <w:rPr>
          <w:rtl/>
          <w:lang w:val="fr-FR" w:bidi="ar-EG"/>
        </w:rPr>
      </w:pPr>
      <w:r>
        <w:rPr>
          <w:rFonts w:hint="cs"/>
          <w:rtl/>
          <w:lang w:val="fr-FR" w:bidi="ar-EG"/>
        </w:rPr>
        <w:t>2</w:t>
      </w:r>
      <w:r>
        <w:rPr>
          <w:rtl/>
          <w:lang w:val="fr-FR" w:bidi="ar-EG"/>
        </w:rPr>
        <w:tab/>
      </w:r>
      <w:r w:rsidRPr="00FC0F14">
        <w:rPr>
          <w:rFonts w:hint="cs"/>
          <w:rtl/>
          <w:lang w:val="fr-FR" w:bidi="ar-EG"/>
        </w:rPr>
        <w:t>التعاون الوثيق مع قطاع تقييس الاتصالات وقطاع تنمية الاتصالات</w:t>
      </w:r>
      <w:r>
        <w:rPr>
          <w:rFonts w:hint="cs"/>
          <w:rtl/>
          <w:lang w:val="fr-FR" w:bidi="ar-EG"/>
        </w:rPr>
        <w:t xml:space="preserve"> والمكاتب الإقليمية للاتحاد</w:t>
      </w:r>
      <w:r w:rsidRPr="00FC0F14">
        <w:rPr>
          <w:rFonts w:hint="cs"/>
          <w:rtl/>
          <w:lang w:val="fr-FR" w:bidi="ar-EG"/>
        </w:rPr>
        <w:t xml:space="preserve"> في هذا الصدد.</w:t>
      </w:r>
    </w:p>
    <w:p w14:paraId="4A8E12DB" w14:textId="0F61AE17" w:rsidR="00103191" w:rsidRDefault="00103191" w:rsidP="001B41F3">
      <w:pPr>
        <w:rPr>
          <w:rtl/>
          <w:lang w:bidi="ar-EG"/>
        </w:rPr>
      </w:pPr>
    </w:p>
    <w:p w14:paraId="140972E8" w14:textId="77777777" w:rsidR="00BE6A37" w:rsidRDefault="00BE6A37" w:rsidP="001B41F3">
      <w:pPr>
        <w:rPr>
          <w:rtl/>
          <w:lang w:bidi="ar-EG"/>
        </w:rPr>
      </w:pPr>
    </w:p>
    <w:p w14:paraId="3268ED17" w14:textId="77777777" w:rsidR="00BE6A37" w:rsidRDefault="00BE6A37" w:rsidP="001B41F3">
      <w:pPr>
        <w:rPr>
          <w:rtl/>
          <w:lang w:bidi="ar-EG"/>
        </w:rPr>
      </w:pPr>
    </w:p>
    <w:p w14:paraId="53BBFED4" w14:textId="77777777" w:rsidR="00BE6A37" w:rsidRDefault="00BE6A37" w:rsidP="001B41F3">
      <w:pPr>
        <w:rPr>
          <w:rtl/>
          <w:lang w:bidi="ar-EG"/>
        </w:rPr>
      </w:pPr>
    </w:p>
    <w:p w14:paraId="0B3430EE" w14:textId="77777777" w:rsidR="00BE6A37" w:rsidRDefault="00BE6A37" w:rsidP="001B41F3">
      <w:pPr>
        <w:rPr>
          <w:rtl/>
          <w:lang w:bidi="ar-EG"/>
        </w:rPr>
      </w:pPr>
    </w:p>
    <w:p w14:paraId="73BA5808" w14:textId="77777777" w:rsidR="00BE6A37" w:rsidRDefault="00BE6A37" w:rsidP="001B41F3">
      <w:pPr>
        <w:rPr>
          <w:rtl/>
          <w:lang w:bidi="ar-EG"/>
        </w:rPr>
      </w:pPr>
    </w:p>
    <w:p w14:paraId="4705ED39" w14:textId="77777777" w:rsidR="00BE6A37" w:rsidRDefault="00BE6A37" w:rsidP="001B41F3">
      <w:pPr>
        <w:rPr>
          <w:rtl/>
          <w:lang w:bidi="ar-EG"/>
        </w:rPr>
      </w:pPr>
    </w:p>
    <w:p w14:paraId="349F6ADB" w14:textId="77777777" w:rsidR="00BE6A37" w:rsidRDefault="00BE6A37" w:rsidP="001B41F3">
      <w:pPr>
        <w:rPr>
          <w:rtl/>
          <w:lang w:bidi="ar-EG"/>
        </w:rPr>
      </w:pPr>
    </w:p>
    <w:p w14:paraId="5487C4DC" w14:textId="77777777" w:rsidR="00BE6A37" w:rsidRDefault="00BE6A37" w:rsidP="001B41F3">
      <w:pPr>
        <w:rPr>
          <w:rtl/>
          <w:lang w:bidi="ar-EG"/>
        </w:rPr>
      </w:pPr>
    </w:p>
    <w:p w14:paraId="165AB435" w14:textId="77777777" w:rsidR="00BE6A37" w:rsidRDefault="00BE6A37" w:rsidP="001B41F3">
      <w:pPr>
        <w:rPr>
          <w:rtl/>
          <w:lang w:bidi="ar-EG"/>
        </w:rPr>
      </w:pPr>
    </w:p>
    <w:p w14:paraId="1DB5DBAE" w14:textId="77777777" w:rsidR="00BE6A37" w:rsidRDefault="00BE6A37" w:rsidP="001B41F3">
      <w:pPr>
        <w:rPr>
          <w:rtl/>
          <w:lang w:bidi="ar-EG"/>
        </w:rPr>
      </w:pPr>
    </w:p>
    <w:p w14:paraId="53BA853C" w14:textId="77777777" w:rsidR="00BE6A37" w:rsidRDefault="00BE6A37" w:rsidP="001B41F3">
      <w:pPr>
        <w:rPr>
          <w:rtl/>
          <w:lang w:bidi="ar-EG"/>
        </w:rPr>
      </w:pPr>
    </w:p>
    <w:p w14:paraId="0F66C9C6" w14:textId="77777777" w:rsidR="00BE6A37" w:rsidRDefault="00BE6A37" w:rsidP="001B41F3">
      <w:pPr>
        <w:rPr>
          <w:rtl/>
          <w:lang w:bidi="ar-EG"/>
        </w:rPr>
      </w:pPr>
    </w:p>
    <w:p w14:paraId="2B4CC338" w14:textId="77777777" w:rsidR="00BE6A37" w:rsidRDefault="00BE6A37" w:rsidP="001B41F3">
      <w:pPr>
        <w:rPr>
          <w:rtl/>
          <w:lang w:bidi="ar-EG"/>
        </w:rPr>
      </w:pPr>
    </w:p>
    <w:p w14:paraId="2C4778FC" w14:textId="77777777" w:rsidR="00BE6A37" w:rsidRDefault="00BE6A37" w:rsidP="001B41F3">
      <w:pPr>
        <w:rPr>
          <w:rtl/>
          <w:lang w:bidi="ar-EG"/>
        </w:rPr>
      </w:pPr>
    </w:p>
    <w:p w14:paraId="6F7B1B40" w14:textId="77777777" w:rsidR="00BE6A37" w:rsidRDefault="00BE6A37" w:rsidP="001B41F3">
      <w:pPr>
        <w:rPr>
          <w:rtl/>
          <w:lang w:bidi="ar-EG"/>
        </w:rPr>
      </w:pPr>
    </w:p>
    <w:p w14:paraId="07F9FCCD" w14:textId="77777777" w:rsidR="00BE6A37" w:rsidRDefault="00BE6A37" w:rsidP="001B41F3">
      <w:pPr>
        <w:rPr>
          <w:rtl/>
          <w:lang w:bidi="ar-EG"/>
        </w:rPr>
      </w:pPr>
    </w:p>
    <w:p w14:paraId="7871AE9B" w14:textId="77777777" w:rsidR="00BE6A37" w:rsidRDefault="00BE6A37" w:rsidP="001B41F3">
      <w:pPr>
        <w:rPr>
          <w:rtl/>
          <w:lang w:bidi="ar-EG"/>
        </w:rPr>
      </w:pPr>
    </w:p>
    <w:p w14:paraId="238580D1" w14:textId="77777777" w:rsidR="00BE6A37" w:rsidRDefault="00BE6A37" w:rsidP="001B41F3">
      <w:pPr>
        <w:rPr>
          <w:rtl/>
          <w:lang w:bidi="ar-EG"/>
        </w:rPr>
      </w:pPr>
    </w:p>
    <w:p w14:paraId="6B2DF012" w14:textId="77777777" w:rsidR="00BE6A37" w:rsidRDefault="00BE6A37" w:rsidP="001B41F3">
      <w:pPr>
        <w:rPr>
          <w:rtl/>
          <w:lang w:bidi="ar-EG"/>
        </w:rPr>
      </w:pPr>
    </w:p>
    <w:p w14:paraId="6A0F2ED9" w14:textId="77777777" w:rsidR="00BE6A37" w:rsidRPr="00103191" w:rsidRDefault="00BE6A37" w:rsidP="001B41F3">
      <w:pPr>
        <w:rPr>
          <w:rFonts w:hint="cs"/>
          <w:lang w:bidi="ar-EG"/>
        </w:rPr>
      </w:pPr>
    </w:p>
    <w:sectPr w:rsidR="00BE6A37" w:rsidRPr="00103191" w:rsidSect="00BE6A3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134" w:right="1134" w:bottom="1134" w:left="1134" w:header="567" w:footer="567" w:gutter="0"/>
      <w:pgNumType w:start="1"/>
      <w:cols w:space="708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377C8" w14:textId="77777777" w:rsidR="000D2B5C" w:rsidRDefault="000D2B5C" w:rsidP="002919E1">
      <w:r>
        <w:separator/>
      </w:r>
    </w:p>
    <w:p w14:paraId="3DA6EC3A" w14:textId="77777777" w:rsidR="000D2B5C" w:rsidRDefault="000D2B5C" w:rsidP="002919E1"/>
    <w:p w14:paraId="47C14C3B" w14:textId="77777777" w:rsidR="000D2B5C" w:rsidRDefault="000D2B5C" w:rsidP="002919E1"/>
    <w:p w14:paraId="5D964122" w14:textId="77777777" w:rsidR="000D2B5C" w:rsidRDefault="000D2B5C"/>
  </w:endnote>
  <w:endnote w:type="continuationSeparator" w:id="0">
    <w:p w14:paraId="048EE48D" w14:textId="77777777" w:rsidR="000D2B5C" w:rsidRDefault="000D2B5C" w:rsidP="002919E1">
      <w:r>
        <w:continuationSeparator/>
      </w:r>
    </w:p>
    <w:p w14:paraId="78E2AD1E" w14:textId="77777777" w:rsidR="000D2B5C" w:rsidRDefault="000D2B5C" w:rsidP="002919E1"/>
    <w:p w14:paraId="2B184512" w14:textId="77777777" w:rsidR="000D2B5C" w:rsidRDefault="000D2B5C" w:rsidP="002919E1"/>
    <w:p w14:paraId="5D1E900A" w14:textId="77777777" w:rsidR="000D2B5C" w:rsidRDefault="000D2B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venir Next W1G Medium"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71E83" w14:textId="46C57158" w:rsidR="003425B8" w:rsidRPr="008A68DC" w:rsidRDefault="003425B8" w:rsidP="003118A8">
    <w:pPr>
      <w:tabs>
        <w:tab w:val="clear" w:pos="794"/>
        <w:tab w:val="left" w:pos="813"/>
      </w:tabs>
      <w:spacing w:before="0"/>
      <w:rPr>
        <w:rFonts w:cs="Times New Roman"/>
      </w:rPr>
    </w:pPr>
    <w:r w:rsidRPr="00054EE8">
      <w:rPr>
        <w:rStyle w:val="PageNumber"/>
      </w:rPr>
      <w:fldChar w:fldCharType="begin"/>
    </w:r>
    <w:r w:rsidRPr="00054EE8">
      <w:rPr>
        <w:rStyle w:val="PageNumber"/>
      </w:rPr>
      <w:instrText xml:space="preserve">PAGE  </w:instrText>
    </w:r>
    <w:r w:rsidRPr="00054EE8">
      <w:rPr>
        <w:rStyle w:val="PageNumber"/>
      </w:rPr>
      <w:fldChar w:fldCharType="separate"/>
    </w:r>
    <w:r>
      <w:rPr>
        <w:rStyle w:val="PageNumber"/>
        <w:noProof/>
        <w:rtl/>
      </w:rPr>
      <w:t>3</w:t>
    </w:r>
    <w:r w:rsidRPr="00054EE8">
      <w:rPr>
        <w:rStyle w:val="PageNumber"/>
      </w:rPr>
      <w:fldChar w:fldCharType="end"/>
    </w:r>
    <w:r>
      <w:rPr>
        <w:rStyle w:val="PageNumber"/>
        <w:rFonts w:hint="cs"/>
        <w:rtl/>
      </w:rPr>
      <w:tab/>
    </w:r>
    <w:r w:rsidRPr="00F21060">
      <w:rPr>
        <w:rFonts w:hint="cs"/>
        <w:b/>
        <w:bCs/>
        <w:rtl/>
        <w:lang w:bidi="ar-EG"/>
      </w:rPr>
      <w:t xml:space="preserve">التوصية </w:t>
    </w:r>
    <w:r w:rsidRPr="00F21060">
      <w:rPr>
        <w:b/>
        <w:bCs/>
      </w:rPr>
      <w:t xml:space="preserve">(2012/06) </w:t>
    </w:r>
    <w:r w:rsidRPr="00F21060">
      <w:rPr>
        <w:b/>
        <w:bCs/>
      </w:rPr>
      <w:fldChar w:fldCharType="begin"/>
    </w:r>
    <w:r w:rsidRPr="00F21060">
      <w:rPr>
        <w:b/>
        <w:bCs/>
      </w:rPr>
      <w:instrText>styleref href</w:instrText>
    </w:r>
    <w:r w:rsidRPr="00F21060">
      <w:rPr>
        <w:b/>
        <w:bCs/>
      </w:rPr>
      <w:fldChar w:fldCharType="separate"/>
    </w:r>
    <w:r w:rsidR="00BE27CD">
      <w:rPr>
        <w:b/>
        <w:bCs/>
        <w:noProof/>
      </w:rPr>
      <w:t>58</w:t>
    </w:r>
    <w:r w:rsidRPr="00F21060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4E1A3" w14:textId="77777777" w:rsidR="003425B8" w:rsidRPr="003118A8" w:rsidRDefault="003425B8" w:rsidP="00F66D8F">
    <w:pPr>
      <w:pStyle w:val="Footer"/>
      <w:spacing w:after="120"/>
      <w:jc w:val="left"/>
    </w:pPr>
    <w:r w:rsidRPr="0033681A">
      <w:rPr>
        <w:noProof/>
      </w:rPr>
      <w:drawing>
        <wp:inline distT="0" distB="0" distL="0" distR="0" wp14:anchorId="2734D94A" wp14:editId="3180BB28">
          <wp:extent cx="737870" cy="813435"/>
          <wp:effectExtent l="0" t="0" r="5080" b="5715"/>
          <wp:docPr id="1234771002" name="image1.png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870" cy="813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3CEA9" w14:textId="77777777" w:rsidR="003425B8" w:rsidRPr="00D33B5A" w:rsidRDefault="003425B8" w:rsidP="00D33B5A">
    <w:pPr>
      <w:pStyle w:val="Footer"/>
      <w:rPr>
        <w:rtl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A7A0B" w14:textId="1D513309" w:rsidR="00F62736" w:rsidRPr="00F62736" w:rsidRDefault="00F62736" w:rsidP="00F6273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CD9E6" w14:textId="56748498" w:rsidR="00F62736" w:rsidRPr="00A76C6F" w:rsidRDefault="00F62736" w:rsidP="00F62736">
    <w:pPr>
      <w:spacing w:before="0" w:line="320" w:lineRule="exact"/>
      <w:ind w:left="841" w:hanging="841"/>
      <w:jc w:val="left"/>
      <w:rPr>
        <w:sz w:val="21"/>
        <w:szCs w:val="28"/>
        <w:lang w:bidi="ar-EG"/>
      </w:rPr>
    </w:pPr>
    <w:r w:rsidRPr="00A76C6F">
      <w:rPr>
        <w:rStyle w:val="PageNumber"/>
      </w:rPr>
      <w:fldChar w:fldCharType="begin"/>
    </w:r>
    <w:r w:rsidRPr="00A76C6F">
      <w:rPr>
        <w:rStyle w:val="PageNumber"/>
      </w:rPr>
      <w:instrText xml:space="preserve"> PAGE </w:instrText>
    </w:r>
    <w:r w:rsidRPr="00A76C6F">
      <w:rPr>
        <w:rStyle w:val="PageNumber"/>
      </w:rPr>
      <w:fldChar w:fldCharType="separate"/>
    </w:r>
    <w:r>
      <w:rPr>
        <w:rStyle w:val="PageNumber"/>
      </w:rPr>
      <w:t>2</w:t>
    </w:r>
    <w:r w:rsidRPr="00A76C6F">
      <w:rPr>
        <w:rStyle w:val="PageNumber"/>
      </w:rPr>
      <w:fldChar w:fldCharType="end"/>
    </w:r>
    <w:r w:rsidRPr="00A76C6F">
      <w:rPr>
        <w:b/>
        <w:bCs/>
        <w:sz w:val="21"/>
        <w:szCs w:val="28"/>
        <w:lang w:bidi="ar-EG"/>
      </w:rPr>
      <w:tab/>
    </w:r>
    <w:r w:rsidRPr="00A76C6F">
      <w:rPr>
        <w:b/>
        <w:bCs/>
        <w:rtl/>
        <w:lang w:bidi="ar-EG"/>
      </w:rPr>
      <w:t xml:space="preserve">الجمعية العالمية لتقييس الاتصالات، </w:t>
    </w:r>
    <w:r w:rsidRPr="00A76C6F">
      <w:rPr>
        <w:b/>
        <w:bCs/>
        <w:lang w:val="fr-CH" w:bidi="ar-EG"/>
      </w:rPr>
      <w:t>202</w:t>
    </w:r>
    <w:r>
      <w:rPr>
        <w:b/>
        <w:bCs/>
        <w:lang w:val="fr-CH" w:bidi="ar-EG"/>
      </w:rPr>
      <w:t>4</w:t>
    </w:r>
    <w:r w:rsidRPr="00A76C6F">
      <w:rPr>
        <w:b/>
        <w:bCs/>
        <w:rtl/>
        <w:lang w:bidi="ar-EG"/>
      </w:rPr>
      <w:t xml:space="preserve"> – القرار </w:t>
    </w:r>
    <w:r w:rsidRPr="00A76C6F">
      <w:rPr>
        <w:b/>
        <w:bCs/>
        <w:rtl/>
        <w:lang w:bidi="ar-EG"/>
      </w:rPr>
      <w:fldChar w:fldCharType="begin"/>
    </w:r>
    <w:r w:rsidRPr="00A76C6F">
      <w:rPr>
        <w:b/>
        <w:bCs/>
        <w:rtl/>
        <w:lang w:bidi="ar-EG"/>
      </w:rPr>
      <w:instrText xml:space="preserve"> </w:instrText>
    </w:r>
    <w:r w:rsidRPr="00A76C6F">
      <w:rPr>
        <w:b/>
        <w:bCs/>
        <w:lang w:bidi="ar-EG"/>
      </w:rPr>
      <w:instrText>STYLEREF  href  \* MERGEFORMAT</w:instrText>
    </w:r>
    <w:r w:rsidRPr="00A76C6F">
      <w:rPr>
        <w:b/>
        <w:bCs/>
        <w:rtl/>
        <w:lang w:bidi="ar-EG"/>
      </w:rPr>
      <w:instrText xml:space="preserve"> </w:instrText>
    </w:r>
    <w:r w:rsidRPr="00A76C6F">
      <w:rPr>
        <w:b/>
        <w:bCs/>
        <w:rtl/>
        <w:lang w:bidi="ar-EG"/>
      </w:rPr>
      <w:fldChar w:fldCharType="separate"/>
    </w:r>
    <w:r w:rsidR="00BE27CD">
      <w:rPr>
        <w:b/>
        <w:bCs/>
        <w:noProof/>
        <w:rtl/>
        <w:lang w:bidi="ar-EG"/>
      </w:rPr>
      <w:t>58</w:t>
    </w:r>
    <w:r w:rsidRPr="00A76C6F">
      <w:rPr>
        <w:b/>
        <w:bCs/>
        <w:rtl/>
        <w:lang w:bidi="ar-EG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59898" w14:textId="348C2ADB" w:rsidR="00F62736" w:rsidRPr="00A76C6F" w:rsidRDefault="00F62736" w:rsidP="00F62736">
    <w:pPr>
      <w:tabs>
        <w:tab w:val="clear" w:pos="794"/>
        <w:tab w:val="clear" w:pos="1191"/>
        <w:tab w:val="clear" w:pos="1588"/>
        <w:tab w:val="clear" w:pos="1985"/>
        <w:tab w:val="right" w:pos="8761"/>
        <w:tab w:val="right" w:pos="9641"/>
      </w:tabs>
      <w:overflowPunct w:val="0"/>
      <w:autoSpaceDE w:val="0"/>
      <w:autoSpaceDN w:val="0"/>
      <w:adjustRightInd w:val="0"/>
      <w:spacing w:before="0" w:line="320" w:lineRule="exact"/>
      <w:ind w:right="880" w:firstLine="360"/>
      <w:jc w:val="right"/>
      <w:textAlignment w:val="baseline"/>
      <w:rPr>
        <w:b/>
        <w:bCs/>
        <w:rtl/>
        <w:lang w:val="fr-CH" w:bidi="ar-EG"/>
      </w:rPr>
    </w:pPr>
    <w:r w:rsidRPr="00A76C6F">
      <w:rPr>
        <w:b/>
        <w:bCs/>
        <w:rtl/>
        <w:lang w:bidi="ar-EG"/>
      </w:rPr>
      <w:tab/>
      <w:t xml:space="preserve">الجمعية العالمية لتقييس الاتصالات، </w:t>
    </w:r>
    <w:r w:rsidRPr="00A76C6F">
      <w:rPr>
        <w:b/>
        <w:bCs/>
        <w:lang w:val="fr-CH" w:bidi="ar-EG"/>
      </w:rPr>
      <w:t>202</w:t>
    </w:r>
    <w:r>
      <w:rPr>
        <w:b/>
        <w:bCs/>
        <w:lang w:val="fr-CH" w:bidi="ar-EG"/>
      </w:rPr>
      <w:t>4</w:t>
    </w:r>
    <w:r w:rsidRPr="00A76C6F">
      <w:rPr>
        <w:b/>
        <w:bCs/>
        <w:rtl/>
        <w:lang w:bidi="ar-EG"/>
      </w:rPr>
      <w:t xml:space="preserve"> – القرار </w:t>
    </w:r>
    <w:r w:rsidRPr="00B7584E">
      <w:rPr>
        <w:b/>
        <w:bCs/>
        <w:rtl/>
        <w:lang w:bidi="ar-EG"/>
      </w:rPr>
      <w:fldChar w:fldCharType="begin"/>
    </w:r>
    <w:r w:rsidRPr="00B7584E">
      <w:rPr>
        <w:b/>
        <w:bCs/>
        <w:rtl/>
        <w:lang w:bidi="ar-EG"/>
      </w:rPr>
      <w:instrText xml:space="preserve"> </w:instrText>
    </w:r>
    <w:r w:rsidRPr="00B7584E">
      <w:rPr>
        <w:b/>
        <w:bCs/>
        <w:lang w:bidi="ar-EG"/>
      </w:rPr>
      <w:instrText>STYLEREF  href  \* MERGEFORMAT</w:instrText>
    </w:r>
    <w:r w:rsidRPr="00B7584E">
      <w:rPr>
        <w:b/>
        <w:bCs/>
        <w:rtl/>
        <w:lang w:bidi="ar-EG"/>
      </w:rPr>
      <w:instrText xml:space="preserve"> </w:instrText>
    </w:r>
    <w:r w:rsidRPr="00B7584E">
      <w:rPr>
        <w:b/>
        <w:bCs/>
        <w:rtl/>
        <w:lang w:bidi="ar-EG"/>
      </w:rPr>
      <w:fldChar w:fldCharType="separate"/>
    </w:r>
    <w:r w:rsidR="00BE27CD">
      <w:rPr>
        <w:b/>
        <w:bCs/>
        <w:noProof/>
        <w:rtl/>
        <w:lang w:bidi="ar-EG"/>
      </w:rPr>
      <w:t>58</w:t>
    </w:r>
    <w:r w:rsidRPr="00B7584E">
      <w:rPr>
        <w:b/>
        <w:bCs/>
        <w:rtl/>
        <w:lang w:bidi="ar-EG"/>
      </w:rPr>
      <w:fldChar w:fldCharType="end"/>
    </w:r>
    <w:r w:rsidRPr="00A76C6F">
      <w:rPr>
        <w:b/>
        <w:bCs/>
        <w:rtl/>
        <w:lang w:bidi="ar-EG"/>
      </w:rPr>
      <w:tab/>
    </w:r>
    <w:r w:rsidRPr="00A76C6F">
      <w:rPr>
        <w:rStyle w:val="PageNumber"/>
      </w:rPr>
      <w:fldChar w:fldCharType="begin"/>
    </w:r>
    <w:r w:rsidRPr="00A76C6F">
      <w:rPr>
        <w:rStyle w:val="PageNumber"/>
      </w:rPr>
      <w:instrText xml:space="preserve"> PAGE </w:instrText>
    </w:r>
    <w:r w:rsidRPr="00A76C6F">
      <w:rPr>
        <w:rStyle w:val="PageNumber"/>
      </w:rPr>
      <w:fldChar w:fldCharType="separate"/>
    </w:r>
    <w:r>
      <w:rPr>
        <w:rStyle w:val="PageNumber"/>
      </w:rPr>
      <w:t>3</w:t>
    </w:r>
    <w:r w:rsidRPr="00A76C6F">
      <w:rPr>
        <w:rStyle w:val="PageNumber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9EBDE" w14:textId="476AC08C" w:rsidR="00F62736" w:rsidRPr="00A76C6F" w:rsidRDefault="00F62736" w:rsidP="00F62736">
    <w:pPr>
      <w:tabs>
        <w:tab w:val="clear" w:pos="794"/>
        <w:tab w:val="clear" w:pos="1191"/>
        <w:tab w:val="clear" w:pos="1588"/>
        <w:tab w:val="clear" w:pos="1985"/>
        <w:tab w:val="right" w:pos="8761"/>
        <w:tab w:val="right" w:pos="9641"/>
      </w:tabs>
      <w:overflowPunct w:val="0"/>
      <w:autoSpaceDE w:val="0"/>
      <w:autoSpaceDN w:val="0"/>
      <w:adjustRightInd w:val="0"/>
      <w:spacing w:before="0" w:line="320" w:lineRule="exact"/>
      <w:ind w:right="880" w:firstLine="360"/>
      <w:jc w:val="right"/>
      <w:textAlignment w:val="baseline"/>
      <w:rPr>
        <w:b/>
        <w:bCs/>
        <w:rtl/>
        <w:lang w:val="fr-CH" w:bidi="ar-EG"/>
      </w:rPr>
    </w:pPr>
    <w:r w:rsidRPr="00A76C6F">
      <w:rPr>
        <w:b/>
        <w:bCs/>
        <w:rtl/>
        <w:lang w:bidi="ar-EG"/>
      </w:rPr>
      <w:tab/>
      <w:t xml:space="preserve">الجمعية العالمية لتقييس الاتصالات، </w:t>
    </w:r>
    <w:r w:rsidRPr="00A76C6F">
      <w:rPr>
        <w:b/>
        <w:bCs/>
        <w:lang w:val="fr-CH" w:bidi="ar-EG"/>
      </w:rPr>
      <w:t>202</w:t>
    </w:r>
    <w:r>
      <w:rPr>
        <w:b/>
        <w:bCs/>
        <w:lang w:val="fr-CH" w:bidi="ar-EG"/>
      </w:rPr>
      <w:t>4</w:t>
    </w:r>
    <w:r w:rsidRPr="00A76C6F">
      <w:rPr>
        <w:b/>
        <w:bCs/>
        <w:rtl/>
        <w:lang w:bidi="ar-EG"/>
      </w:rPr>
      <w:t xml:space="preserve"> – القرار </w:t>
    </w:r>
    <w:r w:rsidRPr="001B41F3">
      <w:rPr>
        <w:b/>
        <w:bCs/>
        <w:rtl/>
        <w:lang w:bidi="ar-EG"/>
      </w:rPr>
      <w:fldChar w:fldCharType="begin"/>
    </w:r>
    <w:r w:rsidRPr="001B41F3">
      <w:rPr>
        <w:b/>
        <w:bCs/>
        <w:rtl/>
        <w:lang w:bidi="ar-EG"/>
      </w:rPr>
      <w:instrText xml:space="preserve"> </w:instrText>
    </w:r>
    <w:r w:rsidRPr="001B41F3">
      <w:rPr>
        <w:b/>
        <w:bCs/>
        <w:lang w:bidi="ar-EG"/>
      </w:rPr>
      <w:instrText>STYLEREF  href  \* MERGEFORMAT</w:instrText>
    </w:r>
    <w:r w:rsidRPr="001B41F3">
      <w:rPr>
        <w:b/>
        <w:bCs/>
        <w:rtl/>
        <w:lang w:bidi="ar-EG"/>
      </w:rPr>
      <w:instrText xml:space="preserve"> </w:instrText>
    </w:r>
    <w:r w:rsidRPr="001B41F3">
      <w:rPr>
        <w:b/>
        <w:bCs/>
        <w:rtl/>
        <w:lang w:bidi="ar-EG"/>
      </w:rPr>
      <w:fldChar w:fldCharType="separate"/>
    </w:r>
    <w:r w:rsidR="00BE27CD">
      <w:rPr>
        <w:b/>
        <w:bCs/>
        <w:noProof/>
        <w:rtl/>
        <w:lang w:bidi="ar-EG"/>
      </w:rPr>
      <w:t>58</w:t>
    </w:r>
    <w:r w:rsidRPr="001B41F3">
      <w:rPr>
        <w:b/>
        <w:bCs/>
        <w:rtl/>
        <w:lang w:bidi="ar-EG"/>
      </w:rPr>
      <w:fldChar w:fldCharType="end"/>
    </w:r>
    <w:r w:rsidRPr="00A76C6F">
      <w:rPr>
        <w:b/>
        <w:bCs/>
        <w:rtl/>
        <w:lang w:bidi="ar-EG"/>
      </w:rPr>
      <w:tab/>
    </w:r>
    <w:r w:rsidRPr="00A76C6F">
      <w:rPr>
        <w:rStyle w:val="PageNumber"/>
      </w:rPr>
      <w:fldChar w:fldCharType="begin"/>
    </w:r>
    <w:r w:rsidRPr="00A76C6F">
      <w:rPr>
        <w:rStyle w:val="PageNumber"/>
      </w:rPr>
      <w:instrText xml:space="preserve"> PAGE </w:instrText>
    </w:r>
    <w:r w:rsidRPr="00A76C6F">
      <w:rPr>
        <w:rStyle w:val="PageNumber"/>
      </w:rPr>
      <w:fldChar w:fldCharType="separate"/>
    </w:r>
    <w:r>
      <w:rPr>
        <w:rStyle w:val="PageNumber"/>
      </w:rPr>
      <w:t>1</w:t>
    </w:r>
    <w:r w:rsidRPr="00A76C6F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92321" w14:textId="77777777" w:rsidR="000D2B5C" w:rsidRDefault="000D2B5C" w:rsidP="002919E1">
      <w:r>
        <w:separator/>
      </w:r>
    </w:p>
  </w:footnote>
  <w:footnote w:type="continuationSeparator" w:id="0">
    <w:p w14:paraId="63AF892F" w14:textId="77777777" w:rsidR="000D2B5C" w:rsidRDefault="000D2B5C" w:rsidP="002919E1">
      <w:r>
        <w:continuationSeparator/>
      </w:r>
    </w:p>
    <w:p w14:paraId="602EC6FC" w14:textId="77777777" w:rsidR="000D2B5C" w:rsidRDefault="000D2B5C" w:rsidP="002919E1"/>
    <w:p w14:paraId="7D94957F" w14:textId="77777777" w:rsidR="000D2B5C" w:rsidRDefault="000D2B5C" w:rsidP="002919E1"/>
    <w:p w14:paraId="4838352D" w14:textId="77777777" w:rsidR="000D2B5C" w:rsidRDefault="000D2B5C"/>
  </w:footnote>
  <w:footnote w:id="1">
    <w:p w14:paraId="45314325" w14:textId="08EB85A6" w:rsidR="004878FE" w:rsidRDefault="004878FE" w:rsidP="004878FE">
      <w:pPr>
        <w:pStyle w:val="FootnoteText"/>
        <w:rPr>
          <w:lang w:bidi="ar-EG"/>
        </w:rPr>
      </w:pPr>
      <w:r>
        <w:rPr>
          <w:rStyle w:val="FootnoteReference"/>
          <w:rtl/>
        </w:rPr>
        <w:t>1</w:t>
      </w:r>
      <w:r>
        <w:rPr>
          <w:rtl/>
          <w:lang w:bidi="ar-EG"/>
        </w:rPr>
        <w:tab/>
      </w:r>
      <w:r>
        <w:rPr>
          <w:rFonts w:hint="eastAsia"/>
          <w:rtl/>
        </w:rPr>
        <w:t>تشمل</w:t>
      </w:r>
      <w:r>
        <w:rPr>
          <w:rtl/>
        </w:rPr>
        <w:t xml:space="preserve"> أقل البلدان نمواً والدول الجزرية الصغيرة النامية والبلدان النامية </w:t>
      </w:r>
      <w:r>
        <w:rPr>
          <w:rFonts w:hint="cs"/>
          <w:rtl/>
        </w:rPr>
        <w:t>المحاطة باليابسة</w:t>
      </w:r>
      <w:r>
        <w:rPr>
          <w:rtl/>
        </w:rPr>
        <w:t xml:space="preserve">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4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72"/>
      <w:gridCol w:w="4518"/>
    </w:tblGrid>
    <w:tr w:rsidR="003425B8" w:rsidRPr="00A239D1" w14:paraId="14942048" w14:textId="77777777" w:rsidTr="00AD4B4E">
      <w:trPr>
        <w:jc w:val="center"/>
      </w:trPr>
      <w:tc>
        <w:tcPr>
          <w:tcW w:w="5972" w:type="dxa"/>
        </w:tcPr>
        <w:p w14:paraId="252C01D7" w14:textId="77777777" w:rsidR="003425B8" w:rsidRPr="00CB4BD6" w:rsidRDefault="003425B8" w:rsidP="00AD4B4E">
          <w:pPr>
            <w:pStyle w:val="Header"/>
            <w:spacing w:before="60"/>
            <w:jc w:val="right"/>
            <w:rPr>
              <w:rFonts w:ascii="Arial Black" w:hAnsi="Arial Black"/>
              <w:color w:val="FFFFFF" w:themeColor="background1"/>
              <w:sz w:val="32"/>
              <w:szCs w:val="32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0" locked="0" layoutInCell="1" allowOverlap="1" wp14:anchorId="39AF96E1" wp14:editId="203C0F81">
                <wp:simplePos x="0" y="0"/>
                <wp:positionH relativeFrom="column">
                  <wp:posOffset>2332672</wp:posOffset>
                </wp:positionH>
                <wp:positionV relativeFrom="paragraph">
                  <wp:posOffset>-25400</wp:posOffset>
                </wp:positionV>
                <wp:extent cx="1873250" cy="403521"/>
                <wp:effectExtent l="0" t="0" r="0" b="0"/>
                <wp:wrapNone/>
                <wp:docPr id="33911911" name="Picture 33911911" descr="ITU Publication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2" descr="ITU Publications 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0" cy="4035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18" w:type="dxa"/>
        </w:tcPr>
        <w:p w14:paraId="244F62F5" w14:textId="77777777" w:rsidR="003425B8" w:rsidRPr="00B02805" w:rsidRDefault="003425B8" w:rsidP="00AD4B4E">
          <w:pPr>
            <w:pStyle w:val="Header"/>
            <w:spacing w:before="60"/>
            <w:jc w:val="right"/>
            <w:rPr>
              <w:rFonts w:asciiTheme="minorBidi" w:hAnsiTheme="minorBidi"/>
              <w:b/>
              <w:bCs/>
              <w:spacing w:val="4"/>
              <w:sz w:val="28"/>
              <w:szCs w:val="28"/>
            </w:rPr>
          </w:pPr>
          <w:r w:rsidRPr="00B02805">
            <w:rPr>
              <w:rFonts w:asciiTheme="minorBidi" w:hAnsiTheme="minorBidi" w:hint="cs"/>
              <w:b/>
              <w:bCs/>
              <w:spacing w:val="4"/>
              <w:sz w:val="28"/>
              <w:szCs w:val="28"/>
              <w:rtl/>
            </w:rPr>
            <w:t>الاتح</w:t>
          </w:r>
          <w:r w:rsidRPr="00B02805">
            <w:rPr>
              <w:rFonts w:asciiTheme="minorBidi" w:hAnsiTheme="minorBidi" w:hint="cs"/>
              <w:b/>
              <w:bCs/>
              <w:spacing w:val="4"/>
              <w:sz w:val="28"/>
              <w:szCs w:val="28"/>
              <w:rtl/>
              <w:lang w:bidi="ar-EG"/>
            </w:rPr>
            <w:t>ـــــ</w:t>
          </w:r>
          <w:r w:rsidRPr="00B02805">
            <w:rPr>
              <w:rFonts w:asciiTheme="minorBidi" w:hAnsiTheme="minorBidi" w:hint="cs"/>
              <w:b/>
              <w:bCs/>
              <w:spacing w:val="4"/>
              <w:sz w:val="28"/>
              <w:szCs w:val="28"/>
              <w:rtl/>
            </w:rPr>
            <w:t>اد الـدولـــــي للاتصـــــالات</w:t>
          </w:r>
        </w:p>
      </w:tc>
    </w:tr>
    <w:tr w:rsidR="003425B8" w:rsidRPr="00A239D1" w14:paraId="1D8AA53B" w14:textId="77777777" w:rsidTr="00AD4B4E">
      <w:trPr>
        <w:jc w:val="center"/>
      </w:trPr>
      <w:tc>
        <w:tcPr>
          <w:tcW w:w="5972" w:type="dxa"/>
        </w:tcPr>
        <w:p w14:paraId="11A72461" w14:textId="77777777" w:rsidR="003425B8" w:rsidRPr="00B02805" w:rsidRDefault="003425B8" w:rsidP="00AD4B4E">
          <w:pPr>
            <w:pStyle w:val="Header"/>
            <w:spacing w:before="60"/>
            <w:jc w:val="left"/>
            <w:rPr>
              <w:rFonts w:asciiTheme="minorBidi" w:hAnsiTheme="minorBidi"/>
              <w:spacing w:val="4"/>
              <w:sz w:val="28"/>
              <w:szCs w:val="28"/>
            </w:rPr>
          </w:pPr>
          <w:r w:rsidRPr="00B02805">
            <w:rPr>
              <w:rFonts w:asciiTheme="minorBidi" w:hAnsiTheme="minorBidi" w:hint="cs"/>
              <w:spacing w:val="4"/>
              <w:sz w:val="28"/>
              <w:szCs w:val="28"/>
              <w:rtl/>
            </w:rPr>
            <w:t>القرارات</w:t>
          </w:r>
        </w:p>
      </w:tc>
      <w:tc>
        <w:tcPr>
          <w:tcW w:w="4518" w:type="dxa"/>
        </w:tcPr>
        <w:p w14:paraId="542B55E2" w14:textId="77777777" w:rsidR="003425B8" w:rsidRPr="00CB4BD6" w:rsidRDefault="003425B8" w:rsidP="00AD4B4E">
          <w:pPr>
            <w:pStyle w:val="Header"/>
            <w:spacing w:before="60"/>
            <w:jc w:val="right"/>
            <w:rPr>
              <w:rFonts w:asciiTheme="minorBidi" w:hAnsiTheme="minorBidi"/>
              <w:b/>
              <w:bCs/>
              <w:spacing w:val="4"/>
              <w:sz w:val="28"/>
              <w:szCs w:val="28"/>
            </w:rPr>
          </w:pPr>
          <w:r w:rsidRPr="00CB4BD6">
            <w:rPr>
              <w:rFonts w:asciiTheme="minorBidi" w:hAnsiTheme="minorBidi" w:hint="cs"/>
              <w:spacing w:val="4"/>
              <w:sz w:val="28"/>
              <w:szCs w:val="28"/>
              <w:rtl/>
            </w:rPr>
            <w:t xml:space="preserve">قطاع </w:t>
          </w:r>
          <w:r>
            <w:rPr>
              <w:rFonts w:asciiTheme="minorBidi" w:hAnsiTheme="minorBidi" w:hint="cs"/>
              <w:spacing w:val="4"/>
              <w:sz w:val="28"/>
              <w:szCs w:val="28"/>
              <w:rtl/>
            </w:rPr>
            <w:t>التقييس</w:t>
          </w:r>
        </w:p>
      </w:tc>
    </w:tr>
  </w:tbl>
  <w:p w14:paraId="6AF19203" w14:textId="77777777" w:rsidR="003425B8" w:rsidRDefault="003425B8" w:rsidP="00AD4B4E">
    <w:pPr>
      <w:pStyle w:val="Header"/>
      <w:spacing w:line="200" w:lineRule="exact"/>
    </w:pPr>
    <w:r w:rsidRPr="00DA6FAB">
      <w:rPr>
        <w:rFonts w:ascii="Arial" w:eastAsia="Avenir Next W1G Medium" w:hAnsi="Arial" w:cs="Arial"/>
        <w:noProof/>
        <w:szCs w:val="24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B2B9291" wp14:editId="11A2A230">
              <wp:simplePos x="0" y="0"/>
              <wp:positionH relativeFrom="page">
                <wp:posOffset>-138430</wp:posOffset>
              </wp:positionH>
              <wp:positionV relativeFrom="page">
                <wp:posOffset>1015683</wp:posOffset>
              </wp:positionV>
              <wp:extent cx="7772400" cy="263525"/>
              <wp:effectExtent l="0" t="0" r="0" b="317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263525"/>
                        <a:chOff x="-504" y="1784"/>
                        <a:chExt cx="11906" cy="415"/>
                      </a:xfrm>
                    </wpg:grpSpPr>
                    <wps:wsp>
                      <wps:cNvPr id="3" name="docshape4"/>
                      <wps:cNvSpPr>
                        <a:spLocks noChangeArrowheads="1"/>
                      </wps:cNvSpPr>
                      <wps:spPr bwMode="auto">
                        <a:xfrm>
                          <a:off x="-504" y="1870"/>
                          <a:ext cx="11906" cy="329"/>
                        </a:xfrm>
                        <a:prstGeom prst="rect">
                          <a:avLst/>
                        </a:prstGeom>
                        <a:solidFill>
                          <a:srgbClr val="9D17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docshape5"/>
                      <wps:cNvSpPr>
                        <a:spLocks/>
                      </wps:cNvSpPr>
                      <wps:spPr bwMode="auto">
                        <a:xfrm>
                          <a:off x="9901" y="1784"/>
                          <a:ext cx="627" cy="314"/>
                        </a:xfrm>
                        <a:custGeom>
                          <a:avLst/>
                          <a:gdLst>
                            <a:gd name="T0" fmla="+- 0 1736 1109"/>
                            <a:gd name="T1" fmla="*/ T0 w 627"/>
                            <a:gd name="T2" fmla="+- 0 1784 1784"/>
                            <a:gd name="T3" fmla="*/ 1784 h 314"/>
                            <a:gd name="T4" fmla="+- 0 1109 1109"/>
                            <a:gd name="T5" fmla="*/ T4 w 627"/>
                            <a:gd name="T6" fmla="+- 0 1784 1784"/>
                            <a:gd name="T7" fmla="*/ 1784 h 314"/>
                            <a:gd name="T8" fmla="+- 0 1423 1109"/>
                            <a:gd name="T9" fmla="*/ T8 w 627"/>
                            <a:gd name="T10" fmla="+- 0 2097 1784"/>
                            <a:gd name="T11" fmla="*/ 2097 h 314"/>
                            <a:gd name="T12" fmla="+- 0 1736 1109"/>
                            <a:gd name="T13" fmla="*/ T12 w 627"/>
                            <a:gd name="T14" fmla="+- 0 1784 1784"/>
                            <a:gd name="T15" fmla="*/ 1784 h 3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27" h="314">
                              <a:moveTo>
                                <a:pt x="627" y="0"/>
                              </a:moveTo>
                              <a:lnTo>
                                <a:pt x="0" y="0"/>
                              </a:lnTo>
                              <a:lnTo>
                                <a:pt x="314" y="313"/>
                              </a:lnTo>
                              <a:lnTo>
                                <a:pt x="6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D3E3B3" id="Group 2" o:spid="_x0000_s1026" style="position:absolute;margin-left:-10.9pt;margin-top:80pt;width:612pt;height:20.75pt;z-index:-251656192;mso-position-horizontal-relative:page;mso-position-vertical-relative:page" coordorigin="-504,1784" coordsize="11906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">
              <v:rect id="docshape4" o:spid="_x0000_s1027" style="position:absolute;left:-504;top:1870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" fillcolor="#9d170a" stroked="f"/>
              <v:shape id="docshape5" o:spid="_x0000_s1028" style="position:absolute;left:9901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" path="m627,l,,314,313,627,xe" stroked="f">
                <v:path arrowok="t" o:connecttype="custom" o:connectlocs="627,1784;0,1784;314,2097;627,1784" o:connectangles="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68E08" w14:textId="77777777" w:rsidR="00281F5F" w:rsidRPr="00F62736" w:rsidRDefault="00281F5F" w:rsidP="00F627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9FB2B" w14:textId="7AF7DC60" w:rsidR="00654230" w:rsidRPr="00F62736" w:rsidRDefault="00654230" w:rsidP="00F62736">
    <w:pPr>
      <w:pStyle w:val="Header"/>
      <w:rPr>
        <w:rtl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65D80" w14:textId="260620D8" w:rsidR="003425B8" w:rsidRDefault="003425B8" w:rsidP="00AD4B4E">
    <w:pPr>
      <w:pStyle w:val="Header"/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F8A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322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8F2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1E63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F434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2DD3C90"/>
    <w:multiLevelType w:val="hybridMultilevel"/>
    <w:tmpl w:val="24E8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37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1006707574">
    <w:abstractNumId w:val="9"/>
  </w:num>
  <w:num w:numId="2" w16cid:durableId="1523009515">
    <w:abstractNumId w:val="13"/>
  </w:num>
  <w:num w:numId="3" w16cid:durableId="494492585">
    <w:abstractNumId w:val="10"/>
  </w:num>
  <w:num w:numId="4" w16cid:durableId="1358198979">
    <w:abstractNumId w:val="14"/>
  </w:num>
  <w:num w:numId="5" w16cid:durableId="236941911">
    <w:abstractNumId w:val="7"/>
  </w:num>
  <w:num w:numId="6" w16cid:durableId="1422869026">
    <w:abstractNumId w:val="6"/>
  </w:num>
  <w:num w:numId="7" w16cid:durableId="1864707500">
    <w:abstractNumId w:val="5"/>
  </w:num>
  <w:num w:numId="8" w16cid:durableId="1777754271">
    <w:abstractNumId w:val="4"/>
  </w:num>
  <w:num w:numId="9" w16cid:durableId="560362837">
    <w:abstractNumId w:val="8"/>
  </w:num>
  <w:num w:numId="10" w16cid:durableId="617757686">
    <w:abstractNumId w:val="3"/>
  </w:num>
  <w:num w:numId="11" w16cid:durableId="140116643">
    <w:abstractNumId w:val="2"/>
  </w:num>
  <w:num w:numId="12" w16cid:durableId="287321370">
    <w:abstractNumId w:val="1"/>
  </w:num>
  <w:num w:numId="13" w16cid:durableId="894201917">
    <w:abstractNumId w:val="0"/>
  </w:num>
  <w:num w:numId="14" w16cid:durableId="1344241245">
    <w:abstractNumId w:val="11"/>
  </w:num>
  <w:num w:numId="15" w16cid:durableId="6384558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D"/>
    <w:rsid w:val="00004B50"/>
    <w:rsid w:val="00011021"/>
    <w:rsid w:val="000114EC"/>
    <w:rsid w:val="00011F8C"/>
    <w:rsid w:val="00022B74"/>
    <w:rsid w:val="0002327C"/>
    <w:rsid w:val="00032741"/>
    <w:rsid w:val="00032F2F"/>
    <w:rsid w:val="00034B65"/>
    <w:rsid w:val="00040C94"/>
    <w:rsid w:val="0004168D"/>
    <w:rsid w:val="000425FC"/>
    <w:rsid w:val="00044D43"/>
    <w:rsid w:val="00051907"/>
    <w:rsid w:val="00057EE8"/>
    <w:rsid w:val="00061203"/>
    <w:rsid w:val="0007593C"/>
    <w:rsid w:val="00075A3F"/>
    <w:rsid w:val="000921BF"/>
    <w:rsid w:val="000A1B16"/>
    <w:rsid w:val="000A3F81"/>
    <w:rsid w:val="000A451D"/>
    <w:rsid w:val="000A5C99"/>
    <w:rsid w:val="000B0891"/>
    <w:rsid w:val="000B3896"/>
    <w:rsid w:val="000B5404"/>
    <w:rsid w:val="000C5903"/>
    <w:rsid w:val="000D1708"/>
    <w:rsid w:val="000D2B5C"/>
    <w:rsid w:val="000E1800"/>
    <w:rsid w:val="000E2AFC"/>
    <w:rsid w:val="000E6D30"/>
    <w:rsid w:val="000F05F5"/>
    <w:rsid w:val="000F518F"/>
    <w:rsid w:val="000F5478"/>
    <w:rsid w:val="0010081C"/>
    <w:rsid w:val="001009BD"/>
    <w:rsid w:val="001013E3"/>
    <w:rsid w:val="00103191"/>
    <w:rsid w:val="0010363F"/>
    <w:rsid w:val="00110BD6"/>
    <w:rsid w:val="001205D5"/>
    <w:rsid w:val="001236C1"/>
    <w:rsid w:val="00123AA6"/>
    <w:rsid w:val="0012545F"/>
    <w:rsid w:val="001257A3"/>
    <w:rsid w:val="00135B4A"/>
    <w:rsid w:val="00136B82"/>
    <w:rsid w:val="001445AE"/>
    <w:rsid w:val="001464F2"/>
    <w:rsid w:val="00150285"/>
    <w:rsid w:val="00155DE3"/>
    <w:rsid w:val="001615FF"/>
    <w:rsid w:val="00166290"/>
    <w:rsid w:val="00167364"/>
    <w:rsid w:val="0017082D"/>
    <w:rsid w:val="00184643"/>
    <w:rsid w:val="001903B2"/>
    <w:rsid w:val="001907A6"/>
    <w:rsid w:val="001B3EA7"/>
    <w:rsid w:val="001B41F3"/>
    <w:rsid w:val="001B52FC"/>
    <w:rsid w:val="001B5953"/>
    <w:rsid w:val="001B6830"/>
    <w:rsid w:val="001D41C7"/>
    <w:rsid w:val="001D746E"/>
    <w:rsid w:val="001E190C"/>
    <w:rsid w:val="001E51EE"/>
    <w:rsid w:val="001E54F6"/>
    <w:rsid w:val="001E5A8C"/>
    <w:rsid w:val="00201A0A"/>
    <w:rsid w:val="002057E9"/>
    <w:rsid w:val="002075D4"/>
    <w:rsid w:val="00211B2A"/>
    <w:rsid w:val="00213171"/>
    <w:rsid w:val="002138BD"/>
    <w:rsid w:val="002145C6"/>
    <w:rsid w:val="00223C6C"/>
    <w:rsid w:val="002267FF"/>
    <w:rsid w:val="002277CE"/>
    <w:rsid w:val="0023289F"/>
    <w:rsid w:val="00232FFE"/>
    <w:rsid w:val="002333A0"/>
    <w:rsid w:val="002423E3"/>
    <w:rsid w:val="0024631C"/>
    <w:rsid w:val="00246BAF"/>
    <w:rsid w:val="00252B0B"/>
    <w:rsid w:val="002543CF"/>
    <w:rsid w:val="0026062E"/>
    <w:rsid w:val="00260F50"/>
    <w:rsid w:val="00261EF7"/>
    <w:rsid w:val="00266EA9"/>
    <w:rsid w:val="0027069F"/>
    <w:rsid w:val="0027790E"/>
    <w:rsid w:val="00280E04"/>
    <w:rsid w:val="00281F5F"/>
    <w:rsid w:val="002843E4"/>
    <w:rsid w:val="0028769D"/>
    <w:rsid w:val="002919E1"/>
    <w:rsid w:val="00292529"/>
    <w:rsid w:val="00293DC1"/>
    <w:rsid w:val="00295917"/>
    <w:rsid w:val="00296071"/>
    <w:rsid w:val="002A4572"/>
    <w:rsid w:val="002A6159"/>
    <w:rsid w:val="002A794D"/>
    <w:rsid w:val="002A7E2E"/>
    <w:rsid w:val="002B12C5"/>
    <w:rsid w:val="002B16D8"/>
    <w:rsid w:val="002D5F64"/>
    <w:rsid w:val="002D6BB4"/>
    <w:rsid w:val="002D6FBF"/>
    <w:rsid w:val="002E1CAE"/>
    <w:rsid w:val="002E48BF"/>
    <w:rsid w:val="002E5BCE"/>
    <w:rsid w:val="002E61C2"/>
    <w:rsid w:val="002F1A39"/>
    <w:rsid w:val="002F3E46"/>
    <w:rsid w:val="0030201B"/>
    <w:rsid w:val="00302BB0"/>
    <w:rsid w:val="00311CE9"/>
    <w:rsid w:val="00311E3F"/>
    <w:rsid w:val="00313871"/>
    <w:rsid w:val="00314B1E"/>
    <w:rsid w:val="00314F41"/>
    <w:rsid w:val="00317A67"/>
    <w:rsid w:val="003309DA"/>
    <w:rsid w:val="00335CFA"/>
    <w:rsid w:val="0033737F"/>
    <w:rsid w:val="003425B8"/>
    <w:rsid w:val="003475E8"/>
    <w:rsid w:val="00353652"/>
    <w:rsid w:val="003569E1"/>
    <w:rsid w:val="003636B6"/>
    <w:rsid w:val="003725C1"/>
    <w:rsid w:val="003736B2"/>
    <w:rsid w:val="003815E2"/>
    <w:rsid w:val="00381FAD"/>
    <w:rsid w:val="00382A66"/>
    <w:rsid w:val="00384AE2"/>
    <w:rsid w:val="003865CE"/>
    <w:rsid w:val="00386C79"/>
    <w:rsid w:val="0039085F"/>
    <w:rsid w:val="0039238C"/>
    <w:rsid w:val="003923B1"/>
    <w:rsid w:val="003965FE"/>
    <w:rsid w:val="00397C17"/>
    <w:rsid w:val="003A266F"/>
    <w:rsid w:val="003A50B3"/>
    <w:rsid w:val="003B27AD"/>
    <w:rsid w:val="003B4F23"/>
    <w:rsid w:val="003C0769"/>
    <w:rsid w:val="003C12F6"/>
    <w:rsid w:val="003C2A20"/>
    <w:rsid w:val="003C3A13"/>
    <w:rsid w:val="003C7E5B"/>
    <w:rsid w:val="003D13CC"/>
    <w:rsid w:val="003D1A65"/>
    <w:rsid w:val="003D7750"/>
    <w:rsid w:val="003E02EF"/>
    <w:rsid w:val="003E0C55"/>
    <w:rsid w:val="003E1D90"/>
    <w:rsid w:val="003E6A28"/>
    <w:rsid w:val="003F3862"/>
    <w:rsid w:val="003F5957"/>
    <w:rsid w:val="00400CD4"/>
    <w:rsid w:val="00403317"/>
    <w:rsid w:val="004147B9"/>
    <w:rsid w:val="00415D46"/>
    <w:rsid w:val="00417E76"/>
    <w:rsid w:val="00422C04"/>
    <w:rsid w:val="00423A40"/>
    <w:rsid w:val="00426144"/>
    <w:rsid w:val="004273DB"/>
    <w:rsid w:val="00434654"/>
    <w:rsid w:val="004606D0"/>
    <w:rsid w:val="004636E2"/>
    <w:rsid w:val="00470CBD"/>
    <w:rsid w:val="0047407D"/>
    <w:rsid w:val="00485F9E"/>
    <w:rsid w:val="00486B2B"/>
    <w:rsid w:val="004878FE"/>
    <w:rsid w:val="00490335"/>
    <w:rsid w:val="004909DD"/>
    <w:rsid w:val="004959F8"/>
    <w:rsid w:val="004A05E6"/>
    <w:rsid w:val="004A27FA"/>
    <w:rsid w:val="004A6230"/>
    <w:rsid w:val="004A6C66"/>
    <w:rsid w:val="004A7AA0"/>
    <w:rsid w:val="004C01A9"/>
    <w:rsid w:val="004C11BC"/>
    <w:rsid w:val="004C5C04"/>
    <w:rsid w:val="004D0448"/>
    <w:rsid w:val="004D0C02"/>
    <w:rsid w:val="004D4AE6"/>
    <w:rsid w:val="004E2A5D"/>
    <w:rsid w:val="00500BBF"/>
    <w:rsid w:val="00500DC2"/>
    <w:rsid w:val="005057F4"/>
    <w:rsid w:val="00505AA6"/>
    <w:rsid w:val="00505FCA"/>
    <w:rsid w:val="00510C2D"/>
    <w:rsid w:val="00510C3D"/>
    <w:rsid w:val="005166A4"/>
    <w:rsid w:val="005169F4"/>
    <w:rsid w:val="005210D1"/>
    <w:rsid w:val="00523146"/>
    <w:rsid w:val="00523275"/>
    <w:rsid w:val="00523D37"/>
    <w:rsid w:val="005265A0"/>
    <w:rsid w:val="00531DC7"/>
    <w:rsid w:val="005350B0"/>
    <w:rsid w:val="005431B5"/>
    <w:rsid w:val="00543205"/>
    <w:rsid w:val="00546A99"/>
    <w:rsid w:val="0055044C"/>
    <w:rsid w:val="00553150"/>
    <w:rsid w:val="00553411"/>
    <w:rsid w:val="00554AE7"/>
    <w:rsid w:val="00557899"/>
    <w:rsid w:val="00557DE9"/>
    <w:rsid w:val="005603C3"/>
    <w:rsid w:val="0056126A"/>
    <w:rsid w:val="0056257A"/>
    <w:rsid w:val="00564746"/>
    <w:rsid w:val="0056512C"/>
    <w:rsid w:val="00565F9E"/>
    <w:rsid w:val="005701FC"/>
    <w:rsid w:val="00570BD7"/>
    <w:rsid w:val="005730DF"/>
    <w:rsid w:val="00573A0B"/>
    <w:rsid w:val="00576D0A"/>
    <w:rsid w:val="00576FCC"/>
    <w:rsid w:val="00584333"/>
    <w:rsid w:val="00585F80"/>
    <w:rsid w:val="00586B66"/>
    <w:rsid w:val="00590787"/>
    <w:rsid w:val="005953EC"/>
    <w:rsid w:val="005A4BE3"/>
    <w:rsid w:val="005A4F02"/>
    <w:rsid w:val="005B00A1"/>
    <w:rsid w:val="005C29C8"/>
    <w:rsid w:val="005C3880"/>
    <w:rsid w:val="005C5D25"/>
    <w:rsid w:val="005C7761"/>
    <w:rsid w:val="005D2606"/>
    <w:rsid w:val="005D6D48"/>
    <w:rsid w:val="005D72A4"/>
    <w:rsid w:val="005F05CC"/>
    <w:rsid w:val="005F1430"/>
    <w:rsid w:val="005F1A50"/>
    <w:rsid w:val="005F65DE"/>
    <w:rsid w:val="00612FEC"/>
    <w:rsid w:val="00613492"/>
    <w:rsid w:val="00615EEE"/>
    <w:rsid w:val="006175E7"/>
    <w:rsid w:val="006222A7"/>
    <w:rsid w:val="00630905"/>
    <w:rsid w:val="006315B5"/>
    <w:rsid w:val="00634504"/>
    <w:rsid w:val="00637F69"/>
    <w:rsid w:val="00653585"/>
    <w:rsid w:val="00653DF2"/>
    <w:rsid w:val="00654230"/>
    <w:rsid w:val="0065562F"/>
    <w:rsid w:val="00661CA1"/>
    <w:rsid w:val="0066267D"/>
    <w:rsid w:val="00664B01"/>
    <w:rsid w:val="00665832"/>
    <w:rsid w:val="00670C11"/>
    <w:rsid w:val="006779A4"/>
    <w:rsid w:val="00680A38"/>
    <w:rsid w:val="00680A66"/>
    <w:rsid w:val="00680FB1"/>
    <w:rsid w:val="00681391"/>
    <w:rsid w:val="006819AB"/>
    <w:rsid w:val="00694690"/>
    <w:rsid w:val="00694DF6"/>
    <w:rsid w:val="0069526C"/>
    <w:rsid w:val="006A12AC"/>
    <w:rsid w:val="006A2162"/>
    <w:rsid w:val="006B4B90"/>
    <w:rsid w:val="006B600C"/>
    <w:rsid w:val="006B658C"/>
    <w:rsid w:val="006C7901"/>
    <w:rsid w:val="006D0645"/>
    <w:rsid w:val="006D1907"/>
    <w:rsid w:val="006D2674"/>
    <w:rsid w:val="006D4443"/>
    <w:rsid w:val="006E38D0"/>
    <w:rsid w:val="006E465B"/>
    <w:rsid w:val="006F08B4"/>
    <w:rsid w:val="006F17BB"/>
    <w:rsid w:val="006F38A7"/>
    <w:rsid w:val="006F70BF"/>
    <w:rsid w:val="007028CB"/>
    <w:rsid w:val="007039DA"/>
    <w:rsid w:val="00716B1D"/>
    <w:rsid w:val="007246AF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64ED7"/>
    <w:rsid w:val="00770AA0"/>
    <w:rsid w:val="007710F5"/>
    <w:rsid w:val="00771F7E"/>
    <w:rsid w:val="00773E9C"/>
    <w:rsid w:val="00775DF2"/>
    <w:rsid w:val="00776F6B"/>
    <w:rsid w:val="00777694"/>
    <w:rsid w:val="00786A7E"/>
    <w:rsid w:val="00790154"/>
    <w:rsid w:val="007A0802"/>
    <w:rsid w:val="007A3A06"/>
    <w:rsid w:val="007A4E61"/>
    <w:rsid w:val="007A75B5"/>
    <w:rsid w:val="007B1C4F"/>
    <w:rsid w:val="007B1FCA"/>
    <w:rsid w:val="007B47BB"/>
    <w:rsid w:val="007C2C12"/>
    <w:rsid w:val="007C3CFA"/>
    <w:rsid w:val="007D3752"/>
    <w:rsid w:val="007E0E8B"/>
    <w:rsid w:val="007E6847"/>
    <w:rsid w:val="007E6B0A"/>
    <w:rsid w:val="007E705B"/>
    <w:rsid w:val="007F08CA"/>
    <w:rsid w:val="007F6388"/>
    <w:rsid w:val="007F7FC3"/>
    <w:rsid w:val="008077A5"/>
    <w:rsid w:val="00810482"/>
    <w:rsid w:val="00812C74"/>
    <w:rsid w:val="00817568"/>
    <w:rsid w:val="008204AC"/>
    <w:rsid w:val="008261C2"/>
    <w:rsid w:val="00830D96"/>
    <w:rsid w:val="008362DC"/>
    <w:rsid w:val="0084009C"/>
    <w:rsid w:val="008412A0"/>
    <w:rsid w:val="00850655"/>
    <w:rsid w:val="00854407"/>
    <w:rsid w:val="0085569D"/>
    <w:rsid w:val="00855B59"/>
    <w:rsid w:val="00855D57"/>
    <w:rsid w:val="0085774F"/>
    <w:rsid w:val="008614B8"/>
    <w:rsid w:val="00863FEE"/>
    <w:rsid w:val="008657CB"/>
    <w:rsid w:val="00873A6F"/>
    <w:rsid w:val="008756D6"/>
    <w:rsid w:val="0088384B"/>
    <w:rsid w:val="00884282"/>
    <w:rsid w:val="008879AE"/>
    <w:rsid w:val="00891548"/>
    <w:rsid w:val="00893E53"/>
    <w:rsid w:val="00895F1D"/>
    <w:rsid w:val="008A1137"/>
    <w:rsid w:val="008A1788"/>
    <w:rsid w:val="008A1E64"/>
    <w:rsid w:val="008A3E57"/>
    <w:rsid w:val="008A4185"/>
    <w:rsid w:val="008A4847"/>
    <w:rsid w:val="008A6552"/>
    <w:rsid w:val="008B4E93"/>
    <w:rsid w:val="008B52B7"/>
    <w:rsid w:val="008C3818"/>
    <w:rsid w:val="008D19EE"/>
    <w:rsid w:val="008D6ACC"/>
    <w:rsid w:val="008D753F"/>
    <w:rsid w:val="008D7AF0"/>
    <w:rsid w:val="008E1A32"/>
    <w:rsid w:val="008E2CBE"/>
    <w:rsid w:val="008E32DD"/>
    <w:rsid w:val="008F4626"/>
    <w:rsid w:val="009004DF"/>
    <w:rsid w:val="00902E2A"/>
    <w:rsid w:val="00903DB9"/>
    <w:rsid w:val="00904AA5"/>
    <w:rsid w:val="009151F1"/>
    <w:rsid w:val="00917DC9"/>
    <w:rsid w:val="009234D3"/>
    <w:rsid w:val="00927026"/>
    <w:rsid w:val="0093046E"/>
    <w:rsid w:val="00941CDF"/>
    <w:rsid w:val="00951718"/>
    <w:rsid w:val="009536BA"/>
    <w:rsid w:val="009538F2"/>
    <w:rsid w:val="00960962"/>
    <w:rsid w:val="00966FA2"/>
    <w:rsid w:val="00972CE0"/>
    <w:rsid w:val="00972F79"/>
    <w:rsid w:val="0097742C"/>
    <w:rsid w:val="009A3D30"/>
    <w:rsid w:val="009C13BE"/>
    <w:rsid w:val="009D0810"/>
    <w:rsid w:val="009D4D3E"/>
    <w:rsid w:val="009D6348"/>
    <w:rsid w:val="009D6F51"/>
    <w:rsid w:val="009E5007"/>
    <w:rsid w:val="009E5413"/>
    <w:rsid w:val="009E613F"/>
    <w:rsid w:val="009F042B"/>
    <w:rsid w:val="00A03FD6"/>
    <w:rsid w:val="00A04CF4"/>
    <w:rsid w:val="00A103F5"/>
    <w:rsid w:val="00A116A8"/>
    <w:rsid w:val="00A17E61"/>
    <w:rsid w:val="00A22AE9"/>
    <w:rsid w:val="00A24D4E"/>
    <w:rsid w:val="00A24D5C"/>
    <w:rsid w:val="00A26758"/>
    <w:rsid w:val="00A26D0E"/>
    <w:rsid w:val="00A27205"/>
    <w:rsid w:val="00A278E9"/>
    <w:rsid w:val="00A30D41"/>
    <w:rsid w:val="00A319B7"/>
    <w:rsid w:val="00A33A95"/>
    <w:rsid w:val="00A3451F"/>
    <w:rsid w:val="00A3584A"/>
    <w:rsid w:val="00A35E1F"/>
    <w:rsid w:val="00A36268"/>
    <w:rsid w:val="00A375BD"/>
    <w:rsid w:val="00A40B2C"/>
    <w:rsid w:val="00A42ADC"/>
    <w:rsid w:val="00A47684"/>
    <w:rsid w:val="00A5053E"/>
    <w:rsid w:val="00A57144"/>
    <w:rsid w:val="00A64DA7"/>
    <w:rsid w:val="00A65EC8"/>
    <w:rsid w:val="00A66D2B"/>
    <w:rsid w:val="00A72851"/>
    <w:rsid w:val="00A770F2"/>
    <w:rsid w:val="00A7740B"/>
    <w:rsid w:val="00A779B6"/>
    <w:rsid w:val="00A77ABA"/>
    <w:rsid w:val="00A809E8"/>
    <w:rsid w:val="00A870AD"/>
    <w:rsid w:val="00A90843"/>
    <w:rsid w:val="00A9645C"/>
    <w:rsid w:val="00AA0C42"/>
    <w:rsid w:val="00AA4AF9"/>
    <w:rsid w:val="00AA6493"/>
    <w:rsid w:val="00AA6EF1"/>
    <w:rsid w:val="00AB2A33"/>
    <w:rsid w:val="00AB5D38"/>
    <w:rsid w:val="00AC1275"/>
    <w:rsid w:val="00AC3BF2"/>
    <w:rsid w:val="00AC7395"/>
    <w:rsid w:val="00AD162B"/>
    <w:rsid w:val="00AD2DEB"/>
    <w:rsid w:val="00AD538E"/>
    <w:rsid w:val="00AD690F"/>
    <w:rsid w:val="00AD69DD"/>
    <w:rsid w:val="00AE6B26"/>
    <w:rsid w:val="00AF22C1"/>
    <w:rsid w:val="00AF3EFA"/>
    <w:rsid w:val="00AF41D1"/>
    <w:rsid w:val="00AF6585"/>
    <w:rsid w:val="00B0007E"/>
    <w:rsid w:val="00B01623"/>
    <w:rsid w:val="00B033DF"/>
    <w:rsid w:val="00B039AD"/>
    <w:rsid w:val="00B047AB"/>
    <w:rsid w:val="00B05B05"/>
    <w:rsid w:val="00B07CEE"/>
    <w:rsid w:val="00B12661"/>
    <w:rsid w:val="00B16045"/>
    <w:rsid w:val="00B1667D"/>
    <w:rsid w:val="00B1714C"/>
    <w:rsid w:val="00B23A82"/>
    <w:rsid w:val="00B24621"/>
    <w:rsid w:val="00B25708"/>
    <w:rsid w:val="00B27D74"/>
    <w:rsid w:val="00B30E73"/>
    <w:rsid w:val="00B32F07"/>
    <w:rsid w:val="00B344B6"/>
    <w:rsid w:val="00B357E9"/>
    <w:rsid w:val="00B4164D"/>
    <w:rsid w:val="00B425C1"/>
    <w:rsid w:val="00B43A79"/>
    <w:rsid w:val="00B552DF"/>
    <w:rsid w:val="00B606BA"/>
    <w:rsid w:val="00B6390E"/>
    <w:rsid w:val="00B63EAC"/>
    <w:rsid w:val="00B65F70"/>
    <w:rsid w:val="00B66817"/>
    <w:rsid w:val="00B672BD"/>
    <w:rsid w:val="00B71E3B"/>
    <w:rsid w:val="00B721D5"/>
    <w:rsid w:val="00B73072"/>
    <w:rsid w:val="00B775AF"/>
    <w:rsid w:val="00B81CB5"/>
    <w:rsid w:val="00B8351F"/>
    <w:rsid w:val="00B86C44"/>
    <w:rsid w:val="00B919AB"/>
    <w:rsid w:val="00B933AA"/>
    <w:rsid w:val="00B946B6"/>
    <w:rsid w:val="00B9727C"/>
    <w:rsid w:val="00BA7D44"/>
    <w:rsid w:val="00BB68D7"/>
    <w:rsid w:val="00BC5542"/>
    <w:rsid w:val="00BD6291"/>
    <w:rsid w:val="00BD6EF3"/>
    <w:rsid w:val="00BE27CD"/>
    <w:rsid w:val="00BE3AAE"/>
    <w:rsid w:val="00BE4DD7"/>
    <w:rsid w:val="00BE69C3"/>
    <w:rsid w:val="00BE6A37"/>
    <w:rsid w:val="00BF0FE4"/>
    <w:rsid w:val="00BF1159"/>
    <w:rsid w:val="00C03302"/>
    <w:rsid w:val="00C05E12"/>
    <w:rsid w:val="00C1165E"/>
    <w:rsid w:val="00C134B9"/>
    <w:rsid w:val="00C22074"/>
    <w:rsid w:val="00C2377B"/>
    <w:rsid w:val="00C32D73"/>
    <w:rsid w:val="00C341E0"/>
    <w:rsid w:val="00C34E09"/>
    <w:rsid w:val="00C35338"/>
    <w:rsid w:val="00C3693C"/>
    <w:rsid w:val="00C37F27"/>
    <w:rsid w:val="00C446F1"/>
    <w:rsid w:val="00C51C89"/>
    <w:rsid w:val="00C53046"/>
    <w:rsid w:val="00C53C8E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0B64"/>
    <w:rsid w:val="00CA14FD"/>
    <w:rsid w:val="00CA298C"/>
    <w:rsid w:val="00CB2BF9"/>
    <w:rsid w:val="00CB33CC"/>
    <w:rsid w:val="00CB4300"/>
    <w:rsid w:val="00CB454E"/>
    <w:rsid w:val="00CB49A1"/>
    <w:rsid w:val="00CB64DC"/>
    <w:rsid w:val="00CC030E"/>
    <w:rsid w:val="00CC115E"/>
    <w:rsid w:val="00CC164B"/>
    <w:rsid w:val="00CC68C4"/>
    <w:rsid w:val="00CC79A4"/>
    <w:rsid w:val="00CD0FDE"/>
    <w:rsid w:val="00CD1CC7"/>
    <w:rsid w:val="00CD3AC8"/>
    <w:rsid w:val="00CE0E68"/>
    <w:rsid w:val="00CE3E10"/>
    <w:rsid w:val="00CE5BA4"/>
    <w:rsid w:val="00CF2A40"/>
    <w:rsid w:val="00CF2EDE"/>
    <w:rsid w:val="00CF45F6"/>
    <w:rsid w:val="00CF4B03"/>
    <w:rsid w:val="00CF7931"/>
    <w:rsid w:val="00D06528"/>
    <w:rsid w:val="00D1576B"/>
    <w:rsid w:val="00D179AA"/>
    <w:rsid w:val="00D209B5"/>
    <w:rsid w:val="00D21D8E"/>
    <w:rsid w:val="00D25120"/>
    <w:rsid w:val="00D34C24"/>
    <w:rsid w:val="00D353FE"/>
    <w:rsid w:val="00D3725C"/>
    <w:rsid w:val="00D419CB"/>
    <w:rsid w:val="00D44350"/>
    <w:rsid w:val="00D44E3F"/>
    <w:rsid w:val="00D51BB8"/>
    <w:rsid w:val="00D525F5"/>
    <w:rsid w:val="00D535D0"/>
    <w:rsid w:val="00D577D8"/>
    <w:rsid w:val="00D62C78"/>
    <w:rsid w:val="00D75C0C"/>
    <w:rsid w:val="00D8121C"/>
    <w:rsid w:val="00D81703"/>
    <w:rsid w:val="00D81BA0"/>
    <w:rsid w:val="00D82929"/>
    <w:rsid w:val="00D84214"/>
    <w:rsid w:val="00D9193B"/>
    <w:rsid w:val="00D934B9"/>
    <w:rsid w:val="00D943E5"/>
    <w:rsid w:val="00D94BB8"/>
    <w:rsid w:val="00D9755D"/>
    <w:rsid w:val="00DA1AE0"/>
    <w:rsid w:val="00DA4259"/>
    <w:rsid w:val="00DB0FDE"/>
    <w:rsid w:val="00DB484D"/>
    <w:rsid w:val="00DB77D1"/>
    <w:rsid w:val="00DC29DD"/>
    <w:rsid w:val="00DC7C0E"/>
    <w:rsid w:val="00DE1E82"/>
    <w:rsid w:val="00DE5245"/>
    <w:rsid w:val="00DE7387"/>
    <w:rsid w:val="00DF1928"/>
    <w:rsid w:val="00DF2A6A"/>
    <w:rsid w:val="00DF3B72"/>
    <w:rsid w:val="00E01DFD"/>
    <w:rsid w:val="00E04E88"/>
    <w:rsid w:val="00E0566F"/>
    <w:rsid w:val="00E10821"/>
    <w:rsid w:val="00E1093A"/>
    <w:rsid w:val="00E12CA3"/>
    <w:rsid w:val="00E16E67"/>
    <w:rsid w:val="00E21DF0"/>
    <w:rsid w:val="00E224A1"/>
    <w:rsid w:val="00E2489D"/>
    <w:rsid w:val="00E26520"/>
    <w:rsid w:val="00E30733"/>
    <w:rsid w:val="00E3101E"/>
    <w:rsid w:val="00E32D82"/>
    <w:rsid w:val="00E343A3"/>
    <w:rsid w:val="00E41EAC"/>
    <w:rsid w:val="00E41FE6"/>
    <w:rsid w:val="00E51BFA"/>
    <w:rsid w:val="00E55E21"/>
    <w:rsid w:val="00E621A3"/>
    <w:rsid w:val="00E7682F"/>
    <w:rsid w:val="00E833BC"/>
    <w:rsid w:val="00E8580E"/>
    <w:rsid w:val="00E946AD"/>
    <w:rsid w:val="00E97E21"/>
    <w:rsid w:val="00EA1B76"/>
    <w:rsid w:val="00EA77D7"/>
    <w:rsid w:val="00EB06CC"/>
    <w:rsid w:val="00EB52D8"/>
    <w:rsid w:val="00EC09B9"/>
    <w:rsid w:val="00EC0AD3"/>
    <w:rsid w:val="00ED048C"/>
    <w:rsid w:val="00ED1156"/>
    <w:rsid w:val="00EE32DF"/>
    <w:rsid w:val="00EE3FA9"/>
    <w:rsid w:val="00EE60E9"/>
    <w:rsid w:val="00EF38AF"/>
    <w:rsid w:val="00EF7F56"/>
    <w:rsid w:val="00F00143"/>
    <w:rsid w:val="00F055F8"/>
    <w:rsid w:val="00F10CB4"/>
    <w:rsid w:val="00F11B3D"/>
    <w:rsid w:val="00F146AC"/>
    <w:rsid w:val="00F14763"/>
    <w:rsid w:val="00F15DE1"/>
    <w:rsid w:val="00F16212"/>
    <w:rsid w:val="00F16602"/>
    <w:rsid w:val="00F20A7B"/>
    <w:rsid w:val="00F230AE"/>
    <w:rsid w:val="00F25B80"/>
    <w:rsid w:val="00F2685F"/>
    <w:rsid w:val="00F33A34"/>
    <w:rsid w:val="00F350C8"/>
    <w:rsid w:val="00F51847"/>
    <w:rsid w:val="00F53B4A"/>
    <w:rsid w:val="00F568F2"/>
    <w:rsid w:val="00F62736"/>
    <w:rsid w:val="00F827A1"/>
    <w:rsid w:val="00F84613"/>
    <w:rsid w:val="00F85668"/>
    <w:rsid w:val="00F8654D"/>
    <w:rsid w:val="00F86958"/>
    <w:rsid w:val="00F900C9"/>
    <w:rsid w:val="00F92C96"/>
    <w:rsid w:val="00F97D1C"/>
    <w:rsid w:val="00FA0D4E"/>
    <w:rsid w:val="00FA30DA"/>
    <w:rsid w:val="00FA41B7"/>
    <w:rsid w:val="00FB0753"/>
    <w:rsid w:val="00FB3E8D"/>
    <w:rsid w:val="00FB4581"/>
    <w:rsid w:val="00FB5CC8"/>
    <w:rsid w:val="00FC0049"/>
    <w:rsid w:val="00FC170F"/>
    <w:rsid w:val="00FC2CD0"/>
    <w:rsid w:val="00FC369E"/>
    <w:rsid w:val="00FC7FD8"/>
    <w:rsid w:val="00FD0594"/>
    <w:rsid w:val="00FD3BE9"/>
    <w:rsid w:val="00FF283A"/>
    <w:rsid w:val="00FF4FFF"/>
    <w:rsid w:val="00F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C1024A"/>
  <w15:docId w15:val="{5D68F035-8DC7-46DB-B9ED-54B78C9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6F1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qFormat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customStyle="1" w:styleId="LOGO">
    <w:name w:val="LOGO"/>
    <w:next w:val="LOGO0"/>
    <w:link w:val="FootnoteTextChar"/>
    <w:qFormat/>
    <w:rsid w:val="00C446F1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character" w:customStyle="1" w:styleId="FootnoteTextChar">
    <w:name w:val="Footnote Text Char"/>
    <w:basedOn w:val="DefaultParagraphFont"/>
    <w:link w:val="LOGO"/>
    <w:rsid w:val="00A770F2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aliases w:val="h,Header/Foot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aliases w:val="h Char,Header/Foot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aliases w:val="titre 4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855D57"/>
    <w:pPr>
      <w:keepNext/>
      <w:spacing w:before="360" w:after="120"/>
      <w:jc w:val="center"/>
      <w:outlineLvl w:val="0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855D57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585F80"/>
    <w:pPr>
      <w:keepNext/>
      <w:spacing w:before="360" w:after="120"/>
      <w:jc w:val="center"/>
      <w:outlineLvl w:val="0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qFormat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0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66267D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3F5957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  <w:outlineLvl w:val="0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3F5957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  <w:outlineLvl w:val="0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3F5957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855D57"/>
  </w:style>
  <w:style w:type="character" w:customStyle="1" w:styleId="RestitleChar">
    <w:name w:val="Res_title Char"/>
    <w:basedOn w:val="AnnextitleChar"/>
    <w:link w:val="Restitle"/>
    <w:rsid w:val="00855D57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0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A4AF9"/>
    <w:rPr>
      <w:b/>
      <w:bCs/>
      <w:sz w:val="48"/>
      <w:szCs w:val="48"/>
    </w:rPr>
  </w:style>
  <w:style w:type="character" w:customStyle="1" w:styleId="BodyTextChar">
    <w:name w:val="Body Text Char"/>
    <w:basedOn w:val="DefaultParagraphFont"/>
    <w:link w:val="BodyText"/>
    <w:rsid w:val="00AA4AF9"/>
    <w:rPr>
      <w:rFonts w:ascii="Dubai" w:hAnsi="Dubai" w:cs="Dubai"/>
      <w:b/>
      <w:bCs/>
      <w:sz w:val="48"/>
      <w:szCs w:val="48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b/>
      <w:bCs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LOGO"/>
    <w:link w:val="EndnoteTextChar"/>
    <w:semiHidden/>
    <w:unhideWhenUsed/>
    <w:rsid w:val="005431B5"/>
    <w:pPr>
      <w:framePr w:wrap="around"/>
    </w:p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styleId="Revision">
    <w:name w:val="Revision"/>
    <w:hidden/>
    <w:uiPriority w:val="99"/>
    <w:semiHidden/>
    <w:rsid w:val="00F568F2"/>
    <w:rPr>
      <w:rFonts w:ascii="Dubai" w:hAnsi="Dubai" w:cs="Dubai"/>
      <w:sz w:val="22"/>
      <w:szCs w:val="22"/>
      <w:lang w:eastAsia="en-US"/>
    </w:rPr>
  </w:style>
  <w:style w:type="paragraph" w:customStyle="1" w:styleId="Abstract">
    <w:name w:val="Abstract"/>
    <w:basedOn w:val="Normal"/>
    <w:uiPriority w:val="99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Docnumber">
    <w:name w:val="Docnumber"/>
    <w:basedOn w:val="Normal"/>
    <w:link w:val="DocnumberChar"/>
    <w:rsid w:val="00E16E6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b/>
      <w:bCs/>
      <w:lang w:val="en-GB"/>
    </w:rPr>
  </w:style>
  <w:style w:type="character" w:customStyle="1" w:styleId="DocnumberChar">
    <w:name w:val="Docnumber Char"/>
    <w:link w:val="Docnumber"/>
    <w:qFormat/>
    <w:rsid w:val="00E16E67"/>
    <w:rPr>
      <w:rFonts w:ascii="Dubai" w:hAnsi="Dubai" w:cs="Dubai"/>
      <w:b/>
      <w:bCs/>
      <w:sz w:val="22"/>
      <w:szCs w:val="22"/>
      <w:lang w:val="en-GB" w:eastAsia="en-US"/>
    </w:rPr>
  </w:style>
  <w:style w:type="paragraph" w:customStyle="1" w:styleId="TopHeader">
    <w:name w:val="TopHeader"/>
    <w:basedOn w:val="Normal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Verdana" w:hAnsi="Verdana" w:cs="Times New Roman Bold"/>
      <w:b/>
      <w:bCs/>
      <w:sz w:val="24"/>
      <w:szCs w:val="24"/>
      <w:lang w:val="en-GB"/>
    </w:rPr>
  </w:style>
  <w:style w:type="table" w:styleId="ListTable7Colorful-Accent6">
    <w:name w:val="List Table 7 Colorful Accent 6"/>
    <w:basedOn w:val="TableNormal"/>
    <w:uiPriority w:val="52"/>
    <w:rsid w:val="00C446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otnoteTextChar1">
    <w:name w:val="Footnote Text Char1"/>
    <w:basedOn w:val="DefaultParagraphFont"/>
    <w:semiHidden/>
    <w:rsid w:val="00C446F1"/>
    <w:rPr>
      <w:rFonts w:ascii="Dubai" w:hAnsi="Dubai" w:cs="Dubai"/>
      <w:lang w:eastAsia="en-US"/>
    </w:rPr>
  </w:style>
  <w:style w:type="numbering" w:styleId="111111">
    <w:name w:val="Outline List 2"/>
    <w:basedOn w:val="NoList"/>
    <w:link w:val="FootnoteTextChar2"/>
    <w:semiHidden/>
    <w:unhideWhenUsed/>
    <w:rsid w:val="00C446F1"/>
  </w:style>
  <w:style w:type="character" w:customStyle="1" w:styleId="FootnoteTextChar2">
    <w:name w:val="Footnote Text Char2"/>
    <w:basedOn w:val="DefaultParagraphFont"/>
    <w:link w:val="111111"/>
    <w:semiHidden/>
    <w:rsid w:val="00C446F1"/>
    <w:rPr>
      <w:rFonts w:ascii="Dubai" w:hAnsi="Dubai" w:cs="Dubai"/>
      <w:sz w:val="18"/>
      <w:szCs w:val="18"/>
      <w:lang w:eastAsia="en-US"/>
    </w:rPr>
  </w:style>
  <w:style w:type="paragraph" w:styleId="FootnoteText">
    <w:name w:val="footnote text"/>
    <w:basedOn w:val="Normal"/>
    <w:link w:val="FootnoteTextChar3"/>
    <w:semiHidden/>
    <w:unhideWhenUsed/>
    <w:rsid w:val="00F62736"/>
    <w:pPr>
      <w:spacing w:before="0" w:line="240" w:lineRule="auto"/>
      <w:ind w:left="284" w:hanging="284"/>
    </w:pPr>
    <w:rPr>
      <w:sz w:val="18"/>
      <w:szCs w:val="18"/>
    </w:rPr>
  </w:style>
  <w:style w:type="character" w:customStyle="1" w:styleId="FootnoteTextChar3">
    <w:name w:val="Footnote Text Char3"/>
    <w:basedOn w:val="DefaultParagraphFont"/>
    <w:link w:val="FootnoteText"/>
    <w:semiHidden/>
    <w:rsid w:val="00F62736"/>
    <w:rPr>
      <w:rFonts w:ascii="Dubai" w:hAnsi="Dubai" w:cs="Dubai"/>
      <w:sz w:val="18"/>
      <w:szCs w:val="18"/>
      <w:lang w:eastAsia="en-US"/>
    </w:rPr>
  </w:style>
  <w:style w:type="character" w:customStyle="1" w:styleId="href">
    <w:name w:val="href"/>
    <w:basedOn w:val="DefaultParagraphFont"/>
    <w:rsid w:val="0043659F"/>
  </w:style>
  <w:style w:type="character" w:customStyle="1" w:styleId="Left-to-Rightbold">
    <w:name w:val="Left-to-Right bold"/>
    <w:rsid w:val="00374E89"/>
    <w:rPr>
      <w:b/>
      <w:bCs/>
    </w:rPr>
  </w:style>
  <w:style w:type="character" w:customStyle="1" w:styleId="Left-to-Right">
    <w:name w:val="Left-to-Right"/>
    <w:rsid w:val="001B76FC"/>
  </w:style>
  <w:style w:type="character" w:customStyle="1" w:styleId="Right-to-Left">
    <w:name w:val="Right-to-Left"/>
    <w:rsid w:val="001B76FC"/>
  </w:style>
  <w:style w:type="character" w:customStyle="1" w:styleId="Symbol">
    <w:name w:val="Symbol"/>
    <w:rsid w:val="001B76FC"/>
  </w:style>
  <w:style w:type="character" w:customStyle="1" w:styleId="Italic">
    <w:name w:val="Italic"/>
    <w:rsid w:val="00E32F86"/>
    <w:rPr>
      <w:i/>
      <w:iCs/>
    </w:rPr>
  </w:style>
  <w:style w:type="paragraph" w:customStyle="1" w:styleId="enumlev10">
    <w:name w:val="enumlev 1"/>
    <w:basedOn w:val="Normal"/>
    <w:qFormat/>
    <w:rsid w:val="00432541"/>
    <w:pPr>
      <w:tabs>
        <w:tab w:val="clear" w:pos="1191"/>
        <w:tab w:val="clear" w:pos="1588"/>
        <w:tab w:val="clear" w:pos="1985"/>
      </w:tabs>
      <w:spacing w:before="80"/>
      <w:ind w:left="794" w:hanging="794"/>
    </w:pPr>
    <w:rPr>
      <w:rFonts w:eastAsiaTheme="minorEastAsia"/>
      <w:lang w:eastAsia="zh-CN" w:bidi="ar-SY"/>
    </w:rPr>
  </w:style>
  <w:style w:type="paragraph" w:customStyle="1" w:styleId="Bulletlist1">
    <w:name w:val="Bullet list 1"/>
    <w:basedOn w:val="Normal"/>
    <w:rsid w:val="004F56A2"/>
    <w:pPr>
      <w:ind w:left="794" w:hanging="794"/>
    </w:pPr>
  </w:style>
  <w:style w:type="paragraph" w:customStyle="1" w:styleId="Tableheadwhitecentred">
    <w:name w:val="Table head white centred"/>
    <w:basedOn w:val="Normal"/>
    <w:rsid w:val="00785DDD"/>
    <w:pPr>
      <w:jc w:val="center"/>
    </w:pPr>
    <w:rPr>
      <w:color w:val="1F497D" w:themeColor="text2"/>
    </w:rPr>
  </w:style>
  <w:style w:type="paragraph" w:customStyle="1" w:styleId="Tabletext0">
    <w:name w:val="Table text"/>
    <w:basedOn w:val="Normal"/>
    <w:rsid w:val="00A147E1"/>
  </w:style>
  <w:style w:type="paragraph" w:customStyle="1" w:styleId="Normalaftertitle0">
    <w:name w:val="Normal_after_title"/>
    <w:basedOn w:val="Normal"/>
    <w:next w:val="Normal"/>
    <w:rsid w:val="0016485B"/>
    <w:pPr>
      <w:overflowPunct w:val="0"/>
      <w:autoSpaceDE w:val="0"/>
      <w:autoSpaceDN w:val="0"/>
      <w:adjustRightInd w:val="0"/>
      <w:spacing w:before="360"/>
      <w:textAlignment w:val="baseline"/>
    </w:pPr>
    <w:rPr>
      <w:lang w:val="en-GB"/>
    </w:rPr>
  </w:style>
  <w:style w:type="paragraph" w:customStyle="1" w:styleId="RecTitle0">
    <w:name w:val="Rec_Title"/>
    <w:basedOn w:val="Annextitle"/>
    <w:autoRedefine/>
    <w:uiPriority w:val="1"/>
    <w:qFormat/>
    <w:rsid w:val="007E57A6"/>
  </w:style>
  <w:style w:type="paragraph" w:customStyle="1" w:styleId="Normalcenteraligned">
    <w:name w:val="Normal center aligned"/>
    <w:basedOn w:val="Normal"/>
    <w:rsid w:val="00514B81"/>
    <w:pPr>
      <w:jc w:val="center"/>
    </w:pPr>
  </w:style>
  <w:style w:type="paragraph" w:customStyle="1" w:styleId="Figure">
    <w:name w:val="Figure"/>
    <w:basedOn w:val="Normal"/>
    <w:rsid w:val="00514B81"/>
    <w:pPr>
      <w:jc w:val="center"/>
    </w:pPr>
  </w:style>
  <w:style w:type="paragraph" w:customStyle="1" w:styleId="FigureNoTitle">
    <w:name w:val="Figure NoTitle"/>
    <w:basedOn w:val="Normal"/>
    <w:next w:val="Normal"/>
    <w:rsid w:val="00514B81"/>
    <w:pPr>
      <w:jc w:val="center"/>
    </w:pPr>
    <w:rPr>
      <w:b/>
      <w:bCs/>
    </w:rPr>
  </w:style>
  <w:style w:type="paragraph" w:customStyle="1" w:styleId="AppendixNoTitle">
    <w:name w:val="Appendix_NoTitle"/>
    <w:basedOn w:val="Normal"/>
    <w:next w:val="Normal"/>
    <w:rsid w:val="00514B81"/>
    <w:pPr>
      <w:pageBreakBefore/>
      <w:jc w:val="center"/>
    </w:pPr>
    <w:rPr>
      <w:b/>
      <w:bCs/>
    </w:rPr>
  </w:style>
  <w:style w:type="paragraph" w:customStyle="1" w:styleId="NormalEnglish">
    <w:name w:val="Normal_English"/>
    <w:basedOn w:val="Normal"/>
    <w:rsid w:val="00514B81"/>
    <w:pPr>
      <w:jc w:val="right"/>
    </w:pPr>
  </w:style>
  <w:style w:type="paragraph" w:styleId="HTMLPreformatted">
    <w:name w:val="HTML Preformatted"/>
    <w:basedOn w:val="Normal"/>
    <w:link w:val="HTMLPreformattedChar"/>
    <w:semiHidden/>
    <w:unhideWhenUsed/>
    <w:rsid w:val="00972F79"/>
    <w:pPr>
      <w:spacing w:before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72F79"/>
    <w:rPr>
      <w:rFonts w:ascii="Consolas" w:hAnsi="Consolas" w:cs="Dubai"/>
      <w:lang w:eastAsia="en-US"/>
    </w:rPr>
  </w:style>
  <w:style w:type="paragraph" w:customStyle="1" w:styleId="CoverNumber">
    <w:name w:val="Cover Number"/>
    <w:basedOn w:val="Normal"/>
    <w:qFormat/>
    <w:rsid w:val="003425B8"/>
    <w:rPr>
      <w:b/>
      <w:bCs/>
      <w:color w:val="000000" w:themeColor="text1"/>
      <w:sz w:val="48"/>
      <w:szCs w:val="48"/>
      <w:lang w:eastAsia="fr-FR" w:bidi="ar-EG"/>
    </w:rPr>
  </w:style>
  <w:style w:type="paragraph" w:customStyle="1" w:styleId="CoverSeries">
    <w:name w:val="Cover Series"/>
    <w:basedOn w:val="Normal"/>
    <w:qFormat/>
    <w:rsid w:val="003425B8"/>
    <w:pPr>
      <w:spacing w:before="240" w:line="168" w:lineRule="auto"/>
      <w:ind w:right="-125"/>
      <w:jc w:val="left"/>
    </w:pPr>
    <w:rPr>
      <w:color w:val="000000" w:themeColor="text1"/>
      <w:sz w:val="44"/>
      <w:szCs w:val="44"/>
      <w:lang w:eastAsia="fr-FR" w:bidi="ar-EG"/>
    </w:rPr>
  </w:style>
  <w:style w:type="paragraph" w:customStyle="1" w:styleId="CoverTitle">
    <w:name w:val="Cover Title"/>
    <w:basedOn w:val="Normal"/>
    <w:qFormat/>
    <w:rsid w:val="003425B8"/>
    <w:rPr>
      <w:b/>
      <w:bCs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9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ED8FA4343A408162ABB453A6A839" ma:contentTypeVersion="4" ma:contentTypeDescription="Create a new document." ma:contentTypeScope="" ma:versionID="745063bc0b310fbc807aec057169f4fa">
  <xsd:schema xmlns:xsd="http://www.w3.org/2001/XMLSchema" xmlns:xs="http://www.w3.org/2001/XMLSchema" xmlns:p="http://schemas.microsoft.com/office/2006/metadata/properties" xmlns:ns2="bf6fb32c-fdd7-4c1d-9827-aab97e27f707" targetNamespace="http://schemas.microsoft.com/office/2006/metadata/properties" ma:root="true" ma:fieldsID="aa77375ba6ca9826df926756650f77c8" ns2:_="">
    <xsd:import namespace="bf6fb32c-fdd7-4c1d-9827-aab97e27f7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fb32c-fdd7-4c1d-9827-aab97e27f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DCF56A-32F4-4A5E-8B6C-CAF57C1570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2EF659-3AF7-41F7-B11E-9ACC85BFA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6fb32c-fdd7-4c1d-9827-aab97e27f7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purl.org/dc/dcmitype/"/>
    <ds:schemaRef ds:uri="http://purl.org/dc/elements/1.1/"/>
    <ds:schemaRef ds:uri="bf6fb32c-fdd7-4c1d-9827-aab97e27f707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6</Pages>
  <Words>1276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القـرار 55 – تعميم المساواة بين الجنسين في أنشطة قطاع تقييس الاتصالات للاتحاد الدولي للاتصالات</vt:lpstr>
    </vt:vector>
  </TitlesOfParts>
  <Manager>General Secretariat - Pool</Manager>
  <Company>International Telecommunication Union (ITU)</Company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القـرار 58 – تشجيع إنشاء وتعزيز الأفرقة الوطنية للاستجابة في حالات الحوادث الحاسوبية، خاصة للبلدان النامية</dc:title>
  <dc:subject>World Telecommunication Standardization Assembly</dc:subject>
  <dc:creator>Documents Proposals Manager (DPM)</dc:creator>
  <cp:keywords>DPM_v2024.10.3.1_prod</cp:keywords>
  <dc:description>Template used by DPM and CPI for the WTSA-24</dc:description>
  <cp:lastModifiedBy>Gergis, Mina</cp:lastModifiedBy>
  <cp:revision>61</cp:revision>
  <cp:lastPrinted>2024-11-26T14:25:00Z</cp:lastPrinted>
  <dcterms:created xsi:type="dcterms:W3CDTF">2024-11-08T10:24:00Z</dcterms:created>
  <dcterms:modified xsi:type="dcterms:W3CDTF">2024-11-26T14:26:00Z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0x0101007BFDED8FA4343A408162ABB453A6A839</vt:lpwstr>
  </property>
  <property fmtid="{D5CDD505-2E9C-101B-9397-08002B2CF9AE}" pid="9" name="_dlc_DocIdItemGuid">
    <vt:lpwstr>8e895a51-0127-4b82-941e-db47618fc5d7</vt:lpwstr>
  </property>
</Properties>
</file>