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6B253B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6B253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6B253B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6B253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6B253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B253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6B253B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6B253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6B253B" w:rsidRDefault="009663D2">
            <w:pPr>
              <w:rPr>
                <w:lang w:val="ru-RU"/>
              </w:rPr>
            </w:pPr>
          </w:p>
        </w:tc>
      </w:tr>
      <w:tr w:rsidR="009663D2" w:rsidRPr="006B253B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6B253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6B253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6B253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B253B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6B253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6B253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6B253B">
              <w:rPr>
                <w:rFonts w:ascii="Arial" w:hAnsi="Arial" w:cs="Arial"/>
                <w:sz w:val="20"/>
                <w:lang w:val="ru-RU"/>
              </w:rPr>
              <w:br/>
            </w:r>
            <w:r w:rsidRPr="006B253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6B253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B253B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6B253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6B253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6B253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6B253B">
              <w:rPr>
                <w:rFonts w:ascii="Arial" w:hAnsi="Arial"/>
                <w:sz w:val="32"/>
                <w:lang w:val="ru-RU"/>
              </w:rPr>
              <w:br/>
            </w:r>
            <w:r w:rsidR="001C0E33" w:rsidRPr="006B253B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6B253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6B253B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6B253B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6B253B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6B253B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6B253B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6B253B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6B253B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6B253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6B253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6B253B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6B253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3CA1A0A9" w:rsidR="009663D2" w:rsidRPr="006B253B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6B253B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9253EA" w:rsidRPr="006B253B">
              <w:rPr>
                <w:rFonts w:ascii="Arial" w:hAnsi="Arial"/>
                <w:b/>
                <w:bCs/>
                <w:sz w:val="36"/>
                <w:lang w:val="ru-RU"/>
              </w:rPr>
              <w:t>5</w:t>
            </w:r>
            <w:r w:rsidR="00255A7C" w:rsidRPr="006B253B">
              <w:rPr>
                <w:rFonts w:ascii="Arial" w:hAnsi="Arial"/>
                <w:b/>
                <w:bCs/>
                <w:sz w:val="36"/>
                <w:lang w:val="ru-RU"/>
              </w:rPr>
              <w:t>8</w:t>
            </w:r>
            <w:r w:rsidR="00703E49" w:rsidRPr="006B253B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91"/>
            <w:r w:rsidR="009253EA" w:rsidRPr="006B253B">
              <w:rPr>
                <w:rFonts w:ascii="Arial" w:hAnsi="Arial"/>
                <w:b/>
                <w:bCs/>
                <w:sz w:val="36"/>
                <w:lang w:val="ru-RU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  <w:bookmarkEnd w:id="5"/>
          </w:p>
        </w:tc>
      </w:tr>
      <w:bookmarkEnd w:id="4"/>
      <w:tr w:rsidR="009663D2" w:rsidRPr="006B253B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6B253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6B253B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</w:p>
        </w:tc>
      </w:tr>
    </w:tbl>
    <w:p w14:paraId="2BA57029" w14:textId="77777777" w:rsidR="00B31B8D" w:rsidRPr="006B253B" w:rsidRDefault="00FA73F8" w:rsidP="00FA73F8">
      <w:pPr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  <w:r w:rsidRPr="006B253B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6B253B" w:rsidRDefault="00FA73F8" w:rsidP="00FA73F8">
      <w:pPr>
        <w:jc w:val="left"/>
        <w:rPr>
          <w:lang w:val="ru-RU"/>
        </w:rPr>
      </w:pPr>
    </w:p>
    <w:p w14:paraId="376A710A" w14:textId="693841F8" w:rsidR="00FA73F8" w:rsidRPr="006B253B" w:rsidRDefault="00FA73F8" w:rsidP="00FA73F8">
      <w:pPr>
        <w:jc w:val="left"/>
        <w:rPr>
          <w:lang w:val="ru-RU"/>
        </w:rPr>
        <w:sectPr w:rsidR="00FA73F8" w:rsidRPr="006B253B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6B253B" w:rsidRDefault="00AF663A" w:rsidP="00B31B8D">
      <w:pPr>
        <w:jc w:val="center"/>
        <w:rPr>
          <w:lang w:val="ru-RU"/>
        </w:rPr>
      </w:pPr>
      <w:r w:rsidRPr="006B253B">
        <w:rPr>
          <w:lang w:val="ru-RU"/>
        </w:rPr>
        <w:lastRenderedPageBreak/>
        <w:t>ПРЕДИСЛОВИЕ</w:t>
      </w:r>
    </w:p>
    <w:p w14:paraId="786857AB" w14:textId="77777777" w:rsidR="00154CC6" w:rsidRPr="006B253B" w:rsidRDefault="00154CC6" w:rsidP="00154CC6">
      <w:pPr>
        <w:rPr>
          <w:sz w:val="20"/>
          <w:lang w:val="ru-RU"/>
        </w:rPr>
      </w:pPr>
      <w:bookmarkStart w:id="10" w:name="iitextf"/>
      <w:r w:rsidRPr="006B253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B253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6B253B" w:rsidRDefault="00154CC6" w:rsidP="00154CC6">
      <w:pPr>
        <w:rPr>
          <w:sz w:val="20"/>
          <w:lang w:val="ru-RU"/>
        </w:rPr>
      </w:pPr>
      <w:r w:rsidRPr="006B253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6B253B" w:rsidRDefault="00154CC6" w:rsidP="00154CC6">
      <w:pPr>
        <w:rPr>
          <w:sz w:val="20"/>
          <w:lang w:val="ru-RU"/>
        </w:rPr>
      </w:pPr>
      <w:r w:rsidRPr="006B253B">
        <w:rPr>
          <w:sz w:val="20"/>
          <w:lang w:val="ru-RU"/>
        </w:rPr>
        <w:t xml:space="preserve">Утверждение </w:t>
      </w:r>
      <w:r w:rsidRPr="006B253B">
        <w:rPr>
          <w:caps/>
          <w:sz w:val="20"/>
          <w:lang w:val="ru-RU"/>
        </w:rPr>
        <w:t>р</w:t>
      </w:r>
      <w:r w:rsidRPr="006B253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6B253B">
        <w:rPr>
          <w:sz w:val="20"/>
          <w:lang w:val="ru-RU"/>
        </w:rPr>
        <w:t>.</w:t>
      </w:r>
    </w:p>
    <w:p w14:paraId="05982DA4" w14:textId="77777777" w:rsidR="00154CC6" w:rsidRPr="006B253B" w:rsidRDefault="00154CC6" w:rsidP="00154CC6">
      <w:pPr>
        <w:rPr>
          <w:lang w:val="ru-RU"/>
        </w:rPr>
      </w:pPr>
      <w:r w:rsidRPr="006B253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6B253B" w:rsidRDefault="00AF663A" w:rsidP="00AF663A">
      <w:pPr>
        <w:rPr>
          <w:lang w:val="ru-RU"/>
        </w:rPr>
      </w:pPr>
    </w:p>
    <w:p w14:paraId="5139C65C" w14:textId="77777777" w:rsidR="00AF663A" w:rsidRPr="006B253B" w:rsidRDefault="00AF663A" w:rsidP="00AF663A">
      <w:pPr>
        <w:rPr>
          <w:lang w:val="ru-RU"/>
        </w:rPr>
      </w:pPr>
    </w:p>
    <w:p w14:paraId="307B9E26" w14:textId="77777777" w:rsidR="00AF663A" w:rsidRPr="006B253B" w:rsidRDefault="00AF663A" w:rsidP="00AF663A">
      <w:pPr>
        <w:rPr>
          <w:lang w:val="ru-RU"/>
        </w:rPr>
      </w:pPr>
    </w:p>
    <w:p w14:paraId="116EF2C5" w14:textId="77777777" w:rsidR="00AF663A" w:rsidRPr="006B253B" w:rsidRDefault="00AF663A" w:rsidP="00AF663A">
      <w:pPr>
        <w:rPr>
          <w:lang w:val="ru-RU"/>
        </w:rPr>
      </w:pPr>
    </w:p>
    <w:p w14:paraId="686436AC" w14:textId="77777777" w:rsidR="00AF663A" w:rsidRPr="006B253B" w:rsidRDefault="00AF663A" w:rsidP="00AF663A">
      <w:pPr>
        <w:rPr>
          <w:lang w:val="ru-RU"/>
        </w:rPr>
      </w:pPr>
    </w:p>
    <w:p w14:paraId="67924CC8" w14:textId="77777777" w:rsidR="00AF663A" w:rsidRPr="006B253B" w:rsidRDefault="00AF663A" w:rsidP="00AF663A">
      <w:pPr>
        <w:rPr>
          <w:lang w:val="ru-RU"/>
        </w:rPr>
      </w:pPr>
    </w:p>
    <w:p w14:paraId="72988EDD" w14:textId="77777777" w:rsidR="00AF663A" w:rsidRPr="006B253B" w:rsidRDefault="00AF663A" w:rsidP="00AF663A">
      <w:pPr>
        <w:rPr>
          <w:lang w:val="ru-RU"/>
        </w:rPr>
      </w:pPr>
    </w:p>
    <w:p w14:paraId="61AD97F0" w14:textId="77777777" w:rsidR="00AF663A" w:rsidRPr="006B253B" w:rsidRDefault="00AF663A" w:rsidP="00AF663A">
      <w:pPr>
        <w:rPr>
          <w:lang w:val="ru-RU"/>
        </w:rPr>
      </w:pPr>
    </w:p>
    <w:p w14:paraId="5BAAC281" w14:textId="77777777" w:rsidR="00AF663A" w:rsidRPr="006B253B" w:rsidRDefault="00AF663A" w:rsidP="00AF663A">
      <w:pPr>
        <w:rPr>
          <w:lang w:val="ru-RU"/>
        </w:rPr>
      </w:pPr>
    </w:p>
    <w:p w14:paraId="40F4B36B" w14:textId="77777777" w:rsidR="00AF663A" w:rsidRPr="006B253B" w:rsidRDefault="00AF663A" w:rsidP="00AF663A">
      <w:pPr>
        <w:rPr>
          <w:lang w:val="ru-RU"/>
        </w:rPr>
      </w:pPr>
    </w:p>
    <w:p w14:paraId="0693E093" w14:textId="77777777" w:rsidR="00AF663A" w:rsidRPr="006B253B" w:rsidRDefault="00AF663A" w:rsidP="00AF663A">
      <w:pPr>
        <w:rPr>
          <w:lang w:val="ru-RU"/>
        </w:rPr>
      </w:pPr>
    </w:p>
    <w:p w14:paraId="721B0C90" w14:textId="77777777" w:rsidR="00AF663A" w:rsidRPr="006B253B" w:rsidRDefault="00AF663A" w:rsidP="00AF663A">
      <w:pPr>
        <w:rPr>
          <w:lang w:val="ru-RU"/>
        </w:rPr>
      </w:pPr>
    </w:p>
    <w:p w14:paraId="12BDF41D" w14:textId="77777777" w:rsidR="00AF663A" w:rsidRPr="006B253B" w:rsidRDefault="00AF663A" w:rsidP="00AF663A">
      <w:pPr>
        <w:rPr>
          <w:lang w:val="ru-RU"/>
        </w:rPr>
      </w:pPr>
    </w:p>
    <w:p w14:paraId="1C4AC37F" w14:textId="77777777" w:rsidR="00AF663A" w:rsidRPr="006B253B" w:rsidRDefault="00AF663A" w:rsidP="00AF663A">
      <w:pPr>
        <w:rPr>
          <w:lang w:val="ru-RU"/>
        </w:rPr>
      </w:pPr>
    </w:p>
    <w:p w14:paraId="7B3A9322" w14:textId="77777777" w:rsidR="00AF663A" w:rsidRPr="006B253B" w:rsidRDefault="00AF663A" w:rsidP="00AF663A">
      <w:pPr>
        <w:rPr>
          <w:lang w:val="ru-RU"/>
        </w:rPr>
      </w:pPr>
    </w:p>
    <w:p w14:paraId="112B81CE" w14:textId="77777777" w:rsidR="00AF663A" w:rsidRPr="006B253B" w:rsidRDefault="00AF663A" w:rsidP="00AF663A">
      <w:pPr>
        <w:rPr>
          <w:lang w:val="ru-RU"/>
        </w:rPr>
      </w:pPr>
    </w:p>
    <w:p w14:paraId="4D1F7874" w14:textId="77777777" w:rsidR="00AF663A" w:rsidRPr="006B253B" w:rsidRDefault="00AF663A" w:rsidP="00AF663A">
      <w:pPr>
        <w:rPr>
          <w:lang w:val="ru-RU"/>
        </w:rPr>
      </w:pPr>
    </w:p>
    <w:p w14:paraId="4B5CD1F5" w14:textId="77777777" w:rsidR="00AF663A" w:rsidRPr="006B253B" w:rsidRDefault="00AF663A" w:rsidP="00AF663A">
      <w:pPr>
        <w:rPr>
          <w:lang w:val="ru-RU"/>
        </w:rPr>
      </w:pPr>
    </w:p>
    <w:p w14:paraId="42EF7959" w14:textId="77777777" w:rsidR="00AF663A" w:rsidRPr="006B253B" w:rsidRDefault="00AF663A" w:rsidP="00AF663A">
      <w:pPr>
        <w:rPr>
          <w:lang w:val="ru-RU"/>
        </w:rPr>
      </w:pPr>
    </w:p>
    <w:p w14:paraId="780F20E6" w14:textId="77777777" w:rsidR="008357E6" w:rsidRPr="006B253B" w:rsidRDefault="008357E6" w:rsidP="00AF663A">
      <w:pPr>
        <w:rPr>
          <w:lang w:val="ru-RU"/>
        </w:rPr>
      </w:pPr>
    </w:p>
    <w:p w14:paraId="776E0206" w14:textId="77777777" w:rsidR="008357E6" w:rsidRPr="006B253B" w:rsidRDefault="008357E6" w:rsidP="00AF663A">
      <w:pPr>
        <w:rPr>
          <w:lang w:val="ru-RU"/>
        </w:rPr>
      </w:pPr>
    </w:p>
    <w:p w14:paraId="5250A4BA" w14:textId="77777777" w:rsidR="008357E6" w:rsidRPr="006B253B" w:rsidRDefault="008357E6" w:rsidP="00AF663A">
      <w:pPr>
        <w:rPr>
          <w:lang w:val="ru-RU"/>
        </w:rPr>
      </w:pPr>
    </w:p>
    <w:p w14:paraId="7ACC59D8" w14:textId="0FE6AFBA" w:rsidR="00AF663A" w:rsidRPr="006B253B" w:rsidRDefault="00AF663A" w:rsidP="007D2D13">
      <w:pPr>
        <w:jc w:val="center"/>
        <w:rPr>
          <w:sz w:val="20"/>
          <w:lang w:val="ru-RU"/>
        </w:rPr>
      </w:pPr>
      <w:r w:rsidRPr="006B253B">
        <w:rPr>
          <w:sz w:val="20"/>
          <w:lang w:val="ru-RU"/>
        </w:rPr>
        <w:sym w:font="Symbol" w:char="F0E3"/>
      </w:r>
      <w:r w:rsidRPr="006B253B">
        <w:rPr>
          <w:sz w:val="20"/>
          <w:lang w:val="ru-RU"/>
        </w:rPr>
        <w:t>  ITU  </w:t>
      </w:r>
      <w:bookmarkStart w:id="11" w:name="iiannee"/>
      <w:bookmarkEnd w:id="11"/>
      <w:r w:rsidRPr="006B253B">
        <w:rPr>
          <w:sz w:val="20"/>
          <w:lang w:val="ru-RU"/>
        </w:rPr>
        <w:t>20</w:t>
      </w:r>
      <w:r w:rsidR="00CA2461" w:rsidRPr="006B253B">
        <w:rPr>
          <w:sz w:val="20"/>
          <w:lang w:val="ru-RU"/>
        </w:rPr>
        <w:t>22</w:t>
      </w:r>
    </w:p>
    <w:p w14:paraId="0C9FB15A" w14:textId="77777777" w:rsidR="00AF663A" w:rsidRPr="006B253B" w:rsidRDefault="00154CC6" w:rsidP="00F90058">
      <w:pPr>
        <w:rPr>
          <w:sz w:val="20"/>
          <w:lang w:val="ru-RU"/>
        </w:rPr>
      </w:pPr>
      <w:r w:rsidRPr="006B253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6B253B" w:rsidRDefault="00A81FB2" w:rsidP="0042255F">
      <w:pPr>
        <w:rPr>
          <w:sz w:val="20"/>
          <w:lang w:val="ru-RU"/>
        </w:rPr>
      </w:pPr>
    </w:p>
    <w:p w14:paraId="35ABC850" w14:textId="77777777" w:rsidR="00AF663A" w:rsidRPr="006B253B" w:rsidRDefault="00AF663A" w:rsidP="00AF663A">
      <w:pPr>
        <w:rPr>
          <w:lang w:val="ru-RU"/>
        </w:rPr>
        <w:sectPr w:rsidR="00AF663A" w:rsidRPr="006B253B" w:rsidSect="00D55815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38216BD3" w14:textId="260A49A7" w:rsidR="009253EA" w:rsidRPr="006B253B" w:rsidRDefault="009253EA" w:rsidP="009253EA">
      <w:pPr>
        <w:pStyle w:val="ResNo"/>
        <w:rPr>
          <w:lang w:val="ru-RU"/>
        </w:rPr>
      </w:pPr>
      <w:bookmarkStart w:id="12" w:name="_Toc476828234"/>
      <w:bookmarkStart w:id="13" w:name="_Toc478376776"/>
      <w:r w:rsidRPr="006B253B">
        <w:rPr>
          <w:lang w:val="ru-RU"/>
        </w:rPr>
        <w:lastRenderedPageBreak/>
        <w:t xml:space="preserve">РЕЗОЛЮЦИЯ </w:t>
      </w:r>
      <w:r w:rsidRPr="006B253B">
        <w:rPr>
          <w:rStyle w:val="href"/>
          <w:lang w:val="ru-RU"/>
        </w:rPr>
        <w:t>58</w:t>
      </w:r>
      <w:r w:rsidRPr="006B253B">
        <w:rPr>
          <w:lang w:val="ru-RU"/>
        </w:rPr>
        <w:t xml:space="preserve"> (</w:t>
      </w:r>
      <w:proofErr w:type="spellStart"/>
      <w:r w:rsidR="006B253B" w:rsidRPr="006B253B">
        <w:rPr>
          <w:caps w:val="0"/>
          <w:lang w:val="ru-RU"/>
        </w:rPr>
        <w:t>Пересм</w:t>
      </w:r>
      <w:proofErr w:type="spellEnd"/>
      <w:r w:rsidRPr="006B253B">
        <w:rPr>
          <w:lang w:val="ru-RU"/>
        </w:rPr>
        <w:t xml:space="preserve">. </w:t>
      </w:r>
      <w:r w:rsidR="006B253B" w:rsidRPr="006B253B">
        <w:rPr>
          <w:caps w:val="0"/>
          <w:lang w:val="ru-RU"/>
        </w:rPr>
        <w:t>Женева</w:t>
      </w:r>
      <w:r w:rsidRPr="006B253B">
        <w:rPr>
          <w:lang w:val="ru-RU"/>
        </w:rPr>
        <w:t xml:space="preserve">, 2022 </w:t>
      </w:r>
      <w:r w:rsidR="006B253B" w:rsidRPr="006B253B">
        <w:rPr>
          <w:caps w:val="0"/>
          <w:lang w:val="ru-RU"/>
        </w:rPr>
        <w:t>г</w:t>
      </w:r>
      <w:r w:rsidRPr="006B253B">
        <w:rPr>
          <w:lang w:val="ru-RU"/>
        </w:rPr>
        <w:t>.)</w:t>
      </w:r>
      <w:bookmarkEnd w:id="12"/>
      <w:bookmarkEnd w:id="13"/>
    </w:p>
    <w:p w14:paraId="753240A3" w14:textId="77777777" w:rsidR="009253EA" w:rsidRPr="006B253B" w:rsidRDefault="009253EA" w:rsidP="009253EA">
      <w:pPr>
        <w:pStyle w:val="Restitle"/>
        <w:rPr>
          <w:lang w:val="ru-RU"/>
        </w:rPr>
      </w:pPr>
      <w:bookmarkStart w:id="14" w:name="_Toc476828235"/>
      <w:bookmarkStart w:id="15" w:name="_Toc478376777"/>
      <w:r w:rsidRPr="006B253B">
        <w:rPr>
          <w:lang w:val="ru-RU"/>
        </w:rPr>
        <w:t>Поощрение создания национальных групп реагирования на компьютерные инциденты, в частности для развивающихся стран</w:t>
      </w:r>
      <w:r w:rsidRPr="006B253B">
        <w:rPr>
          <w:rStyle w:val="FootnoteReference"/>
          <w:b w:val="0"/>
          <w:lang w:val="ru-RU"/>
        </w:rPr>
        <w:footnoteReference w:customMarkFollows="1" w:id="1"/>
        <w:t>1</w:t>
      </w:r>
      <w:bookmarkEnd w:id="14"/>
      <w:bookmarkEnd w:id="15"/>
    </w:p>
    <w:p w14:paraId="23E695E4" w14:textId="77777777" w:rsidR="009253EA" w:rsidRPr="006B253B" w:rsidRDefault="009253EA" w:rsidP="009253EA">
      <w:pPr>
        <w:pStyle w:val="Resref"/>
        <w:rPr>
          <w:lang w:val="ru-RU"/>
        </w:rPr>
      </w:pPr>
      <w:r w:rsidRPr="006B253B">
        <w:rPr>
          <w:lang w:val="ru-RU"/>
        </w:rPr>
        <w:t>(Йоханнесбург, 2008 г.; Дубай, 2012 г.; Женева, 2022 г.)</w:t>
      </w:r>
    </w:p>
    <w:p w14:paraId="60111C39" w14:textId="77777777" w:rsidR="009253EA" w:rsidRPr="006B253B" w:rsidRDefault="009253EA" w:rsidP="009253EA">
      <w:pPr>
        <w:pStyle w:val="Normalaftertitle"/>
        <w:keepNext/>
        <w:keepLines/>
        <w:rPr>
          <w:lang w:val="ru-RU"/>
        </w:rPr>
      </w:pPr>
      <w:r w:rsidRPr="006B253B">
        <w:rPr>
          <w:lang w:val="ru-RU"/>
        </w:rPr>
        <w:t>Всемирная ассамблея по стандартизации электросвязи (Женева, 2022 г.),</w:t>
      </w:r>
    </w:p>
    <w:p w14:paraId="0B74B317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учитывая</w:t>
      </w:r>
      <w:r w:rsidRPr="006B253B">
        <w:rPr>
          <w:i w:val="0"/>
          <w:iCs/>
          <w:lang w:val="ru-RU"/>
        </w:rPr>
        <w:t>,</w:t>
      </w:r>
    </w:p>
    <w:p w14:paraId="170740EA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что в Резолюции 123 (</w:t>
      </w:r>
      <w:proofErr w:type="spellStart"/>
      <w:r w:rsidRPr="006B253B">
        <w:rPr>
          <w:lang w:val="ru-RU"/>
        </w:rPr>
        <w:t>Пересм</w:t>
      </w:r>
      <w:proofErr w:type="spellEnd"/>
      <w:r w:rsidRPr="006B253B">
        <w:rPr>
          <w:lang w:val="ru-RU"/>
        </w:rPr>
        <w:t>. Дубай, 2018 г.)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0C521665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признавая</w:t>
      </w:r>
    </w:p>
    <w:p w14:paraId="4431DBCF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a)</w:t>
      </w:r>
      <w:r w:rsidRPr="006B253B">
        <w:rPr>
          <w:lang w:val="ru-RU"/>
        </w:rPr>
        <w:tab/>
        <w:t>весьма удовлетворительные результаты, достигнутые путем использования регионального подхода в рамках Резолюции 54 (</w:t>
      </w:r>
      <w:proofErr w:type="spellStart"/>
      <w:r w:rsidRPr="006B253B">
        <w:rPr>
          <w:lang w:val="ru-RU"/>
        </w:rPr>
        <w:t>Пересм</w:t>
      </w:r>
      <w:proofErr w:type="spellEnd"/>
      <w:r w:rsidRPr="006B253B">
        <w:rPr>
          <w:lang w:val="ru-RU"/>
        </w:rPr>
        <w:t xml:space="preserve">. </w:t>
      </w:r>
      <w:proofErr w:type="spellStart"/>
      <w:r w:rsidRPr="006B253B">
        <w:rPr>
          <w:lang w:val="ru-RU"/>
        </w:rPr>
        <w:t>Хаммамет</w:t>
      </w:r>
      <w:proofErr w:type="spellEnd"/>
      <w:r w:rsidRPr="006B253B">
        <w:rPr>
          <w:lang w:val="ru-RU"/>
        </w:rPr>
        <w:t>, 2016 г.) Всемирной ассамблеи по стандартизации электросвязи;</w:t>
      </w:r>
    </w:p>
    <w:p w14:paraId="47CA7A1A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b)</w:t>
      </w:r>
      <w:r w:rsidRPr="006B253B">
        <w:rPr>
          <w:lang w:val="ru-RU"/>
        </w:rPr>
        <w:tab/>
        <w:t>рост уровня использования компьютеров и степени зависимости использования информационно-коммуникационных технологий (ИКТ) от наличия компьютеров в развивающихся странах;</w:t>
      </w:r>
    </w:p>
    <w:p w14:paraId="3DBB127C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c)</w:t>
      </w:r>
      <w:r w:rsidRPr="006B253B">
        <w:rPr>
          <w:lang w:val="ru-RU"/>
        </w:rPr>
        <w:tab/>
        <w:t>возрастающее число распространяемых через компьютеры атак и угроз в сетях на базе ИКТ;</w:t>
      </w:r>
    </w:p>
    <w:p w14:paraId="4CC0ED1F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d)</w:t>
      </w:r>
      <w:r w:rsidRPr="006B253B">
        <w:rPr>
          <w:lang w:val="ru-RU"/>
        </w:rPr>
        <w:tab/>
        <w:t>работу, проведенную в Секторе развития электросвязи МСЭ (МСЭ-D) в рамках прежнего Вопроса 22/1 1-й Исследовательской комиссии МСЭ-D и существующего Вопроса 3/2 2</w:t>
      </w:r>
      <w:r w:rsidRPr="006B253B">
        <w:rPr>
          <w:lang w:val="ru-RU"/>
        </w:rPr>
        <w:noBreakHyphen/>
        <w:t>й Исследовательской комиссии МСЭ-D по данной теме,</w:t>
      </w:r>
    </w:p>
    <w:p w14:paraId="2055A271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отмечая</w:t>
      </w:r>
      <w:r w:rsidRPr="006B253B">
        <w:rPr>
          <w:i w:val="0"/>
          <w:iCs/>
          <w:lang w:val="ru-RU"/>
        </w:rPr>
        <w:t>,</w:t>
      </w:r>
    </w:p>
    <w:p w14:paraId="10459D46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a)</w:t>
      </w:r>
      <w:r w:rsidRPr="006B253B">
        <w:rPr>
          <w:lang w:val="ru-RU"/>
        </w:rPr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14:paraId="59AF4033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b)</w:t>
      </w:r>
      <w:r w:rsidRPr="006B253B">
        <w:rPr>
          <w:lang w:val="ru-RU"/>
        </w:rPr>
        <w:tab/>
        <w:t>что высокий уровень взаимосвязанности сетей на базе ИКТ может быть нарушен вследствие атак, исходящих из сетей менее подготовленных к обеспечению защиты стран, каковыми в большинстве случаев являются развивающиеся страны;</w:t>
      </w:r>
    </w:p>
    <w:p w14:paraId="333EC017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c)</w:t>
      </w:r>
      <w:r w:rsidRPr="006B253B">
        <w:rPr>
          <w:lang w:val="ru-RU"/>
        </w:rPr>
        <w:tab/>
        <w:t>важность обеспечения должной степени готовности к реагированию на компьютерные инциденты во всех странах;</w:t>
      </w:r>
    </w:p>
    <w:p w14:paraId="095C0AD9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d)</w:t>
      </w:r>
      <w:r w:rsidRPr="006B253B">
        <w:rPr>
          <w:lang w:val="ru-RU"/>
        </w:rPr>
        <w:tab/>
        <w:t>необходимость учреждения групп реагирования на компьютерные инциденты (СIRT) на национальной основе и важность координации усилий внутри регионов и между ними;</w:t>
      </w:r>
    </w:p>
    <w:p w14:paraId="2B18EE2A" w14:textId="77777777" w:rsidR="009253EA" w:rsidRPr="006B253B" w:rsidRDefault="009253EA" w:rsidP="009253EA">
      <w:pPr>
        <w:rPr>
          <w:lang w:val="ru-RU"/>
        </w:rPr>
      </w:pPr>
      <w:r w:rsidRPr="006B253B">
        <w:rPr>
          <w:i/>
          <w:iCs/>
          <w:lang w:val="ru-RU"/>
        </w:rPr>
        <w:t>e)</w:t>
      </w:r>
      <w:r w:rsidRPr="006B253B">
        <w:rPr>
          <w:lang w:val="ru-RU"/>
        </w:rPr>
        <w:tab/>
        <w:t>работу 17-й Исследовательской комиссии Сектора стандартизации электросвязи МСЭ (МСЭ</w:t>
      </w:r>
      <w:r w:rsidRPr="006B253B">
        <w:rPr>
          <w:lang w:val="ru-RU"/>
        </w:rPr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комиссией,</w:t>
      </w:r>
    </w:p>
    <w:p w14:paraId="76759819" w14:textId="77777777" w:rsidR="009253EA" w:rsidRPr="006B253B" w:rsidRDefault="009253EA" w:rsidP="009253EA">
      <w:pPr>
        <w:pStyle w:val="Call"/>
        <w:keepNext w:val="0"/>
        <w:keepLines w:val="0"/>
        <w:rPr>
          <w:lang w:val="ru-RU"/>
        </w:rPr>
      </w:pPr>
      <w:r w:rsidRPr="006B253B">
        <w:rPr>
          <w:lang w:val="ru-RU"/>
        </w:rPr>
        <w:t>памятуя о том</w:t>
      </w:r>
      <w:r w:rsidRPr="006B253B">
        <w:rPr>
          <w:i w:val="0"/>
          <w:iCs/>
          <w:lang w:val="ru-RU"/>
        </w:rPr>
        <w:t>,</w:t>
      </w:r>
    </w:p>
    <w:p w14:paraId="1858E4EE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что 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 компьютерные инциденты и вносить вклад в обеспечение бесперебойного функционирования глобальной инфраструктуры на основе ИКТ,</w:t>
      </w:r>
    </w:p>
    <w:p w14:paraId="25533D07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lastRenderedPageBreak/>
        <w:t>решает</w:t>
      </w:r>
    </w:p>
    <w:p w14:paraId="055902B9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отсутствуют,</w:t>
      </w:r>
    </w:p>
    <w:p w14:paraId="42CA2A21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поручает Директору Бюро стандартизации электросвязи в сотрудничестве с Директором Бюро развития электросвязи</w:t>
      </w:r>
    </w:p>
    <w:p w14:paraId="60BF134C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1</w:t>
      </w:r>
      <w:r w:rsidRPr="006B253B">
        <w:rPr>
          <w:lang w:val="ru-RU"/>
        </w:rPr>
        <w:tab/>
        <w:t>определить примеры передового опыта по учреждению групп CIRT в соответствии с комплектом материалов МСЭ;</w:t>
      </w:r>
    </w:p>
    <w:p w14:paraId="1D542640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2</w:t>
      </w:r>
      <w:r w:rsidRPr="006B253B">
        <w:rPr>
          <w:lang w:val="ru-RU"/>
        </w:rPr>
        <w:tab/>
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</w:r>
    </w:p>
    <w:p w14:paraId="404C1E58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3</w:t>
      </w:r>
      <w:r w:rsidRPr="006B253B">
        <w:rPr>
          <w:lang w:val="ru-RU"/>
        </w:rPr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14:paraId="4334FF8B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4</w:t>
      </w:r>
      <w:r w:rsidRPr="006B253B">
        <w:rPr>
          <w:lang w:val="ru-RU"/>
        </w:rPr>
        <w:tab/>
        <w:t>обеспечивать, в соответствующих случаях, поддержку и в рамках имеющихся бюджетных ресурсов;</w:t>
      </w:r>
    </w:p>
    <w:p w14:paraId="633C4EB6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5</w:t>
      </w:r>
      <w:r w:rsidRPr="006B253B">
        <w:rPr>
          <w:lang w:val="ru-RU"/>
        </w:rPr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</w:r>
    </w:p>
    <w:p w14:paraId="1BA48671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6</w:t>
      </w:r>
      <w:r w:rsidRPr="006B253B">
        <w:rPr>
          <w:lang w:val="ru-RU"/>
        </w:rPr>
        <w:tab/>
        <w:t>принять необходимые меры для дальнейшего выполнения настоящей Резолюции,</w:t>
      </w:r>
    </w:p>
    <w:p w14:paraId="11C66D3A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предлагает Государствам-Членам</w:t>
      </w:r>
    </w:p>
    <w:p w14:paraId="04590B30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1</w:t>
      </w:r>
      <w:r w:rsidRPr="006B253B">
        <w:rPr>
          <w:lang w:val="ru-RU"/>
        </w:rPr>
        <w:tab/>
        <w:t>считать высокоприоритетным вопросом создание национальной группы CIRT;</w:t>
      </w:r>
    </w:p>
    <w:p w14:paraId="670EDDFE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2</w:t>
      </w:r>
      <w:r w:rsidRPr="006B253B">
        <w:rPr>
          <w:lang w:val="ru-RU"/>
        </w:rPr>
        <w:tab/>
        <w:t>осуществлять сотрудничество с другими Государствами-Членами и Членами Сектора,</w:t>
      </w:r>
    </w:p>
    <w:p w14:paraId="406743E6" w14:textId="77777777" w:rsidR="009253EA" w:rsidRPr="006B253B" w:rsidRDefault="009253EA" w:rsidP="009253EA">
      <w:pPr>
        <w:pStyle w:val="Call"/>
        <w:rPr>
          <w:lang w:val="ru-RU"/>
        </w:rPr>
      </w:pPr>
      <w:r w:rsidRPr="006B253B">
        <w:rPr>
          <w:lang w:val="ru-RU"/>
        </w:rPr>
        <w:t>предлагает Государствам-Членам и Членам Сектора</w:t>
      </w:r>
    </w:p>
    <w:p w14:paraId="54A4943D" w14:textId="77777777" w:rsidR="009253EA" w:rsidRPr="006B253B" w:rsidRDefault="009253EA" w:rsidP="009253EA">
      <w:pPr>
        <w:rPr>
          <w:lang w:val="ru-RU"/>
        </w:rPr>
      </w:pPr>
      <w:r w:rsidRPr="006B253B">
        <w:rPr>
          <w:lang w:val="ru-RU"/>
        </w:rPr>
        <w:t>осуществлять в этой области тесное сотрудничество с МСЭ-Т и МСЭ-D.</w:t>
      </w:r>
    </w:p>
    <w:p w14:paraId="48D7BF27" w14:textId="61B67706" w:rsidR="009253EA" w:rsidRDefault="009253EA" w:rsidP="00DE163D">
      <w:pPr>
        <w:rPr>
          <w:lang w:val="ru-RU"/>
        </w:rPr>
      </w:pPr>
    </w:p>
    <w:p w14:paraId="3000FB18" w14:textId="2EB95AE7" w:rsidR="00DE163D" w:rsidRDefault="00DE163D" w:rsidP="00DE163D">
      <w:pPr>
        <w:rPr>
          <w:lang w:val="ru-RU"/>
        </w:rPr>
      </w:pPr>
    </w:p>
    <w:p w14:paraId="17E11827" w14:textId="320AFCBE" w:rsidR="00DE163D" w:rsidRDefault="00DE163D" w:rsidP="00DE163D">
      <w:pPr>
        <w:rPr>
          <w:lang w:val="ru-RU"/>
        </w:rPr>
      </w:pPr>
    </w:p>
    <w:p w14:paraId="6A8EC05D" w14:textId="56E7BB64" w:rsidR="00DE163D" w:rsidRDefault="00DE163D" w:rsidP="00DE163D">
      <w:pPr>
        <w:rPr>
          <w:lang w:val="ru-RU"/>
        </w:rPr>
      </w:pPr>
    </w:p>
    <w:p w14:paraId="130CD069" w14:textId="249EABEF" w:rsidR="00DE163D" w:rsidRDefault="00DE163D" w:rsidP="00DE163D">
      <w:pPr>
        <w:rPr>
          <w:lang w:val="ru-RU"/>
        </w:rPr>
      </w:pPr>
    </w:p>
    <w:p w14:paraId="7636A505" w14:textId="5527A8A3" w:rsidR="00DE163D" w:rsidRDefault="00DE163D" w:rsidP="00DE163D">
      <w:pPr>
        <w:rPr>
          <w:lang w:val="ru-RU"/>
        </w:rPr>
      </w:pPr>
    </w:p>
    <w:p w14:paraId="6D7D5EF0" w14:textId="6B24E1AD" w:rsidR="00DE163D" w:rsidRDefault="00DE163D" w:rsidP="00DE163D">
      <w:pPr>
        <w:rPr>
          <w:lang w:val="ru-RU"/>
        </w:rPr>
      </w:pPr>
    </w:p>
    <w:p w14:paraId="00F28903" w14:textId="62926BC1" w:rsidR="00DE163D" w:rsidRDefault="00DE163D" w:rsidP="00DE163D">
      <w:pPr>
        <w:rPr>
          <w:lang w:val="ru-RU"/>
        </w:rPr>
      </w:pPr>
    </w:p>
    <w:p w14:paraId="263CA913" w14:textId="10BC4F86" w:rsidR="00DE163D" w:rsidRDefault="00DE163D" w:rsidP="00DE163D">
      <w:pPr>
        <w:rPr>
          <w:lang w:val="ru-RU"/>
        </w:rPr>
      </w:pPr>
    </w:p>
    <w:p w14:paraId="23437996" w14:textId="5B6B4F1F" w:rsidR="00DE163D" w:rsidRDefault="00DE163D" w:rsidP="00DE163D">
      <w:pPr>
        <w:rPr>
          <w:lang w:val="ru-RU"/>
        </w:rPr>
      </w:pPr>
    </w:p>
    <w:p w14:paraId="3EC747AE" w14:textId="687DC094" w:rsidR="00DE163D" w:rsidRDefault="00DE163D" w:rsidP="00DE163D">
      <w:pPr>
        <w:rPr>
          <w:lang w:val="ru-RU"/>
        </w:rPr>
      </w:pPr>
    </w:p>
    <w:p w14:paraId="3B51D611" w14:textId="77777777" w:rsidR="00DE163D" w:rsidRPr="006B253B" w:rsidRDefault="00DE163D" w:rsidP="00DE163D">
      <w:pPr>
        <w:rPr>
          <w:lang w:val="ru-RU"/>
        </w:rPr>
      </w:pPr>
    </w:p>
    <w:p w14:paraId="74B5C492" w14:textId="34ED70C0" w:rsidR="009C0295" w:rsidRPr="006B253B" w:rsidRDefault="009C0295" w:rsidP="00DE163D">
      <w:pPr>
        <w:rPr>
          <w:lang w:val="ru-RU"/>
        </w:rPr>
      </w:pPr>
    </w:p>
    <w:sectPr w:rsidR="009C0295" w:rsidRPr="006B253B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1BF5EF8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9D0DEF">
      <w:rPr>
        <w:b/>
        <w:sz w:val="22"/>
        <w:szCs w:val="22"/>
      </w:rPr>
      <w:t>58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0954529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255A7C">
      <w:rPr>
        <w:b/>
        <w:bCs/>
        <w:sz w:val="22"/>
        <w:szCs w:val="22"/>
      </w:rPr>
      <w:t>43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03F77EB6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DE163D">
      <w:rPr>
        <w:b/>
        <w:bCs/>
        <w:sz w:val="22"/>
        <w:szCs w:val="22"/>
      </w:rPr>
      <w:fldChar w:fldCharType="begin"/>
    </w:r>
    <w:r w:rsidRPr="00DE163D">
      <w:rPr>
        <w:b/>
        <w:bCs/>
        <w:sz w:val="22"/>
        <w:szCs w:val="22"/>
      </w:rPr>
      <w:instrText xml:space="preserve"> STYLEREF  href  \* MERGEFORMAT </w:instrText>
    </w:r>
    <w:r w:rsidRPr="00DE163D">
      <w:rPr>
        <w:b/>
        <w:bCs/>
        <w:sz w:val="22"/>
        <w:szCs w:val="22"/>
      </w:rPr>
      <w:fldChar w:fldCharType="separate"/>
    </w:r>
    <w:r w:rsidR="009D0DEF" w:rsidRPr="009D0DEF">
      <w:rPr>
        <w:b/>
        <w:bCs/>
        <w:sz w:val="22"/>
        <w:szCs w:val="22"/>
        <w:lang w:val="en-US"/>
      </w:rPr>
      <w:t>58</w:t>
    </w:r>
    <w:r w:rsidRPr="00DE163D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17CD1097" w14:textId="77777777" w:rsidR="009253EA" w:rsidRPr="004C5A61" w:rsidRDefault="009253EA" w:rsidP="009253EA">
      <w:pPr>
        <w:pStyle w:val="FootnoteText"/>
        <w:rPr>
          <w:lang w:val="ru-RU"/>
        </w:rPr>
      </w:pPr>
      <w:r w:rsidRPr="004C5A61">
        <w:rPr>
          <w:rStyle w:val="FootnoteReference"/>
          <w:lang w:val="ru-RU"/>
        </w:rPr>
        <w:t>1</w:t>
      </w:r>
      <w:r w:rsidRPr="004C5A61">
        <w:rPr>
          <w:lang w:val="ru-RU"/>
        </w:rPr>
        <w:t xml:space="preserve"> </w:t>
      </w:r>
      <w:r>
        <w:rPr>
          <w:lang w:val="ru-RU"/>
        </w:rPr>
        <w:tab/>
      </w:r>
      <w:r w:rsidRPr="007971E1"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7971E1">
        <w:rPr>
          <w:lang w:val="en-US"/>
        </w:rPr>
        <w:t> </w:t>
      </w:r>
      <w:r w:rsidRPr="007971E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253B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253EA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0DEF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55815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63D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5249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58 – Поощрение создания национальных групп реагирования на компьютерные инциденты, в частности для развивающихся стран</dc:title>
  <dc:subject>World Telecommunication Standardization Assembly - 2000</dc:subject>
  <dc:creator>Sikacheva, Violetta</dc:creator>
  <cp:keywords/>
  <dc:description/>
  <cp:lastModifiedBy>Berdyeva, Elena</cp:lastModifiedBy>
  <cp:revision>37</cp:revision>
  <cp:lastPrinted>2009-01-30T13:07:00Z</cp:lastPrinted>
  <dcterms:created xsi:type="dcterms:W3CDTF">2016-12-01T10:00:00Z</dcterms:created>
  <dcterms:modified xsi:type="dcterms:W3CDTF">2022-04-19T13:15:00Z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