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5E9D8563" w:rsidR="00394646" w:rsidRPr="008B01E5" w:rsidRDefault="00B21F99" w:rsidP="00B21F99">
            <w:pPr>
              <w:tabs>
                <w:tab w:val="right" w:pos="9639"/>
              </w:tabs>
              <w:jc w:val="left"/>
              <w:rPr>
                <w:rFonts w:ascii="Arial" w:hAnsi="Arial"/>
                <w:b/>
                <w:bCs/>
                <w:sz w:val="36"/>
                <w:lang w:val="en-US" w:eastAsia="zh-CN"/>
              </w:rPr>
            </w:pPr>
            <w:bookmarkStart w:id="1" w:name="OLE_LINK6"/>
            <w:r w:rsidRPr="008B01E5">
              <w:rPr>
                <w:rFonts w:ascii="Arial" w:eastAsia="SimHei" w:hAnsi="Arial" w:cs="Arial" w:hint="eastAsia"/>
                <w:b/>
                <w:bCs/>
                <w:sz w:val="36"/>
                <w:szCs w:val="28"/>
                <w:lang w:eastAsia="zh-CN"/>
              </w:rPr>
              <w:t>第</w:t>
            </w:r>
            <w:r w:rsidRPr="008B01E5">
              <w:rPr>
                <w:rFonts w:ascii="Arial" w:eastAsia="SimHei" w:hAnsi="Arial" w:cs="Arial" w:hint="eastAsia"/>
                <w:b/>
                <w:bCs/>
                <w:sz w:val="36"/>
                <w:szCs w:val="28"/>
                <w:lang w:eastAsia="zh-CN"/>
              </w:rPr>
              <w:t xml:space="preserve"> </w:t>
            </w:r>
            <w:r w:rsidR="008B01E5" w:rsidRPr="008B01E5">
              <w:rPr>
                <w:rFonts w:ascii="Arial" w:eastAsia="SimHei" w:hAnsi="Arial" w:cs="Arial"/>
                <w:b/>
                <w:bCs/>
                <w:sz w:val="36"/>
                <w:szCs w:val="28"/>
                <w:lang w:eastAsia="zh-CN"/>
              </w:rPr>
              <w:t>58</w:t>
            </w:r>
            <w:r w:rsidRPr="008B01E5">
              <w:rPr>
                <w:rFonts w:ascii="Arial" w:eastAsia="SimHei" w:hAnsi="Arial" w:cs="Arial"/>
                <w:b/>
                <w:bCs/>
                <w:sz w:val="36"/>
                <w:szCs w:val="28"/>
                <w:lang w:eastAsia="zh-CN"/>
              </w:rPr>
              <w:t xml:space="preserve"> </w:t>
            </w:r>
            <w:r w:rsidRPr="008B01E5">
              <w:rPr>
                <w:rFonts w:ascii="Arial" w:eastAsia="SimHei" w:hAnsi="Arial" w:cs="Arial" w:hint="eastAsia"/>
                <w:b/>
                <w:bCs/>
                <w:sz w:val="36"/>
                <w:szCs w:val="28"/>
                <w:lang w:eastAsia="zh-CN"/>
              </w:rPr>
              <w:t>号决议</w:t>
            </w:r>
            <w:bookmarkEnd w:id="1"/>
            <w:r w:rsidRPr="008B01E5">
              <w:rPr>
                <w:rFonts w:ascii="Arial" w:eastAsia="SimHei" w:hAnsi="Arial" w:cs="Arial" w:hint="eastAsia"/>
                <w:b/>
                <w:bCs/>
                <w:sz w:val="36"/>
                <w:szCs w:val="28"/>
                <w:lang w:eastAsia="zh-CN"/>
              </w:rPr>
              <w:t xml:space="preserve"> </w:t>
            </w:r>
            <w:r w:rsidRPr="008B01E5">
              <w:rPr>
                <w:rFonts w:asciiTheme="minorBidi" w:eastAsia="SimHei" w:hAnsiTheme="minorBidi" w:cstheme="minorBidi"/>
                <w:b/>
                <w:bCs/>
                <w:sz w:val="36"/>
                <w:szCs w:val="28"/>
                <w:lang w:eastAsia="zh-CN"/>
              </w:rPr>
              <w:t>–</w:t>
            </w:r>
            <w:r w:rsidR="00D71BF2">
              <w:rPr>
                <w:rFonts w:asciiTheme="minorBidi" w:eastAsia="SimHei" w:hAnsiTheme="minorBidi" w:cstheme="minorBidi"/>
                <w:b/>
                <w:bCs/>
                <w:sz w:val="36"/>
                <w:szCs w:val="28"/>
                <w:lang w:eastAsia="zh-CN"/>
              </w:rPr>
              <w:t xml:space="preserve"> </w:t>
            </w:r>
            <w:r w:rsidR="008B01E5" w:rsidRPr="008B01E5">
              <w:rPr>
                <w:rFonts w:ascii="Arial" w:eastAsia="SimHei" w:hAnsi="Arial" w:cs="Arial" w:hint="eastAsia"/>
                <w:b/>
                <w:bCs/>
                <w:sz w:val="36"/>
                <w:szCs w:val="28"/>
                <w:lang w:eastAsia="zh-CN"/>
              </w:rPr>
              <w:t>鼓励建立国家计算机事件响应团队，尤其是在发展中国家</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3CDD0051" w:rsidR="009102ED" w:rsidRPr="008D6A26" w:rsidRDefault="009102ED" w:rsidP="00414F25">
      <w:pPr>
        <w:pStyle w:val="ResNo"/>
        <w:spacing w:before="0"/>
        <w:outlineLvl w:val="0"/>
        <w:rPr>
          <w:lang w:eastAsia="zh-CN"/>
        </w:rPr>
      </w:pPr>
      <w:r w:rsidRPr="008D6A26">
        <w:rPr>
          <w:rStyle w:val="href"/>
          <w:rFonts w:hint="eastAsia"/>
        </w:rPr>
        <w:lastRenderedPageBreak/>
        <w:t>第</w:t>
      </w:r>
      <w:r w:rsidR="008B01E5" w:rsidRPr="008B01E5">
        <w:rPr>
          <w:rStyle w:val="href"/>
        </w:rPr>
        <w:t>58</w:t>
      </w:r>
      <w:r w:rsidRPr="008B01E5">
        <w:rPr>
          <w:rStyle w:val="href"/>
          <w:rFonts w:hint="eastAsia"/>
        </w:rPr>
        <w:t>号</w:t>
      </w:r>
      <w:r w:rsidRPr="008D6A26">
        <w:rPr>
          <w:rStyle w:val="href"/>
          <w:rFonts w:hint="eastAsia"/>
        </w:rPr>
        <w:t>决议</w:t>
      </w:r>
      <w:r w:rsidRPr="008D6A26">
        <w:rPr>
          <w:rFonts w:hint="eastAsia"/>
          <w:lang w:eastAsia="zh-CN"/>
        </w:rPr>
        <w:t>（</w:t>
      </w:r>
      <w:r w:rsidRPr="008D6A26">
        <w:rPr>
          <w:rFonts w:hint="eastAsia"/>
          <w:lang w:eastAsia="zh-CN"/>
        </w:rPr>
        <w:t>20</w:t>
      </w:r>
      <w:r w:rsidR="00237FDF">
        <w:rPr>
          <w:lang w:eastAsia="zh-CN"/>
        </w:rPr>
        <w:t>22</w:t>
      </w:r>
      <w:r w:rsidRPr="008D6A26">
        <w:rPr>
          <w:rFonts w:hint="eastAsia"/>
          <w:lang w:eastAsia="zh-CN"/>
        </w:rPr>
        <w:t>年，</w:t>
      </w:r>
      <w:r w:rsidR="00237FDF">
        <w:rPr>
          <w:rFonts w:hint="eastAsia"/>
          <w:lang w:eastAsia="zh-CN"/>
        </w:rPr>
        <w:t>日内瓦</w:t>
      </w:r>
      <w:r w:rsidRPr="008D6A26">
        <w:rPr>
          <w:rFonts w:hint="eastAsia"/>
          <w:lang w:eastAsia="zh-CN"/>
        </w:rPr>
        <w:t>，修订版）</w:t>
      </w:r>
    </w:p>
    <w:p w14:paraId="2E2FDD5A" w14:textId="2DB6BA13" w:rsidR="009102ED" w:rsidRPr="008D6A26" w:rsidRDefault="008B01E5" w:rsidP="00414F25">
      <w:pPr>
        <w:pStyle w:val="Restitle"/>
        <w:outlineLvl w:val="0"/>
        <w:rPr>
          <w:lang w:eastAsia="zh-CN"/>
        </w:rPr>
      </w:pPr>
      <w:bookmarkStart w:id="3" w:name="_Toc219521745"/>
      <w:bookmarkStart w:id="4" w:name="_Toc348252475"/>
      <w:bookmarkStart w:id="5" w:name="_Toc478043569"/>
      <w:bookmarkStart w:id="6" w:name="_Toc478044996"/>
      <w:r w:rsidRPr="00C80A4A">
        <w:rPr>
          <w:lang w:eastAsia="zh-CN"/>
        </w:rPr>
        <w:t>鼓励建立国家计算机</w:t>
      </w:r>
      <w:r w:rsidRPr="00C80A4A">
        <w:rPr>
          <w:rFonts w:hint="eastAsia"/>
          <w:lang w:eastAsia="zh-CN"/>
        </w:rPr>
        <w:t>事件</w:t>
      </w:r>
      <w:r w:rsidRPr="00C80A4A">
        <w:rPr>
          <w:lang w:eastAsia="zh-CN"/>
        </w:rPr>
        <w:t>响应</w:t>
      </w:r>
      <w:bookmarkEnd w:id="3"/>
      <w:r w:rsidRPr="00C80A4A">
        <w:rPr>
          <w:rFonts w:hint="eastAsia"/>
          <w:lang w:eastAsia="zh-CN"/>
        </w:rPr>
        <w:t>团队，尤其是在</w:t>
      </w:r>
      <w:r w:rsidRPr="00C80A4A">
        <w:rPr>
          <w:lang w:eastAsia="zh-CN"/>
        </w:rPr>
        <w:t>发展中国家</w:t>
      </w:r>
      <w:r w:rsidRPr="00C80A4A">
        <w:rPr>
          <w:b w:val="0"/>
          <w:vertAlign w:val="superscript"/>
          <w:lang w:eastAsia="zh-CN"/>
        </w:rPr>
        <w:footnoteReference w:customMarkFollows="1" w:id="1"/>
        <w:t>1</w:t>
      </w:r>
      <w:bookmarkEnd w:id="4"/>
      <w:bookmarkEnd w:id="5"/>
      <w:bookmarkEnd w:id="6"/>
    </w:p>
    <w:p w14:paraId="7D4B81C9" w14:textId="5655B418" w:rsidR="009102ED" w:rsidRPr="008D6A26" w:rsidRDefault="008B01E5" w:rsidP="00D15754">
      <w:pPr>
        <w:pStyle w:val="Resref"/>
        <w:rPr>
          <w:lang w:eastAsia="zh-CN"/>
        </w:rPr>
      </w:pPr>
      <w:r w:rsidRPr="008B01E5">
        <w:rPr>
          <w:iCs/>
          <w:lang w:eastAsia="zh-CN"/>
        </w:rPr>
        <w:t>（</w:t>
      </w:r>
      <w:r w:rsidRPr="008B01E5">
        <w:rPr>
          <w:iCs/>
          <w:lang w:eastAsia="zh-CN"/>
        </w:rPr>
        <w:t>2008</w:t>
      </w:r>
      <w:r w:rsidRPr="008B01E5">
        <w:rPr>
          <w:iCs/>
          <w:lang w:eastAsia="zh-CN"/>
        </w:rPr>
        <w:t>年，约翰内斯堡</w:t>
      </w:r>
      <w:r w:rsidRPr="008B01E5">
        <w:rPr>
          <w:rFonts w:hint="eastAsia"/>
          <w:iCs/>
          <w:lang w:eastAsia="zh-CN"/>
        </w:rPr>
        <w:t>；</w:t>
      </w:r>
      <w:r w:rsidRPr="008B01E5">
        <w:rPr>
          <w:rFonts w:hint="eastAsia"/>
          <w:iCs/>
          <w:lang w:eastAsia="zh-CN"/>
        </w:rPr>
        <w:t>2012</w:t>
      </w:r>
      <w:r w:rsidRPr="008B01E5">
        <w:rPr>
          <w:rFonts w:hint="eastAsia"/>
          <w:iCs/>
          <w:lang w:eastAsia="zh-CN"/>
        </w:rPr>
        <w:t>年，迪拜；</w:t>
      </w:r>
      <w:r w:rsidRPr="008B01E5">
        <w:rPr>
          <w:rFonts w:hint="eastAsia"/>
          <w:iCs/>
          <w:lang w:eastAsia="zh-CN"/>
        </w:rPr>
        <w:t>2022</w:t>
      </w:r>
      <w:r w:rsidRPr="008B01E5">
        <w:rPr>
          <w:rFonts w:hint="eastAsia"/>
          <w:iCs/>
          <w:lang w:eastAsia="zh-CN"/>
        </w:rPr>
        <w:t>年，日内瓦</w:t>
      </w:r>
      <w:r w:rsidRPr="008B01E5">
        <w:rPr>
          <w:iCs/>
          <w:lang w:eastAsia="zh-CN"/>
        </w:rPr>
        <w:t>）</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77777777" w:rsidR="009102ED" w:rsidRPr="008D6A26" w:rsidRDefault="009102ED" w:rsidP="009102ED">
      <w:pPr>
        <w:pStyle w:val="Call"/>
        <w:rPr>
          <w:lang w:eastAsia="zh-CN"/>
        </w:rPr>
      </w:pPr>
      <w:r w:rsidRPr="008D6A26">
        <w:rPr>
          <w:lang w:eastAsia="zh-CN"/>
        </w:rPr>
        <w:t>考虑到</w:t>
      </w:r>
    </w:p>
    <w:p w14:paraId="57836C1F" w14:textId="77777777" w:rsidR="008B01E5" w:rsidRPr="00C80A4A" w:rsidRDefault="008B01E5" w:rsidP="008B01E5">
      <w:pPr>
        <w:ind w:firstLineChars="200" w:firstLine="480"/>
        <w:rPr>
          <w:lang w:eastAsia="zh-CN"/>
        </w:rPr>
      </w:pPr>
      <w:r w:rsidRPr="00C80A4A">
        <w:rPr>
          <w:lang w:eastAsia="zh-CN"/>
        </w:rPr>
        <w:t>全权代表大会第</w:t>
      </w:r>
      <w:r w:rsidRPr="00C80A4A">
        <w:rPr>
          <w:lang w:eastAsia="zh-CN"/>
        </w:rPr>
        <w:t>123</w:t>
      </w:r>
      <w:r w:rsidRPr="00C80A4A">
        <w:rPr>
          <w:lang w:eastAsia="zh-CN"/>
        </w:rPr>
        <w:t>号决议（</w:t>
      </w:r>
      <w:r w:rsidRPr="00C80A4A">
        <w:rPr>
          <w:rFonts w:hint="eastAsia"/>
          <w:lang w:eastAsia="zh-CN"/>
        </w:rPr>
        <w:t>2018</w:t>
      </w:r>
      <w:r w:rsidRPr="00C80A4A">
        <w:rPr>
          <w:rFonts w:hint="eastAsia"/>
          <w:lang w:eastAsia="zh-CN"/>
        </w:rPr>
        <w:t>年，迪拜</w:t>
      </w:r>
      <w:r w:rsidRPr="00C80A4A">
        <w:rPr>
          <w:lang w:eastAsia="zh-CN"/>
        </w:rPr>
        <w:t>，修订版）责成秘书长和三个局</w:t>
      </w:r>
      <w:r w:rsidRPr="00C80A4A">
        <w:rPr>
          <w:rFonts w:hint="eastAsia"/>
          <w:lang w:eastAsia="zh-CN"/>
        </w:rPr>
        <w:t>的</w:t>
      </w:r>
      <w:r w:rsidRPr="00C80A4A">
        <w:rPr>
          <w:lang w:eastAsia="zh-CN"/>
        </w:rPr>
        <w:t>主任密切合作</w:t>
      </w:r>
      <w:r w:rsidRPr="00C80A4A">
        <w:rPr>
          <w:rFonts w:hint="eastAsia"/>
          <w:lang w:eastAsia="zh-CN"/>
        </w:rPr>
        <w:t>，开展</w:t>
      </w:r>
      <w:r w:rsidRPr="00C80A4A">
        <w:rPr>
          <w:lang w:eastAsia="zh-CN"/>
        </w:rPr>
        <w:t>帮助</w:t>
      </w:r>
      <w:r w:rsidRPr="00C80A4A">
        <w:rPr>
          <w:rFonts w:hint="eastAsia"/>
          <w:lang w:eastAsia="zh-CN"/>
        </w:rPr>
        <w:t>缩小</w:t>
      </w:r>
      <w:r w:rsidRPr="00C80A4A">
        <w:rPr>
          <w:lang w:eastAsia="zh-CN"/>
        </w:rPr>
        <w:t>发展中国家</w:t>
      </w:r>
      <w:r w:rsidRPr="00C80A4A">
        <w:rPr>
          <w:rFonts w:hint="eastAsia"/>
          <w:lang w:eastAsia="zh-CN"/>
        </w:rPr>
        <w:t>与</w:t>
      </w:r>
      <w:r w:rsidRPr="00C80A4A">
        <w:rPr>
          <w:lang w:eastAsia="zh-CN"/>
        </w:rPr>
        <w:t>发达国家之间标准化</w:t>
      </w:r>
      <w:r w:rsidRPr="00C80A4A">
        <w:rPr>
          <w:rFonts w:hint="eastAsia"/>
          <w:lang w:eastAsia="zh-CN"/>
        </w:rPr>
        <w:t>工</w:t>
      </w:r>
      <w:proofErr w:type="gramStart"/>
      <w:r w:rsidRPr="00C80A4A">
        <w:rPr>
          <w:rFonts w:hint="eastAsia"/>
          <w:lang w:eastAsia="zh-CN"/>
        </w:rPr>
        <w:t>作</w:t>
      </w:r>
      <w:r w:rsidRPr="00C80A4A">
        <w:rPr>
          <w:lang w:eastAsia="zh-CN"/>
        </w:rPr>
        <w:t>差距</w:t>
      </w:r>
      <w:proofErr w:type="gramEnd"/>
      <w:r w:rsidRPr="00C80A4A">
        <w:rPr>
          <w:lang w:eastAsia="zh-CN"/>
        </w:rPr>
        <w:t>的举措，</w:t>
      </w:r>
    </w:p>
    <w:p w14:paraId="67D7D732" w14:textId="77777777" w:rsidR="008B01E5" w:rsidRPr="00C80A4A" w:rsidRDefault="008B01E5" w:rsidP="008B01E5">
      <w:pPr>
        <w:pStyle w:val="Call"/>
        <w:rPr>
          <w:lang w:eastAsia="zh-CN"/>
        </w:rPr>
      </w:pPr>
      <w:r w:rsidRPr="00C80A4A">
        <w:rPr>
          <w:lang w:eastAsia="zh-CN"/>
        </w:rPr>
        <w:t>认识到</w:t>
      </w:r>
    </w:p>
    <w:p w14:paraId="5E67959E" w14:textId="77777777" w:rsidR="008B01E5" w:rsidRPr="00C80A4A" w:rsidRDefault="008B01E5" w:rsidP="008B01E5">
      <w:pPr>
        <w:rPr>
          <w:lang w:eastAsia="zh-CN"/>
        </w:rPr>
      </w:pPr>
      <w:r w:rsidRPr="00C80A4A">
        <w:rPr>
          <w:i/>
          <w:iCs/>
          <w:lang w:eastAsia="zh-CN"/>
        </w:rPr>
        <w:t>a)</w:t>
      </w:r>
      <w:r w:rsidRPr="00C80A4A">
        <w:rPr>
          <w:lang w:eastAsia="zh-CN"/>
        </w:rPr>
        <w:tab/>
      </w:r>
      <w:r w:rsidRPr="00C80A4A">
        <w:rPr>
          <w:rFonts w:hint="eastAsia"/>
          <w:lang w:eastAsia="zh-CN"/>
        </w:rPr>
        <w:t>世界电信标准化全会</w:t>
      </w:r>
      <w:r w:rsidRPr="00580A7B">
        <w:rPr>
          <w:rFonts w:hint="eastAsia"/>
          <w:lang w:eastAsia="zh-CN"/>
        </w:rPr>
        <w:t>第</w:t>
      </w:r>
      <w:r w:rsidRPr="00580A7B">
        <w:rPr>
          <w:lang w:eastAsia="zh-CN"/>
        </w:rPr>
        <w:t>54</w:t>
      </w:r>
      <w:r w:rsidRPr="00580A7B">
        <w:rPr>
          <w:rFonts w:hint="eastAsia"/>
          <w:lang w:eastAsia="zh-CN"/>
        </w:rPr>
        <w:t>号决议（</w:t>
      </w:r>
      <w:r w:rsidRPr="00580A7B">
        <w:rPr>
          <w:lang w:eastAsia="zh-CN"/>
        </w:rPr>
        <w:t>2016</w:t>
      </w:r>
      <w:r w:rsidRPr="00580A7B">
        <w:rPr>
          <w:rFonts w:hint="eastAsia"/>
          <w:lang w:eastAsia="zh-CN"/>
        </w:rPr>
        <w:t>年，哈马马特，修订版）</w:t>
      </w:r>
      <w:r w:rsidRPr="00C80A4A">
        <w:rPr>
          <w:lang w:eastAsia="zh-CN"/>
        </w:rPr>
        <w:t>框架内</w:t>
      </w:r>
      <w:r w:rsidRPr="00C80A4A">
        <w:rPr>
          <w:rFonts w:hint="eastAsia"/>
          <w:lang w:eastAsia="zh-CN"/>
        </w:rPr>
        <w:t>采取</w:t>
      </w:r>
      <w:r w:rsidRPr="00C80A4A">
        <w:rPr>
          <w:lang w:eastAsia="zh-CN"/>
        </w:rPr>
        <w:t>的区域性做法取得了令人高度满意的结果；</w:t>
      </w:r>
    </w:p>
    <w:p w14:paraId="46E3C349" w14:textId="77777777" w:rsidR="008B01E5" w:rsidRPr="00C80A4A" w:rsidRDefault="008B01E5" w:rsidP="008B01E5">
      <w:pPr>
        <w:rPr>
          <w:lang w:eastAsia="zh-CN"/>
        </w:rPr>
      </w:pPr>
      <w:r w:rsidRPr="00C80A4A">
        <w:rPr>
          <w:i/>
          <w:iCs/>
          <w:lang w:eastAsia="zh-CN"/>
        </w:rPr>
        <w:t>b)</w:t>
      </w:r>
      <w:r w:rsidRPr="00C80A4A">
        <w:rPr>
          <w:lang w:eastAsia="zh-CN"/>
        </w:rPr>
        <w:tab/>
      </w:r>
      <w:r w:rsidRPr="00C80A4A">
        <w:rPr>
          <w:lang w:eastAsia="zh-CN"/>
        </w:rPr>
        <w:t>发展中国家</w:t>
      </w:r>
      <w:r w:rsidRPr="00C80A4A">
        <w:rPr>
          <w:rFonts w:hint="eastAsia"/>
          <w:lang w:eastAsia="zh-CN"/>
        </w:rPr>
        <w:t>在信息通信技术（</w:t>
      </w:r>
      <w:r w:rsidRPr="00C80A4A">
        <w:rPr>
          <w:rFonts w:hint="eastAsia"/>
          <w:lang w:eastAsia="zh-CN"/>
        </w:rPr>
        <w:t>ICT</w:t>
      </w:r>
      <w:r w:rsidRPr="00C80A4A">
        <w:rPr>
          <w:rFonts w:hint="eastAsia"/>
          <w:lang w:eastAsia="zh-CN"/>
        </w:rPr>
        <w:t>）领域对</w:t>
      </w:r>
      <w:r w:rsidRPr="00C80A4A">
        <w:rPr>
          <w:lang w:eastAsia="zh-CN"/>
        </w:rPr>
        <w:t>计算机的使用和依赖程度日益提高；</w:t>
      </w:r>
    </w:p>
    <w:p w14:paraId="2AC7AF26" w14:textId="77777777" w:rsidR="008B01E5" w:rsidRPr="00C80A4A" w:rsidRDefault="008B01E5" w:rsidP="008B01E5">
      <w:pPr>
        <w:rPr>
          <w:lang w:eastAsia="zh-CN"/>
        </w:rPr>
      </w:pPr>
      <w:r w:rsidRPr="00C80A4A">
        <w:rPr>
          <w:i/>
          <w:iCs/>
          <w:lang w:eastAsia="zh-CN"/>
        </w:rPr>
        <w:t>c)</w:t>
      </w:r>
      <w:r w:rsidRPr="00C80A4A">
        <w:rPr>
          <w:lang w:eastAsia="zh-CN"/>
        </w:rPr>
        <w:tab/>
      </w:r>
      <w:r w:rsidRPr="00C80A4A">
        <w:rPr>
          <w:lang w:eastAsia="zh-CN"/>
        </w:rPr>
        <w:t>利用计算机对</w:t>
      </w:r>
      <w:r w:rsidRPr="00C80A4A">
        <w:rPr>
          <w:lang w:eastAsia="zh-CN"/>
        </w:rPr>
        <w:t>ICT</w:t>
      </w:r>
      <w:r w:rsidRPr="00C80A4A">
        <w:rPr>
          <w:lang w:eastAsia="zh-CN"/>
        </w:rPr>
        <w:t>网络的进攻和威胁日趋猖獗</w:t>
      </w:r>
      <w:r w:rsidRPr="00C80A4A">
        <w:rPr>
          <w:rFonts w:hint="eastAsia"/>
          <w:lang w:eastAsia="zh-CN"/>
        </w:rPr>
        <w:t>；</w:t>
      </w:r>
    </w:p>
    <w:p w14:paraId="4997004C" w14:textId="77777777" w:rsidR="008B01E5" w:rsidRPr="00B30D45" w:rsidRDefault="008B01E5" w:rsidP="008B01E5">
      <w:pPr>
        <w:rPr>
          <w:lang w:eastAsia="zh-CN"/>
        </w:rPr>
      </w:pPr>
      <w:r w:rsidRPr="00EC7F53">
        <w:rPr>
          <w:i/>
          <w:iCs/>
          <w:lang w:eastAsia="zh-CN"/>
        </w:rPr>
        <w:t>d)</w:t>
      </w:r>
      <w:r w:rsidRPr="00B30D45">
        <w:rPr>
          <w:rFonts w:hint="eastAsia"/>
          <w:lang w:eastAsia="zh-CN"/>
        </w:rPr>
        <w:tab/>
      </w:r>
      <w:r w:rsidRPr="00580A7B">
        <w:rPr>
          <w:rFonts w:hint="eastAsia"/>
          <w:lang w:eastAsia="zh-CN"/>
        </w:rPr>
        <w:t>国际电联电信发展部门（</w:t>
      </w:r>
      <w:r w:rsidRPr="00580A7B">
        <w:rPr>
          <w:lang w:eastAsia="zh-CN"/>
        </w:rPr>
        <w:t>ITU-D</w:t>
      </w:r>
      <w:r w:rsidRPr="00580A7B">
        <w:rPr>
          <w:rFonts w:hint="eastAsia"/>
          <w:lang w:eastAsia="zh-CN"/>
        </w:rPr>
        <w:t>）第</w:t>
      </w:r>
      <w:r w:rsidRPr="00580A7B">
        <w:rPr>
          <w:lang w:eastAsia="zh-CN"/>
        </w:rPr>
        <w:t>1</w:t>
      </w:r>
      <w:r w:rsidRPr="00580A7B">
        <w:rPr>
          <w:rFonts w:hint="eastAsia"/>
          <w:lang w:eastAsia="zh-CN"/>
        </w:rPr>
        <w:t>研究组原第</w:t>
      </w:r>
      <w:r w:rsidRPr="00580A7B">
        <w:rPr>
          <w:lang w:eastAsia="zh-CN"/>
        </w:rPr>
        <w:t>22/1</w:t>
      </w:r>
      <w:r w:rsidRPr="00580A7B">
        <w:rPr>
          <w:rFonts w:hint="eastAsia"/>
          <w:lang w:eastAsia="zh-CN"/>
        </w:rPr>
        <w:t>号课题和</w:t>
      </w:r>
      <w:r w:rsidRPr="00580A7B">
        <w:rPr>
          <w:lang w:eastAsia="zh-CN"/>
        </w:rPr>
        <w:t>ITU-D</w:t>
      </w:r>
      <w:r w:rsidRPr="00580A7B">
        <w:rPr>
          <w:rFonts w:hint="eastAsia"/>
          <w:lang w:eastAsia="zh-CN"/>
        </w:rPr>
        <w:t>第</w:t>
      </w:r>
      <w:r w:rsidRPr="00580A7B">
        <w:rPr>
          <w:lang w:eastAsia="zh-CN"/>
        </w:rPr>
        <w:t>2</w:t>
      </w:r>
      <w:r w:rsidRPr="00580A7B">
        <w:rPr>
          <w:rFonts w:hint="eastAsia"/>
          <w:lang w:eastAsia="zh-CN"/>
        </w:rPr>
        <w:t>研究组现第</w:t>
      </w:r>
      <w:r w:rsidRPr="00580A7B">
        <w:rPr>
          <w:lang w:eastAsia="zh-CN"/>
        </w:rPr>
        <w:t>3/2</w:t>
      </w:r>
      <w:r w:rsidRPr="00580A7B">
        <w:rPr>
          <w:rFonts w:hint="eastAsia"/>
          <w:lang w:eastAsia="zh-CN"/>
        </w:rPr>
        <w:t>号课题在该议题方面开展的工作，</w:t>
      </w:r>
    </w:p>
    <w:p w14:paraId="40F345FE" w14:textId="77777777" w:rsidR="008B01E5" w:rsidRPr="00C80A4A" w:rsidRDefault="008B01E5" w:rsidP="008B01E5">
      <w:pPr>
        <w:pStyle w:val="Call"/>
        <w:rPr>
          <w:lang w:eastAsia="zh-CN"/>
        </w:rPr>
      </w:pPr>
      <w:r w:rsidRPr="00C80A4A">
        <w:rPr>
          <w:lang w:eastAsia="zh-CN"/>
        </w:rPr>
        <w:t>注意到</w:t>
      </w:r>
    </w:p>
    <w:p w14:paraId="4FD0E7B5" w14:textId="77777777" w:rsidR="008B01E5" w:rsidRPr="00C80A4A" w:rsidRDefault="008B01E5" w:rsidP="008B01E5">
      <w:pPr>
        <w:rPr>
          <w:lang w:eastAsia="zh-CN"/>
        </w:rPr>
      </w:pPr>
      <w:r w:rsidRPr="00C80A4A">
        <w:rPr>
          <w:i/>
          <w:iCs/>
          <w:lang w:eastAsia="zh-CN"/>
        </w:rPr>
        <w:t>a)</w:t>
      </w:r>
      <w:r w:rsidRPr="00C80A4A">
        <w:rPr>
          <w:lang w:eastAsia="zh-CN"/>
        </w:rPr>
        <w:tab/>
      </w:r>
      <w:r w:rsidRPr="00C80A4A">
        <w:rPr>
          <w:rFonts w:hint="eastAsia"/>
          <w:lang w:eastAsia="zh-CN"/>
        </w:rPr>
        <w:t>许多</w:t>
      </w:r>
      <w:r w:rsidRPr="00C80A4A">
        <w:rPr>
          <w:lang w:eastAsia="zh-CN"/>
        </w:rPr>
        <w:t>国家，尤其是发展中国家</w:t>
      </w:r>
      <w:r w:rsidRPr="00C80A4A">
        <w:rPr>
          <w:rFonts w:hint="eastAsia"/>
          <w:lang w:eastAsia="zh-CN"/>
        </w:rPr>
        <w:t>的</w:t>
      </w:r>
      <w:r w:rsidRPr="00C80A4A">
        <w:rPr>
          <w:lang w:eastAsia="zh-CN"/>
        </w:rPr>
        <w:t>计算机应急准备水平依然很低；</w:t>
      </w:r>
    </w:p>
    <w:p w14:paraId="1C55DAB4" w14:textId="77777777" w:rsidR="008B01E5" w:rsidRPr="00C80A4A" w:rsidRDefault="008B01E5" w:rsidP="008B01E5">
      <w:pPr>
        <w:rPr>
          <w:lang w:eastAsia="zh-CN"/>
        </w:rPr>
      </w:pPr>
      <w:r w:rsidRPr="00C80A4A">
        <w:rPr>
          <w:i/>
          <w:iCs/>
          <w:lang w:eastAsia="zh-CN"/>
        </w:rPr>
        <w:t>b)</w:t>
      </w:r>
      <w:r w:rsidRPr="00C80A4A">
        <w:rPr>
          <w:lang w:eastAsia="zh-CN"/>
        </w:rPr>
        <w:tab/>
      </w:r>
      <w:r w:rsidRPr="00C80A4A">
        <w:rPr>
          <w:lang w:eastAsia="zh-CN"/>
        </w:rPr>
        <w:t>高度互连的</w:t>
      </w:r>
      <w:r w:rsidRPr="00C80A4A">
        <w:rPr>
          <w:lang w:eastAsia="zh-CN"/>
        </w:rPr>
        <w:t>ICT</w:t>
      </w:r>
      <w:r w:rsidRPr="00C80A4A">
        <w:rPr>
          <w:lang w:eastAsia="zh-CN"/>
        </w:rPr>
        <w:t>网络可能会受到来自疏于防范国家</w:t>
      </w:r>
      <w:r w:rsidRPr="00C80A4A">
        <w:rPr>
          <w:rFonts w:hint="eastAsia"/>
          <w:lang w:eastAsia="zh-CN"/>
        </w:rPr>
        <w:t>的</w:t>
      </w:r>
      <w:r w:rsidRPr="00C80A4A">
        <w:rPr>
          <w:lang w:eastAsia="zh-CN"/>
        </w:rPr>
        <w:t>网络的</w:t>
      </w:r>
      <w:r w:rsidRPr="00C80A4A">
        <w:rPr>
          <w:rFonts w:hint="eastAsia"/>
          <w:lang w:eastAsia="zh-CN"/>
        </w:rPr>
        <w:t>攻击</w:t>
      </w:r>
      <w:r w:rsidRPr="00C80A4A">
        <w:rPr>
          <w:lang w:eastAsia="zh-CN"/>
        </w:rPr>
        <w:t>，而这些国家多为发展中国家；</w:t>
      </w:r>
    </w:p>
    <w:p w14:paraId="24B3FDF7" w14:textId="77777777" w:rsidR="008B01E5" w:rsidRPr="00C80A4A" w:rsidRDefault="008B01E5" w:rsidP="008B01E5">
      <w:pPr>
        <w:rPr>
          <w:lang w:eastAsia="zh-CN"/>
        </w:rPr>
      </w:pPr>
      <w:r w:rsidRPr="00C80A4A">
        <w:rPr>
          <w:i/>
          <w:iCs/>
          <w:lang w:eastAsia="zh-CN"/>
        </w:rPr>
        <w:t>c)</w:t>
      </w:r>
      <w:r w:rsidRPr="00C80A4A">
        <w:rPr>
          <w:lang w:eastAsia="zh-CN"/>
        </w:rPr>
        <w:tab/>
      </w:r>
      <w:r w:rsidRPr="00C80A4A">
        <w:rPr>
          <w:lang w:eastAsia="zh-CN"/>
        </w:rPr>
        <w:t>所有国家</w:t>
      </w:r>
      <w:r w:rsidRPr="00C80A4A">
        <w:rPr>
          <w:rFonts w:hint="eastAsia"/>
          <w:lang w:eastAsia="zh-CN"/>
        </w:rPr>
        <w:t>均达到适当水平的</w:t>
      </w:r>
      <w:r w:rsidRPr="00C80A4A">
        <w:rPr>
          <w:lang w:eastAsia="zh-CN"/>
        </w:rPr>
        <w:t>计算机应急准备至关重要；</w:t>
      </w:r>
    </w:p>
    <w:p w14:paraId="2822A6A7" w14:textId="77777777" w:rsidR="008B01E5" w:rsidRPr="00C80A4A" w:rsidRDefault="008B01E5" w:rsidP="008B01E5">
      <w:pPr>
        <w:rPr>
          <w:lang w:eastAsia="zh-CN"/>
        </w:rPr>
      </w:pPr>
      <w:r w:rsidRPr="00C80A4A">
        <w:rPr>
          <w:i/>
          <w:iCs/>
          <w:lang w:eastAsia="zh-CN"/>
        </w:rPr>
        <w:t>d)</w:t>
      </w:r>
      <w:r w:rsidRPr="00C80A4A">
        <w:rPr>
          <w:lang w:eastAsia="zh-CN"/>
        </w:rPr>
        <w:tab/>
      </w:r>
      <w:r w:rsidRPr="00C80A4A">
        <w:rPr>
          <w:lang w:eastAsia="zh-CN"/>
        </w:rPr>
        <w:t>有必要建立国家</w:t>
      </w:r>
      <w:r w:rsidRPr="00C80A4A">
        <w:rPr>
          <w:rFonts w:hint="eastAsia"/>
          <w:lang w:eastAsia="zh-CN"/>
        </w:rPr>
        <w:t>层面的计算机事件响应团队（</w:t>
      </w:r>
      <w:r w:rsidRPr="00C80A4A">
        <w:rPr>
          <w:lang w:eastAsia="zh-CN"/>
        </w:rPr>
        <w:t>C</w:t>
      </w:r>
      <w:r w:rsidRPr="00C80A4A">
        <w:rPr>
          <w:rFonts w:hint="eastAsia"/>
          <w:lang w:eastAsia="zh-CN"/>
        </w:rPr>
        <w:t>I</w:t>
      </w:r>
      <w:r w:rsidRPr="00C80A4A">
        <w:rPr>
          <w:lang w:eastAsia="zh-CN"/>
        </w:rPr>
        <w:t>RT</w:t>
      </w:r>
      <w:r w:rsidRPr="00C80A4A">
        <w:rPr>
          <w:rFonts w:hint="eastAsia"/>
          <w:lang w:eastAsia="zh-CN"/>
        </w:rPr>
        <w:t>）</w:t>
      </w:r>
      <w:r w:rsidRPr="00C80A4A">
        <w:rPr>
          <w:lang w:eastAsia="zh-CN"/>
        </w:rPr>
        <w:t>，</w:t>
      </w:r>
      <w:r w:rsidRPr="00C80A4A">
        <w:rPr>
          <w:rFonts w:hint="eastAsia"/>
          <w:lang w:eastAsia="zh-CN"/>
        </w:rPr>
        <w:t>而且</w:t>
      </w:r>
      <w:r w:rsidRPr="00C80A4A">
        <w:rPr>
          <w:lang w:eastAsia="zh-CN"/>
        </w:rPr>
        <w:t>在区域内部和之间进行协调</w:t>
      </w:r>
      <w:r w:rsidRPr="00C80A4A">
        <w:rPr>
          <w:rFonts w:hint="eastAsia"/>
          <w:lang w:eastAsia="zh-CN"/>
        </w:rPr>
        <w:t>十分</w:t>
      </w:r>
      <w:r w:rsidRPr="00C80A4A">
        <w:rPr>
          <w:lang w:eastAsia="zh-CN"/>
        </w:rPr>
        <w:t>重要</w:t>
      </w:r>
      <w:r w:rsidRPr="00C80A4A">
        <w:rPr>
          <w:rFonts w:hint="eastAsia"/>
          <w:lang w:eastAsia="zh-CN"/>
        </w:rPr>
        <w:t>；</w:t>
      </w:r>
    </w:p>
    <w:p w14:paraId="546017CE" w14:textId="77777777" w:rsidR="008B01E5" w:rsidRPr="00C80A4A" w:rsidRDefault="008B01E5" w:rsidP="008B01E5">
      <w:pPr>
        <w:rPr>
          <w:lang w:eastAsia="zh-CN"/>
        </w:rPr>
      </w:pPr>
      <w:r w:rsidRPr="00C80A4A">
        <w:rPr>
          <w:rFonts w:eastAsia="Times New Roman"/>
          <w:i/>
          <w:iCs/>
          <w:lang w:eastAsia="zh-CN"/>
        </w:rPr>
        <w:t>e)</w:t>
      </w:r>
      <w:r w:rsidRPr="00C80A4A">
        <w:rPr>
          <w:lang w:eastAsia="zh-CN"/>
        </w:rPr>
        <w:tab/>
      </w:r>
      <w:r w:rsidRPr="00C80A4A">
        <w:rPr>
          <w:rFonts w:hint="eastAsia"/>
          <w:lang w:eastAsia="zh-CN"/>
        </w:rPr>
        <w:t>国际电联电信标准化部门（</w:t>
      </w:r>
      <w:r w:rsidRPr="00C80A4A">
        <w:rPr>
          <w:rFonts w:hint="eastAsia"/>
          <w:lang w:eastAsia="zh-CN"/>
        </w:rPr>
        <w:t>ITU-T</w:t>
      </w:r>
      <w:r w:rsidRPr="00C80A4A">
        <w:rPr>
          <w:rFonts w:hint="eastAsia"/>
          <w:lang w:eastAsia="zh-CN"/>
        </w:rPr>
        <w:t>）第</w:t>
      </w:r>
      <w:r w:rsidRPr="00C80A4A">
        <w:rPr>
          <w:rFonts w:hint="eastAsia"/>
          <w:lang w:eastAsia="zh-CN"/>
        </w:rPr>
        <w:t>17</w:t>
      </w:r>
      <w:r w:rsidRPr="00C80A4A">
        <w:rPr>
          <w:rFonts w:hint="eastAsia"/>
          <w:lang w:eastAsia="zh-CN"/>
        </w:rPr>
        <w:t>研究组输出文件中包含的该研究组尤其为发展中国家在国家</w:t>
      </w:r>
      <w:r w:rsidRPr="00C80A4A">
        <w:rPr>
          <w:rFonts w:hint="eastAsia"/>
          <w:lang w:eastAsia="zh-CN"/>
        </w:rPr>
        <w:t>CIRT</w:t>
      </w:r>
      <w:r w:rsidRPr="00C80A4A">
        <w:rPr>
          <w:rFonts w:hint="eastAsia"/>
          <w:lang w:eastAsia="zh-CN"/>
        </w:rPr>
        <w:t>领域开展的工作，以及各团队之间的合作，</w:t>
      </w:r>
    </w:p>
    <w:p w14:paraId="057E0A17" w14:textId="77777777" w:rsidR="008B01E5" w:rsidRPr="00C80A4A" w:rsidRDefault="008B01E5" w:rsidP="008B01E5">
      <w:pPr>
        <w:pStyle w:val="Call"/>
        <w:rPr>
          <w:lang w:eastAsia="zh-CN"/>
        </w:rPr>
      </w:pPr>
      <w:r w:rsidRPr="00C80A4A">
        <w:rPr>
          <w:lang w:eastAsia="zh-CN"/>
        </w:rPr>
        <w:t>铭记</w:t>
      </w:r>
    </w:p>
    <w:p w14:paraId="4F55B613" w14:textId="77777777" w:rsidR="008B01E5" w:rsidRPr="00C80A4A" w:rsidRDefault="008B01E5" w:rsidP="008B01E5">
      <w:pPr>
        <w:ind w:firstLineChars="200" w:firstLine="480"/>
        <w:rPr>
          <w:lang w:eastAsia="zh-CN"/>
        </w:rPr>
      </w:pPr>
      <w:r w:rsidRPr="00C80A4A">
        <w:rPr>
          <w:lang w:eastAsia="zh-CN"/>
        </w:rPr>
        <w:t>发展中国家</w:t>
      </w:r>
      <w:r w:rsidRPr="00C80A4A">
        <w:rPr>
          <w:rFonts w:hint="eastAsia"/>
          <w:lang w:eastAsia="zh-CN"/>
        </w:rPr>
        <w:t>运行良好</w:t>
      </w:r>
      <w:r w:rsidRPr="00C80A4A">
        <w:rPr>
          <w:lang w:eastAsia="zh-CN"/>
        </w:rPr>
        <w:t>的</w:t>
      </w:r>
      <w:r w:rsidRPr="00C80A4A">
        <w:rPr>
          <w:lang w:eastAsia="zh-CN"/>
        </w:rPr>
        <w:t>C</w:t>
      </w:r>
      <w:r w:rsidRPr="00C80A4A">
        <w:rPr>
          <w:rFonts w:hint="eastAsia"/>
          <w:lang w:eastAsia="zh-CN"/>
        </w:rPr>
        <w:t>I</w:t>
      </w:r>
      <w:r w:rsidRPr="00C80A4A">
        <w:rPr>
          <w:lang w:eastAsia="zh-CN"/>
        </w:rPr>
        <w:t>RT</w:t>
      </w:r>
      <w:r w:rsidRPr="00C80A4A">
        <w:rPr>
          <w:lang w:eastAsia="zh-CN"/>
        </w:rPr>
        <w:t>将加强这些国家对世界计算机应急响应活动的参与并有助于实现全球</w:t>
      </w:r>
      <w:r w:rsidRPr="00C80A4A">
        <w:rPr>
          <w:lang w:eastAsia="zh-CN"/>
        </w:rPr>
        <w:t>ICT</w:t>
      </w:r>
      <w:r w:rsidRPr="00C80A4A">
        <w:rPr>
          <w:lang w:eastAsia="zh-CN"/>
        </w:rPr>
        <w:t>基础设施的</w:t>
      </w:r>
      <w:r w:rsidRPr="00C80A4A">
        <w:rPr>
          <w:rFonts w:hint="eastAsia"/>
          <w:lang w:eastAsia="zh-CN"/>
        </w:rPr>
        <w:t>有效</w:t>
      </w:r>
      <w:r w:rsidRPr="00C80A4A">
        <w:rPr>
          <w:lang w:eastAsia="zh-CN"/>
        </w:rPr>
        <w:t>运转，</w:t>
      </w:r>
    </w:p>
    <w:p w14:paraId="3FFF6C69" w14:textId="77777777" w:rsidR="008B01E5" w:rsidRDefault="008B01E5">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2636C6B4" w14:textId="309E3260" w:rsidR="008B01E5" w:rsidRPr="00C80A4A" w:rsidRDefault="008B01E5" w:rsidP="008B01E5">
      <w:pPr>
        <w:pStyle w:val="Call"/>
        <w:rPr>
          <w:lang w:eastAsia="zh-CN"/>
        </w:rPr>
      </w:pPr>
      <w:r w:rsidRPr="00C80A4A">
        <w:rPr>
          <w:lang w:eastAsia="zh-CN"/>
        </w:rPr>
        <w:lastRenderedPageBreak/>
        <w:t>做出决议</w:t>
      </w:r>
    </w:p>
    <w:p w14:paraId="1E71AC07" w14:textId="77777777" w:rsidR="008B01E5" w:rsidRPr="00C80A4A" w:rsidRDefault="008B01E5" w:rsidP="008B01E5">
      <w:pPr>
        <w:ind w:firstLineChars="200" w:firstLine="480"/>
        <w:rPr>
          <w:lang w:eastAsia="zh-CN"/>
        </w:rPr>
      </w:pPr>
      <w:r w:rsidRPr="00C80A4A">
        <w:rPr>
          <w:lang w:eastAsia="zh-CN"/>
        </w:rPr>
        <w:t>支持在需要</w:t>
      </w:r>
      <w:r w:rsidRPr="00C80A4A">
        <w:rPr>
          <w:rFonts w:hint="eastAsia"/>
          <w:lang w:eastAsia="zh-CN"/>
        </w:rPr>
        <w:t>、</w:t>
      </w:r>
      <w:r w:rsidRPr="00C80A4A">
        <w:rPr>
          <w:lang w:eastAsia="zh-CN"/>
        </w:rPr>
        <w:t>但</w:t>
      </w:r>
      <w:r w:rsidRPr="00C80A4A">
        <w:rPr>
          <w:rFonts w:hint="eastAsia"/>
          <w:lang w:eastAsia="zh-CN"/>
        </w:rPr>
        <w:t>目前没有创</w:t>
      </w:r>
      <w:r w:rsidRPr="00C80A4A">
        <w:rPr>
          <w:lang w:eastAsia="zh-CN"/>
        </w:rPr>
        <w:t>建</w:t>
      </w:r>
      <w:r w:rsidRPr="00C80A4A">
        <w:rPr>
          <w:lang w:eastAsia="zh-CN"/>
        </w:rPr>
        <w:t>C</w:t>
      </w:r>
      <w:r w:rsidRPr="00C80A4A">
        <w:rPr>
          <w:rFonts w:hint="eastAsia"/>
          <w:lang w:eastAsia="zh-CN"/>
        </w:rPr>
        <w:t>I</w:t>
      </w:r>
      <w:r w:rsidRPr="00C80A4A">
        <w:rPr>
          <w:lang w:eastAsia="zh-CN"/>
        </w:rPr>
        <w:t>RT</w:t>
      </w:r>
      <w:r w:rsidRPr="00C80A4A">
        <w:rPr>
          <w:lang w:eastAsia="zh-CN"/>
        </w:rPr>
        <w:t>的国际电联成员国</w:t>
      </w:r>
      <w:r w:rsidRPr="00C80A4A">
        <w:rPr>
          <w:rFonts w:hint="eastAsia"/>
          <w:lang w:eastAsia="zh-CN"/>
        </w:rPr>
        <w:t>创</w:t>
      </w:r>
      <w:r w:rsidRPr="00C80A4A">
        <w:rPr>
          <w:lang w:eastAsia="zh-CN"/>
        </w:rPr>
        <w:t>建国家</w:t>
      </w:r>
      <w:r w:rsidRPr="00C80A4A">
        <w:rPr>
          <w:lang w:eastAsia="zh-CN"/>
        </w:rPr>
        <w:t>C</w:t>
      </w:r>
      <w:r w:rsidRPr="00C80A4A">
        <w:rPr>
          <w:rFonts w:hint="eastAsia"/>
          <w:lang w:eastAsia="zh-CN"/>
        </w:rPr>
        <w:t>I</w:t>
      </w:r>
      <w:r w:rsidRPr="00C80A4A">
        <w:rPr>
          <w:lang w:eastAsia="zh-CN"/>
        </w:rPr>
        <w:t>RT</w:t>
      </w:r>
      <w:r w:rsidRPr="00C80A4A">
        <w:rPr>
          <w:lang w:eastAsia="zh-CN"/>
        </w:rPr>
        <w:t>，</w:t>
      </w:r>
    </w:p>
    <w:p w14:paraId="09E14AB5" w14:textId="77777777" w:rsidR="008B01E5" w:rsidRPr="00C80A4A" w:rsidRDefault="008B01E5" w:rsidP="008B01E5">
      <w:pPr>
        <w:pStyle w:val="Call"/>
        <w:rPr>
          <w:lang w:eastAsia="zh-CN"/>
        </w:rPr>
      </w:pPr>
      <w:r w:rsidRPr="00C80A4A">
        <w:rPr>
          <w:lang w:eastAsia="zh-CN"/>
        </w:rPr>
        <w:t>责成电信标准化局主任与电信发展局主任</w:t>
      </w:r>
      <w:r w:rsidRPr="00C80A4A">
        <w:rPr>
          <w:rFonts w:hint="eastAsia"/>
          <w:lang w:eastAsia="zh-CN"/>
        </w:rPr>
        <w:t>协作</w:t>
      </w:r>
    </w:p>
    <w:p w14:paraId="22FBC424" w14:textId="77777777" w:rsidR="008B01E5" w:rsidRPr="00C80A4A" w:rsidRDefault="008B01E5" w:rsidP="008B01E5">
      <w:pPr>
        <w:rPr>
          <w:lang w:eastAsia="zh-CN"/>
        </w:rPr>
      </w:pPr>
      <w:r w:rsidRPr="00C80A4A">
        <w:rPr>
          <w:lang w:eastAsia="zh-CN"/>
        </w:rPr>
        <w:t>1</w:t>
      </w:r>
      <w:r w:rsidRPr="00C80A4A">
        <w:rPr>
          <w:lang w:eastAsia="zh-CN"/>
        </w:rPr>
        <w:tab/>
      </w:r>
      <w:r w:rsidRPr="00C80A4A">
        <w:rPr>
          <w:rFonts w:hint="eastAsia"/>
          <w:lang w:eastAsia="zh-CN"/>
        </w:rPr>
        <w:t>按照国际电联工具包，</w:t>
      </w:r>
      <w:r w:rsidRPr="00C80A4A">
        <w:rPr>
          <w:lang w:eastAsia="zh-CN"/>
        </w:rPr>
        <w:t>确定建立</w:t>
      </w:r>
      <w:r w:rsidRPr="00C80A4A">
        <w:rPr>
          <w:lang w:eastAsia="zh-CN"/>
        </w:rPr>
        <w:t>C</w:t>
      </w:r>
      <w:r w:rsidRPr="00C80A4A">
        <w:rPr>
          <w:rFonts w:hint="eastAsia"/>
          <w:lang w:eastAsia="zh-CN"/>
        </w:rPr>
        <w:t>I</w:t>
      </w:r>
      <w:r w:rsidRPr="00C80A4A">
        <w:rPr>
          <w:lang w:eastAsia="zh-CN"/>
        </w:rPr>
        <w:t>RT</w:t>
      </w:r>
      <w:r w:rsidRPr="00C80A4A">
        <w:rPr>
          <w:lang w:eastAsia="zh-CN"/>
        </w:rPr>
        <w:t>的最佳做法；</w:t>
      </w:r>
    </w:p>
    <w:p w14:paraId="2FA0705F" w14:textId="77777777" w:rsidR="008B01E5" w:rsidRPr="00C80A4A" w:rsidRDefault="008B01E5" w:rsidP="008B01E5">
      <w:pPr>
        <w:rPr>
          <w:lang w:eastAsia="zh-CN"/>
        </w:rPr>
      </w:pPr>
      <w:r w:rsidRPr="00C80A4A">
        <w:rPr>
          <w:lang w:eastAsia="zh-CN"/>
        </w:rPr>
        <w:t>2</w:t>
      </w:r>
      <w:r w:rsidRPr="00C80A4A">
        <w:rPr>
          <w:lang w:eastAsia="zh-CN"/>
        </w:rPr>
        <w:tab/>
      </w:r>
      <w:r w:rsidRPr="00C80A4A">
        <w:rPr>
          <w:lang w:eastAsia="zh-CN"/>
        </w:rPr>
        <w:t>确定需要建立</w:t>
      </w:r>
      <w:r w:rsidRPr="00C80A4A">
        <w:rPr>
          <w:rFonts w:hint="eastAsia"/>
          <w:lang w:eastAsia="zh-CN"/>
        </w:rPr>
        <w:t>国家</w:t>
      </w:r>
      <w:r w:rsidRPr="00C80A4A">
        <w:rPr>
          <w:lang w:eastAsia="zh-CN"/>
        </w:rPr>
        <w:t>C</w:t>
      </w:r>
      <w:r w:rsidRPr="00C80A4A">
        <w:rPr>
          <w:rFonts w:hint="eastAsia"/>
          <w:lang w:eastAsia="zh-CN"/>
        </w:rPr>
        <w:t>I</w:t>
      </w:r>
      <w:r w:rsidRPr="00C80A4A">
        <w:rPr>
          <w:lang w:eastAsia="zh-CN"/>
        </w:rPr>
        <w:t>RT</w:t>
      </w:r>
      <w:r w:rsidRPr="00C80A4A">
        <w:rPr>
          <w:lang w:eastAsia="zh-CN"/>
        </w:rPr>
        <w:t>的国家</w:t>
      </w:r>
      <w:r w:rsidRPr="00C80A4A">
        <w:rPr>
          <w:rFonts w:hint="eastAsia"/>
          <w:lang w:eastAsia="zh-CN"/>
        </w:rPr>
        <w:t>，尤其是在发展中国家，并鼓励建立此类团队</w:t>
      </w:r>
      <w:r w:rsidRPr="00C80A4A">
        <w:rPr>
          <w:lang w:eastAsia="zh-CN"/>
        </w:rPr>
        <w:t>；</w:t>
      </w:r>
    </w:p>
    <w:p w14:paraId="3903B771" w14:textId="77777777" w:rsidR="008B01E5" w:rsidRPr="00C80A4A" w:rsidRDefault="008B01E5" w:rsidP="008B01E5">
      <w:pPr>
        <w:rPr>
          <w:lang w:eastAsia="zh-CN"/>
        </w:rPr>
      </w:pPr>
      <w:r w:rsidRPr="00C80A4A">
        <w:rPr>
          <w:lang w:eastAsia="zh-CN"/>
        </w:rPr>
        <w:t>3</w:t>
      </w:r>
      <w:r w:rsidRPr="00C80A4A">
        <w:rPr>
          <w:lang w:eastAsia="zh-CN"/>
        </w:rPr>
        <w:tab/>
      </w:r>
      <w:r w:rsidRPr="00C80A4A">
        <w:rPr>
          <w:lang w:eastAsia="zh-CN"/>
        </w:rPr>
        <w:t>与国际专家和机构</w:t>
      </w:r>
      <w:r w:rsidRPr="00C80A4A">
        <w:rPr>
          <w:rFonts w:hint="eastAsia"/>
          <w:lang w:eastAsia="zh-CN"/>
        </w:rPr>
        <w:t>协作</w:t>
      </w:r>
      <w:r w:rsidRPr="00C80A4A">
        <w:rPr>
          <w:lang w:eastAsia="zh-CN"/>
        </w:rPr>
        <w:t>，建立国家</w:t>
      </w:r>
      <w:r w:rsidRPr="00C80A4A">
        <w:rPr>
          <w:lang w:eastAsia="zh-CN"/>
        </w:rPr>
        <w:t>C</w:t>
      </w:r>
      <w:r w:rsidRPr="00C80A4A">
        <w:rPr>
          <w:rFonts w:hint="eastAsia"/>
          <w:lang w:eastAsia="zh-CN"/>
        </w:rPr>
        <w:t>I</w:t>
      </w:r>
      <w:r w:rsidRPr="00C80A4A">
        <w:rPr>
          <w:lang w:eastAsia="zh-CN"/>
        </w:rPr>
        <w:t>RT</w:t>
      </w:r>
      <w:r w:rsidRPr="00C80A4A">
        <w:rPr>
          <w:rFonts w:hint="eastAsia"/>
          <w:lang w:eastAsia="zh-CN"/>
        </w:rPr>
        <w:t>；</w:t>
      </w:r>
    </w:p>
    <w:p w14:paraId="5EA1361A" w14:textId="77777777" w:rsidR="008B01E5" w:rsidRPr="00C80A4A" w:rsidRDefault="008B01E5" w:rsidP="008B01E5">
      <w:pPr>
        <w:rPr>
          <w:lang w:eastAsia="zh-CN"/>
        </w:rPr>
      </w:pPr>
      <w:r w:rsidRPr="00C80A4A">
        <w:rPr>
          <w:lang w:eastAsia="zh-CN"/>
        </w:rPr>
        <w:t>4</w:t>
      </w:r>
      <w:r w:rsidRPr="00C80A4A">
        <w:rPr>
          <w:lang w:eastAsia="zh-CN"/>
        </w:rPr>
        <w:tab/>
      </w:r>
      <w:r w:rsidRPr="00C80A4A">
        <w:rPr>
          <w:lang w:eastAsia="zh-CN"/>
        </w:rPr>
        <w:t>在现有预算资源范围内酌情提供支持；</w:t>
      </w:r>
    </w:p>
    <w:p w14:paraId="69A56B4B" w14:textId="77777777" w:rsidR="008B01E5" w:rsidRPr="00C80A4A" w:rsidRDefault="008B01E5" w:rsidP="008B01E5">
      <w:pPr>
        <w:rPr>
          <w:lang w:eastAsia="zh-CN"/>
        </w:rPr>
      </w:pPr>
      <w:r w:rsidRPr="00C80A4A">
        <w:rPr>
          <w:lang w:eastAsia="zh-CN"/>
        </w:rPr>
        <w:t>5</w:t>
      </w:r>
      <w:r w:rsidRPr="00C80A4A">
        <w:rPr>
          <w:lang w:eastAsia="zh-CN"/>
        </w:rPr>
        <w:tab/>
      </w:r>
      <w:r w:rsidRPr="00C80A4A">
        <w:rPr>
          <w:lang w:eastAsia="zh-CN"/>
        </w:rPr>
        <w:t>在适当框架范围内推进国家</w:t>
      </w:r>
      <w:r w:rsidRPr="00C80A4A">
        <w:rPr>
          <w:lang w:eastAsia="zh-CN"/>
        </w:rPr>
        <w:t>C</w:t>
      </w:r>
      <w:r w:rsidRPr="00C80A4A">
        <w:rPr>
          <w:rFonts w:hint="eastAsia"/>
          <w:lang w:eastAsia="zh-CN"/>
        </w:rPr>
        <w:t>I</w:t>
      </w:r>
      <w:r w:rsidRPr="00C80A4A">
        <w:rPr>
          <w:lang w:eastAsia="zh-CN"/>
        </w:rPr>
        <w:t>RT</w:t>
      </w:r>
      <w:r w:rsidRPr="00C80A4A">
        <w:rPr>
          <w:lang w:eastAsia="zh-CN"/>
        </w:rPr>
        <w:t>之间的协作，如开展能力建设和信息</w:t>
      </w:r>
      <w:r w:rsidRPr="00C80A4A">
        <w:rPr>
          <w:rFonts w:hint="eastAsia"/>
          <w:lang w:eastAsia="zh-CN"/>
        </w:rPr>
        <w:t>交流；</w:t>
      </w:r>
    </w:p>
    <w:p w14:paraId="0A121303" w14:textId="77777777" w:rsidR="008B01E5" w:rsidRPr="00C80A4A" w:rsidRDefault="008B01E5" w:rsidP="008B01E5">
      <w:pPr>
        <w:rPr>
          <w:rFonts w:eastAsia="Times New Roman"/>
          <w:lang w:eastAsia="zh-CN"/>
        </w:rPr>
      </w:pPr>
      <w:r w:rsidRPr="00C80A4A">
        <w:rPr>
          <w:rFonts w:eastAsia="Times New Roman"/>
          <w:lang w:eastAsia="zh-CN"/>
        </w:rPr>
        <w:t>6</w:t>
      </w:r>
      <w:r w:rsidRPr="00C80A4A">
        <w:rPr>
          <w:rFonts w:eastAsia="Times New Roman"/>
          <w:lang w:eastAsia="zh-CN"/>
        </w:rPr>
        <w:tab/>
      </w:r>
      <w:r w:rsidRPr="00C80A4A">
        <w:rPr>
          <w:rFonts w:ascii="SimSun" w:hAnsi="SimSun" w:cs="SimSun" w:hint="eastAsia"/>
          <w:lang w:eastAsia="zh-CN"/>
        </w:rPr>
        <w:t>采取必要行动，推动本决议的实施，</w:t>
      </w:r>
    </w:p>
    <w:p w14:paraId="727009BE" w14:textId="77777777" w:rsidR="008B01E5" w:rsidRPr="00C80A4A" w:rsidRDefault="008B01E5" w:rsidP="008B01E5">
      <w:pPr>
        <w:pStyle w:val="Call"/>
        <w:rPr>
          <w:lang w:eastAsia="zh-CN"/>
        </w:rPr>
      </w:pPr>
      <w:r w:rsidRPr="00C80A4A">
        <w:rPr>
          <w:lang w:eastAsia="zh-CN"/>
        </w:rPr>
        <w:t>请成员国</w:t>
      </w:r>
    </w:p>
    <w:p w14:paraId="4F32ABF1" w14:textId="77777777" w:rsidR="008B01E5" w:rsidRPr="00C80A4A" w:rsidRDefault="008B01E5" w:rsidP="008B01E5">
      <w:pPr>
        <w:rPr>
          <w:lang w:eastAsia="zh-CN"/>
        </w:rPr>
      </w:pPr>
      <w:r w:rsidRPr="00C80A4A">
        <w:rPr>
          <w:lang w:eastAsia="zh-CN"/>
        </w:rPr>
        <w:t>1</w:t>
      </w:r>
      <w:r w:rsidRPr="00C80A4A">
        <w:rPr>
          <w:lang w:eastAsia="zh-CN"/>
        </w:rPr>
        <w:tab/>
      </w:r>
      <w:r w:rsidRPr="00C80A4A">
        <w:rPr>
          <w:rFonts w:hint="eastAsia"/>
          <w:lang w:eastAsia="zh-CN"/>
        </w:rPr>
        <w:t>高度</w:t>
      </w:r>
      <w:r w:rsidRPr="00C80A4A">
        <w:rPr>
          <w:lang w:eastAsia="zh-CN"/>
        </w:rPr>
        <w:t>优先考虑</w:t>
      </w:r>
      <w:r w:rsidRPr="00C80A4A">
        <w:rPr>
          <w:rFonts w:hint="eastAsia"/>
          <w:lang w:eastAsia="zh-CN"/>
        </w:rPr>
        <w:t>创建</w:t>
      </w:r>
      <w:r w:rsidRPr="00C80A4A">
        <w:rPr>
          <w:lang w:eastAsia="zh-CN"/>
        </w:rPr>
        <w:t>国家</w:t>
      </w:r>
      <w:r w:rsidRPr="00C80A4A">
        <w:rPr>
          <w:lang w:eastAsia="zh-CN"/>
        </w:rPr>
        <w:t>C</w:t>
      </w:r>
      <w:r w:rsidRPr="00C80A4A">
        <w:rPr>
          <w:rFonts w:hint="eastAsia"/>
          <w:lang w:eastAsia="zh-CN"/>
        </w:rPr>
        <w:t>I</w:t>
      </w:r>
      <w:r w:rsidRPr="00C80A4A">
        <w:rPr>
          <w:lang w:eastAsia="zh-CN"/>
        </w:rPr>
        <w:t>RT</w:t>
      </w:r>
      <w:r w:rsidRPr="00C80A4A">
        <w:rPr>
          <w:lang w:eastAsia="zh-CN"/>
        </w:rPr>
        <w:t>；</w:t>
      </w:r>
    </w:p>
    <w:p w14:paraId="65FB285F" w14:textId="77777777" w:rsidR="008B01E5" w:rsidRPr="00C80A4A" w:rsidRDefault="008B01E5" w:rsidP="008B01E5">
      <w:pPr>
        <w:rPr>
          <w:lang w:eastAsia="zh-CN"/>
        </w:rPr>
      </w:pPr>
      <w:r w:rsidRPr="00C80A4A">
        <w:rPr>
          <w:lang w:eastAsia="zh-CN"/>
        </w:rPr>
        <w:t>2</w:t>
      </w:r>
      <w:r w:rsidRPr="00C80A4A">
        <w:rPr>
          <w:lang w:eastAsia="zh-CN"/>
        </w:rPr>
        <w:tab/>
      </w:r>
      <w:r w:rsidRPr="00C80A4A">
        <w:rPr>
          <w:lang w:eastAsia="zh-CN"/>
        </w:rPr>
        <w:t>与其它成员国和部门成员</w:t>
      </w:r>
      <w:r w:rsidRPr="00C80A4A">
        <w:rPr>
          <w:rFonts w:hint="eastAsia"/>
          <w:lang w:eastAsia="zh-CN"/>
        </w:rPr>
        <w:t>开展协</w:t>
      </w:r>
      <w:r w:rsidRPr="00C80A4A">
        <w:rPr>
          <w:lang w:eastAsia="zh-CN"/>
        </w:rPr>
        <w:t>作，</w:t>
      </w:r>
    </w:p>
    <w:p w14:paraId="6F48ACF6" w14:textId="77777777" w:rsidR="008B01E5" w:rsidRPr="00C80A4A" w:rsidRDefault="008B01E5" w:rsidP="008B01E5">
      <w:pPr>
        <w:pStyle w:val="Call"/>
        <w:rPr>
          <w:lang w:eastAsia="zh-CN"/>
        </w:rPr>
      </w:pPr>
      <w:r w:rsidRPr="00C80A4A">
        <w:rPr>
          <w:lang w:eastAsia="zh-CN"/>
        </w:rPr>
        <w:t>请成员国和部门成员</w:t>
      </w:r>
    </w:p>
    <w:p w14:paraId="52203B26" w14:textId="77777777" w:rsidR="008B01E5" w:rsidRPr="00C80A4A" w:rsidRDefault="008B01E5" w:rsidP="008B01E5">
      <w:pPr>
        <w:ind w:firstLineChars="200" w:firstLine="480"/>
        <w:rPr>
          <w:lang w:eastAsia="zh-CN"/>
        </w:rPr>
      </w:pPr>
      <w:r w:rsidRPr="00C80A4A">
        <w:rPr>
          <w:lang w:eastAsia="zh-CN"/>
        </w:rPr>
        <w:t>在</w:t>
      </w:r>
      <w:r w:rsidRPr="00C80A4A">
        <w:rPr>
          <w:rFonts w:hint="eastAsia"/>
          <w:lang w:eastAsia="zh-CN"/>
        </w:rPr>
        <w:t>此</w:t>
      </w:r>
      <w:r w:rsidRPr="00C80A4A">
        <w:rPr>
          <w:lang w:eastAsia="zh-CN"/>
        </w:rPr>
        <w:t>方面与</w:t>
      </w:r>
      <w:r w:rsidRPr="00C80A4A">
        <w:rPr>
          <w:rFonts w:hint="eastAsia"/>
          <w:lang w:eastAsia="zh-CN"/>
        </w:rPr>
        <w:t>ITU-T</w:t>
      </w:r>
      <w:r w:rsidRPr="00C80A4A">
        <w:rPr>
          <w:lang w:eastAsia="zh-CN"/>
        </w:rPr>
        <w:t>和</w:t>
      </w:r>
      <w:r w:rsidRPr="00C80A4A">
        <w:rPr>
          <w:lang w:eastAsia="zh-CN"/>
        </w:rPr>
        <w:t>ITU-D</w:t>
      </w:r>
      <w:r w:rsidRPr="00C80A4A">
        <w:rPr>
          <w:lang w:eastAsia="zh-CN"/>
        </w:rPr>
        <w:t>密切合作</w:t>
      </w:r>
      <w:r w:rsidRPr="00C80A4A">
        <w:rPr>
          <w:rFonts w:hint="eastAsia"/>
          <w:lang w:eastAsia="zh-CN"/>
        </w:rPr>
        <w:t>。</w:t>
      </w:r>
    </w:p>
    <w:p w14:paraId="4725C8EF" w14:textId="3CF95C07" w:rsidR="004B30DE" w:rsidRDefault="004B30DE" w:rsidP="004B30DE">
      <w:pPr>
        <w:rPr>
          <w:lang w:eastAsia="zh-CN"/>
        </w:rPr>
      </w:pPr>
    </w:p>
    <w:p w14:paraId="454C498A" w14:textId="77777777" w:rsidR="00D71BF2" w:rsidRDefault="00D71BF2" w:rsidP="004B30DE">
      <w:pPr>
        <w:rPr>
          <w:lang w:eastAsia="zh-CN"/>
        </w:rPr>
      </w:pPr>
    </w:p>
    <w:p w14:paraId="0C588C4E" w14:textId="10132483" w:rsidR="008B01E5" w:rsidRDefault="008B01E5" w:rsidP="004B30DE">
      <w:pPr>
        <w:rPr>
          <w:lang w:eastAsia="zh-CN"/>
        </w:rPr>
      </w:pPr>
    </w:p>
    <w:p w14:paraId="496C6C23" w14:textId="77777777" w:rsidR="008B01E5" w:rsidRDefault="008B01E5" w:rsidP="004B30DE">
      <w:pPr>
        <w:rPr>
          <w:lang w:eastAsia="zh-CN"/>
        </w:rPr>
      </w:pPr>
    </w:p>
    <w:p w14:paraId="57143BDB" w14:textId="45DD9931" w:rsidR="00DC0730" w:rsidRDefault="00DC0730" w:rsidP="004B30DE">
      <w:pPr>
        <w:rPr>
          <w:lang w:eastAsia="zh-CN"/>
        </w:rPr>
      </w:pPr>
    </w:p>
    <w:p w14:paraId="614ACA3C" w14:textId="2F4E468A" w:rsidR="00DC0730" w:rsidRDefault="00DC0730" w:rsidP="004B30DE">
      <w:pPr>
        <w:rPr>
          <w:lang w:eastAsia="zh-CN"/>
        </w:rPr>
      </w:pPr>
    </w:p>
    <w:p w14:paraId="68F4D84C" w14:textId="77777777" w:rsidR="00DC0730" w:rsidRPr="008D6A26" w:rsidRDefault="00DC0730"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78C25131"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1852B1">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1852B1">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1852B1">
      <w:rPr>
        <w:rFonts w:hint="eastAsia"/>
        <w:lang w:val="en-US" w:eastAsia="zh-CN"/>
      </w:rPr>
      <w:t>第</w:t>
    </w:r>
    <w:r w:rsidR="001852B1">
      <w:rPr>
        <w:rFonts w:hint="eastAsia"/>
        <w:lang w:val="en-US" w:eastAsia="zh-CN"/>
      </w:rPr>
      <w:t>58</w:t>
    </w:r>
    <w:r w:rsidR="001852B1">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34770293"/>
      <w:docPartObj>
        <w:docPartGallery w:val="Page Numbers (Bottom of Page)"/>
        <w:docPartUnique/>
      </w:docPartObj>
    </w:sdtPr>
    <w:sdtEndPr>
      <w:rPr>
        <w:noProof/>
      </w:rPr>
    </w:sdtEndPr>
    <w:sdtContent>
      <w:p w14:paraId="334DAB5D" w14:textId="49A2ACBC" w:rsidR="00B21F99" w:rsidRPr="007638C3" w:rsidRDefault="007638C3" w:rsidP="007638C3">
        <w:pPr>
          <w:pStyle w:val="Footer"/>
        </w:pPr>
        <w:r w:rsidRPr="007638C3">
          <w:rPr>
            <w:b w:val="0"/>
            <w:bCs/>
            <w:noProof w:val="0"/>
          </w:rPr>
          <w:fldChar w:fldCharType="begin"/>
        </w:r>
        <w:r w:rsidRPr="007638C3">
          <w:rPr>
            <w:b w:val="0"/>
            <w:bCs/>
          </w:rPr>
          <w:instrText xml:space="preserve"> PAGE   \* MERGEFORMAT </w:instrText>
        </w:r>
        <w:r w:rsidRPr="007638C3">
          <w:rPr>
            <w:b w:val="0"/>
            <w:bCs/>
            <w:noProof w:val="0"/>
          </w:rPr>
          <w:fldChar w:fldCharType="separate"/>
        </w:r>
        <w:r w:rsidRPr="007638C3">
          <w:rPr>
            <w:b w:val="0"/>
            <w:bCs/>
          </w:rPr>
          <w:t>2</w:t>
        </w:r>
        <w:r w:rsidRPr="007638C3">
          <w:rPr>
            <w:b w:val="0"/>
            <w:bCs/>
          </w:rPr>
          <w:fldChar w:fldCharType="end"/>
        </w:r>
        <w:r>
          <w:tab/>
        </w:r>
        <w:r w:rsidRPr="007638C3">
          <w:rPr>
            <w:rFonts w:hint="eastAsia"/>
          </w:rPr>
          <w:t>WTSA-</w:t>
        </w:r>
        <w:r w:rsidRPr="007638C3">
          <w:t>20 –</w:t>
        </w:r>
        <w:r w:rsidRPr="007638C3">
          <w:rPr>
            <w:rFonts w:hint="eastAsia"/>
          </w:rPr>
          <w:t xml:space="preserve"> </w:t>
        </w:r>
        <w:r w:rsidRPr="007638C3">
          <w:rPr>
            <w:rFonts w:hint="eastAsia"/>
          </w:rPr>
          <w:t>第</w:t>
        </w:r>
        <w:r>
          <w:t>58</w:t>
        </w:r>
        <w:r w:rsidRPr="007638C3">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835244"/>
      <w:docPartObj>
        <w:docPartGallery w:val="Page Numbers (Bottom of Page)"/>
        <w:docPartUnique/>
      </w:docPartObj>
    </w:sdtPr>
    <w:sdtContent>
      <w:p w14:paraId="1F35933A" w14:textId="5EFDE108" w:rsidR="00B21F99" w:rsidRPr="007638C3" w:rsidRDefault="007638C3" w:rsidP="007638C3">
        <w:pPr>
          <w:pStyle w:val="FooterQP"/>
          <w:spacing w:line="280" w:lineRule="exact"/>
        </w:pPr>
        <w:r>
          <w:tab/>
        </w:r>
        <w:r>
          <w:tab/>
        </w:r>
        <w:r w:rsidRPr="007638C3">
          <w:rPr>
            <w:rFonts w:hint="eastAsia"/>
            <w:lang w:val="en-GB"/>
          </w:rPr>
          <w:t>WTSA-</w:t>
        </w:r>
        <w:r w:rsidRPr="007638C3">
          <w:rPr>
            <w:lang w:val="en-GB"/>
          </w:rPr>
          <w:t>20 –</w:t>
        </w:r>
        <w:r w:rsidRPr="007638C3">
          <w:rPr>
            <w:rFonts w:hint="eastAsia"/>
            <w:lang w:val="en-GB"/>
          </w:rPr>
          <w:t xml:space="preserve"> </w:t>
        </w:r>
        <w:r w:rsidRPr="007638C3">
          <w:rPr>
            <w:rFonts w:hint="eastAsia"/>
            <w:lang w:val="en-GB"/>
          </w:rPr>
          <w:t>第</w:t>
        </w:r>
        <w:r>
          <w:rPr>
            <w:lang w:val="en-GB"/>
          </w:rPr>
          <w:t>58</w:t>
        </w:r>
        <w:proofErr w:type="spellStart"/>
        <w:r w:rsidRPr="007638C3">
          <w:rPr>
            <w:rFonts w:hint="eastAsia"/>
            <w:lang w:val="en-GB"/>
          </w:rPr>
          <w:t>号决议</w:t>
        </w:r>
        <w:proofErr w:type="spellEnd"/>
        <w:r>
          <w:rPr>
            <w:lang w:val="en-GB"/>
          </w:rPr>
          <w:tab/>
        </w:r>
        <w:r w:rsidRPr="007638C3">
          <w:rPr>
            <w:b w:val="0"/>
            <w:bCs/>
          </w:rPr>
          <w:fldChar w:fldCharType="begin"/>
        </w:r>
        <w:r w:rsidRPr="007638C3">
          <w:rPr>
            <w:b w:val="0"/>
            <w:bCs/>
          </w:rPr>
          <w:instrText xml:space="preserve"> PAGE   \* MERGEFORMAT </w:instrText>
        </w:r>
        <w:r w:rsidRPr="007638C3">
          <w:rPr>
            <w:b w:val="0"/>
            <w:bCs/>
          </w:rPr>
          <w:fldChar w:fldCharType="separate"/>
        </w:r>
        <w:r w:rsidRPr="007638C3">
          <w:rPr>
            <w:b w:val="0"/>
            <w:bCs/>
            <w:noProof/>
          </w:rPr>
          <w:t>2</w:t>
        </w:r>
        <w:r w:rsidRPr="007638C3">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560D3528" w14:textId="77777777" w:rsidR="008B01E5" w:rsidRPr="00871503" w:rsidRDefault="008B01E5" w:rsidP="008B01E5">
      <w:pPr>
        <w:pStyle w:val="FootnoteText"/>
        <w:rPr>
          <w:lang w:eastAsia="zh-CN"/>
        </w:rPr>
      </w:pPr>
      <w:r>
        <w:rPr>
          <w:rStyle w:val="FootnoteReference"/>
          <w:lang w:eastAsia="zh-CN"/>
        </w:rPr>
        <w:t>1</w:t>
      </w:r>
      <w:r>
        <w:rPr>
          <w:rFonts w:hint="eastAsia"/>
          <w:lang w:eastAsia="zh-CN"/>
        </w:rPr>
        <w:tab/>
      </w:r>
      <w:r>
        <w:rPr>
          <w:rFonts w:hint="eastAsia"/>
          <w:lang w:eastAsia="zh-CN"/>
        </w:rPr>
        <w:t>其中</w:t>
      </w:r>
      <w:r w:rsidRPr="003661D8">
        <w:rPr>
          <w:rFonts w:hint="eastAsia"/>
          <w:lang w:eastAsia="zh-CN"/>
        </w:rPr>
        <w:t>包括最不发达国家、小岛屿发展中国家</w:t>
      </w:r>
      <w:r>
        <w:rPr>
          <w:rFonts w:hint="eastAsia"/>
          <w:lang w:eastAsia="zh-CN"/>
        </w:rPr>
        <w:t>、内陆发展中国家</w:t>
      </w:r>
      <w:r w:rsidRPr="003661D8">
        <w:rPr>
          <w:rFonts w:hint="eastAsia"/>
          <w:lang w:eastAsia="zh-CN"/>
        </w:rPr>
        <w:t>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59E3"/>
    <w:rsid w:val="00166859"/>
    <w:rsid w:val="001702D5"/>
    <w:rsid w:val="001765EC"/>
    <w:rsid w:val="001852B1"/>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638C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1E5"/>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1BF2"/>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Props1.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6C0B6B6F-2C47-4648-A218-D3F9FE0B48DD}">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2a1a8c5-2265-4ebc-b7a0-2071e2c5c9bb"/>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1166</Words>
  <Characters>287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第 58 号决议 – 鼓励建立国家计算机事件响应团队，尤其是在发展中国家</vt:lpstr>
    </vt:vector>
  </TitlesOfParts>
  <Company>ITU</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58 号决议 – 鼓励建立国家计算机事件响应团队，尤其是在发展中国家</dc:title>
  <dc:creator>ITU-T</dc:creator>
  <cp:keywords>第 58 号决议</cp:keywords>
  <cp:lastModifiedBy>Liu, Sanping</cp:lastModifiedBy>
  <cp:revision>29</cp:revision>
  <cp:lastPrinted>2022-04-20T13:01:00Z</cp:lastPrinted>
  <dcterms:created xsi:type="dcterms:W3CDTF">2016-12-01T08:24:00Z</dcterms:created>
  <dcterms:modified xsi:type="dcterms:W3CDTF">2022-04-20T13:03:00Z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