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8" w:type="dxa"/>
        <w:tblLayout w:type="fixed"/>
        <w:tblLook w:val="000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4E489E" w:rsidRPr="00EB6BEB" w:rsidRDefault="00311F37" w:rsidP="00311F37">
            <w:pPr>
              <w:tabs>
                <w:tab w:val="right" w:pos="9639"/>
              </w:tabs>
              <w:jc w:val="left"/>
              <w:rPr>
                <w:rFonts w:ascii="Arial" w:hAnsi="Arial" w:cs="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r w:rsidRPr="00EB6BEB">
              <w:rPr>
                <w:rFonts w:ascii="Arial" w:hAnsi="Arial"/>
                <w:sz w:val="32"/>
                <w:lang w:val="fr-CH"/>
              </w:rPr>
              <w:br/>
            </w:r>
            <w:r w:rsidR="00EB6BEB" w:rsidRPr="00EB6BEB">
              <w:rPr>
                <w:rFonts w:ascii="Arial" w:hAnsi="Arial"/>
                <w:sz w:val="32"/>
                <w:lang w:val="fr-CH"/>
              </w:rPr>
              <w:t>Dubaï, 20-29 novembre 2012</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753F3F" w:rsidP="00B85D56">
            <w:pPr>
              <w:tabs>
                <w:tab w:val="right" w:pos="9639"/>
              </w:tabs>
              <w:jc w:val="left"/>
              <w:rPr>
                <w:rFonts w:ascii="Arial" w:hAnsi="Arial"/>
                <w:b/>
                <w:bCs/>
                <w:sz w:val="36"/>
                <w:lang w:val="fr-CH"/>
              </w:rPr>
            </w:pPr>
            <w:r w:rsidRPr="00BD0150">
              <w:rPr>
                <w:rFonts w:ascii="Arial" w:hAnsi="Arial" w:cs="Arial"/>
                <w:b/>
                <w:sz w:val="36"/>
                <w:szCs w:val="36"/>
                <w:lang w:val="fr-CH"/>
              </w:rPr>
              <w:t xml:space="preserve">Résolution </w:t>
            </w:r>
            <w:r w:rsidRPr="00BD0150">
              <w:rPr>
                <w:rStyle w:val="href"/>
                <w:rFonts w:ascii="Arial" w:hAnsi="Arial" w:cs="Arial"/>
                <w:b/>
                <w:sz w:val="36"/>
                <w:szCs w:val="36"/>
                <w:lang w:val="fr-CH"/>
              </w:rPr>
              <w:t xml:space="preserve">57 – </w:t>
            </w:r>
            <w:r w:rsidRPr="00BD0150">
              <w:rPr>
                <w:rFonts w:ascii="Arial" w:hAnsi="Arial" w:cs="Arial"/>
                <w:b/>
                <w:sz w:val="36"/>
                <w:szCs w:val="36"/>
              </w:rPr>
              <w:t xml:space="preserve">Renforcer la coordination </w:t>
            </w:r>
            <w:r>
              <w:rPr>
                <w:rFonts w:ascii="Arial" w:hAnsi="Arial" w:cs="Arial"/>
                <w:b/>
                <w:sz w:val="36"/>
                <w:szCs w:val="36"/>
              </w:rPr>
              <w:br/>
            </w:r>
            <w:r w:rsidRPr="00BD0150">
              <w:rPr>
                <w:rFonts w:ascii="Arial" w:hAnsi="Arial" w:cs="Arial"/>
                <w:b/>
                <w:sz w:val="36"/>
                <w:szCs w:val="36"/>
              </w:rPr>
              <w:t xml:space="preserve">et la coopération entre les trois Secteurs </w:t>
            </w:r>
            <w:r>
              <w:rPr>
                <w:rFonts w:ascii="Arial" w:hAnsi="Arial" w:cs="Arial"/>
                <w:b/>
                <w:sz w:val="36"/>
                <w:szCs w:val="36"/>
              </w:rPr>
              <w:br/>
            </w:r>
            <w:r w:rsidRPr="00BD0150">
              <w:rPr>
                <w:rFonts w:ascii="Arial" w:hAnsi="Arial" w:cs="Arial"/>
                <w:b/>
                <w:sz w:val="36"/>
                <w:szCs w:val="36"/>
              </w:rPr>
              <w:t>de l'UIT sur des questions d'intérêt mutuel</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rPr>
        <w:drawing>
          <wp:inline distT="0" distB="0" distL="0" distR="0">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rPr>
          <w:sz w:val="22"/>
        </w:rPr>
        <w:sectPr w:rsidR="00A8419C" w:rsidSect="00F51075">
          <w:headerReference w:type="even" r:id="rId10"/>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rPr>
          <w:sz w:val="22"/>
        </w:rPr>
      </w:pPr>
      <w:r>
        <w:rPr>
          <w:sz w:val="22"/>
        </w:rPr>
        <w:lastRenderedPageBreak/>
        <w:t>AVANT-PROPOS</w:t>
      </w:r>
    </w:p>
    <w:p w:rsidR="00EB6BEB" w:rsidRDefault="00EB6BEB" w:rsidP="00EB6BEB">
      <w:pPr>
        <w:pStyle w:val="Normalaftertitle"/>
        <w:spacing w:line="240" w:lineRule="exact"/>
        <w:rPr>
          <w:sz w:val="20"/>
        </w:rPr>
      </w:pPr>
      <w:bookmarkStart w:id="7" w:name="iitextf"/>
      <w:r w:rsidRPr="004325AC">
        <w:rPr>
          <w:sz w:val="20"/>
        </w:rPr>
        <w:t>L'Union internationale des télécommunications (UIT) est une institution spécialisée des Nations Unies dans le domaine des télé</w:t>
      </w:r>
      <w:r w:rsidRPr="004325AC">
        <w:rPr>
          <w:sz w:val="20"/>
        </w:rPr>
        <w:softHyphen/>
        <w:t>com</w:t>
      </w:r>
      <w:r w:rsidRPr="004325AC">
        <w:rPr>
          <w:sz w:val="20"/>
        </w:rPr>
        <w:softHyphen/>
        <w:t>mu</w:t>
      </w:r>
      <w:r w:rsidRPr="004325AC">
        <w:rPr>
          <w:sz w:val="20"/>
        </w:rPr>
        <w:softHyphen/>
        <w:t>ni</w:t>
      </w:r>
      <w:r w:rsidRPr="004325AC">
        <w:rPr>
          <w:sz w:val="20"/>
        </w:rPr>
        <w:softHyphen/>
        <w:t>ca</w:t>
      </w:r>
      <w:r w:rsidRPr="004325AC">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4325AC">
        <w:rPr>
          <w:sz w:val="20"/>
        </w:rPr>
        <w:softHyphen/>
        <w:t>com</w:t>
      </w:r>
      <w:r w:rsidRPr="004325AC">
        <w:rPr>
          <w:sz w:val="20"/>
        </w:rPr>
        <w:softHyphen/>
        <w:t>mu</w:t>
      </w:r>
      <w:r w:rsidRPr="004325AC">
        <w:rPr>
          <w:sz w:val="20"/>
        </w:rPr>
        <w:softHyphen/>
        <w:t>ni</w:t>
      </w:r>
      <w:r w:rsidRPr="004325AC">
        <w:rPr>
          <w:sz w:val="20"/>
        </w:rPr>
        <w:softHyphen/>
        <w:t>ca</w:t>
      </w:r>
      <w:r w:rsidRPr="004325AC">
        <w:rPr>
          <w:sz w:val="20"/>
        </w:rPr>
        <w:softHyphen/>
        <w:t>tions à l'échelle mondiale.</w:t>
      </w:r>
    </w:p>
    <w:p w:rsidR="00EB6BEB" w:rsidRDefault="00EB6BEB" w:rsidP="00EB6BEB">
      <w:pPr>
        <w:spacing w:line="240" w:lineRule="exact"/>
        <w:rPr>
          <w:sz w:val="20"/>
        </w:rPr>
      </w:pPr>
      <w:r w:rsidRPr="004325AC">
        <w:rPr>
          <w:sz w:val="20"/>
        </w:rPr>
        <w:t>L'Assemblée mondiale de normalisation des télécommunications (AMNT), qui se réunit tous les quatre ans, détermine les thèmes d'étude à traiter par les Commissions d'études de l'UIT</w:t>
      </w:r>
      <w:r w:rsidRPr="004325AC">
        <w:rPr>
          <w:sz w:val="20"/>
        </w:rPr>
        <w:noBreakHyphen/>
        <w:t>T, lesquelles élaborent en retour des Recommandations sur ces thèmes.</w:t>
      </w:r>
    </w:p>
    <w:p w:rsidR="00EB6BEB" w:rsidRPr="00E83AC8" w:rsidRDefault="00EB6BEB" w:rsidP="00EB6BEB">
      <w:pPr>
        <w:spacing w:line="240" w:lineRule="exact"/>
        <w:rPr>
          <w:sz w:val="20"/>
          <w:lang w:val="fr-CH"/>
        </w:rPr>
      </w:pPr>
      <w:r w:rsidRPr="004325AC">
        <w:rPr>
          <w:sz w:val="20"/>
        </w:rPr>
        <w:t>L'approbation des Recommandations par les Membres de l'UIT</w:t>
      </w:r>
      <w:r w:rsidRPr="004325AC">
        <w:rPr>
          <w:sz w:val="20"/>
        </w:rPr>
        <w:noBreakHyphen/>
        <w:t>T s'effectue selon la procédure définie dans la Résolution 1 de l'AMNT.</w:t>
      </w:r>
    </w:p>
    <w:p w:rsidR="004E489E" w:rsidRDefault="00EB6BEB" w:rsidP="00EB6BEB">
      <w:pPr>
        <w:rPr>
          <w:sz w:val="22"/>
        </w:rPr>
      </w:pPr>
      <w:r w:rsidRPr="004325AC">
        <w:rPr>
          <w:sz w:val="20"/>
        </w:rPr>
        <w:t>Dans certains secteurs des technologies de l'information qui correspondent à la sphère de compétence de l'UIT-T, les normes nécessaires se préparent en collaboration avec l'ISO et la CEI</w:t>
      </w:r>
      <w:r>
        <w:rPr>
          <w:sz w:val="20"/>
        </w:rPr>
        <w:t>.</w:t>
      </w:r>
    </w:p>
    <w:bookmarkEnd w:id="7"/>
    <w:p w:rsidR="004E489E" w:rsidRDefault="004E489E">
      <w:pPr>
        <w:jc w:val="center"/>
        <w:rPr>
          <w:sz w:val="22"/>
        </w:rPr>
      </w:pPr>
    </w:p>
    <w:p w:rsidR="004E489E" w:rsidRDefault="004E489E">
      <w:pPr>
        <w:jc w:val="center"/>
        <w:rPr>
          <w:sz w:val="22"/>
        </w:rPr>
      </w:pPr>
    </w:p>
    <w:p w:rsidR="004E489E" w:rsidRDefault="004E489E">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927BFB" w:rsidRDefault="00927BFB">
      <w:pPr>
        <w:jc w:val="center"/>
        <w:rPr>
          <w:sz w:val="22"/>
        </w:rPr>
      </w:pPr>
    </w:p>
    <w:p w:rsidR="00927BFB" w:rsidRDefault="00927BFB">
      <w:pPr>
        <w:jc w:val="center"/>
        <w:rPr>
          <w:sz w:val="22"/>
        </w:rPr>
      </w:pPr>
    </w:p>
    <w:p w:rsidR="004E489E" w:rsidRDefault="004E489E" w:rsidP="00EB6BEB">
      <w:pPr>
        <w:jc w:val="center"/>
        <w:rPr>
          <w:sz w:val="22"/>
        </w:rPr>
      </w:pPr>
      <w:r>
        <w:rPr>
          <w:rFonts w:ascii="Symbol" w:hAnsi="Symbol"/>
          <w:sz w:val="22"/>
        </w:rPr>
        <w:t></w:t>
      </w:r>
      <w:r>
        <w:rPr>
          <w:sz w:val="22"/>
        </w:rPr>
        <w:t>  UIT  </w:t>
      </w:r>
      <w:bookmarkStart w:id="8" w:name="iiannef"/>
      <w:bookmarkEnd w:id="8"/>
      <w:r w:rsidR="001055F6">
        <w:rPr>
          <w:sz w:val="22"/>
        </w:rPr>
        <w:t>20</w:t>
      </w:r>
      <w:r w:rsidR="00EB6BEB">
        <w:rPr>
          <w:sz w:val="22"/>
        </w:rPr>
        <w:t>13</w:t>
      </w:r>
    </w:p>
    <w:p w:rsidR="00AE3ADA" w:rsidRPr="00311F37" w:rsidRDefault="00EB6BEB" w:rsidP="00311F37">
      <w:pPr>
        <w:tabs>
          <w:tab w:val="clear" w:pos="794"/>
          <w:tab w:val="clear" w:pos="1191"/>
          <w:tab w:val="clear" w:pos="1588"/>
          <w:tab w:val="clear" w:pos="1985"/>
        </w:tabs>
        <w:overflowPunct/>
        <w:textAlignment w:val="auto"/>
        <w:rPr>
          <w:sz w:val="22"/>
        </w:rPr>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A8419C">
          <w:headerReference w:type="even" r:id="rId11"/>
          <w:footerReference w:type="default" r:id="rId12"/>
          <w:pgSz w:w="11907" w:h="16834" w:code="9"/>
          <w:pgMar w:top="1089" w:right="1089" w:bottom="1089" w:left="1089" w:header="482" w:footer="482" w:gutter="0"/>
          <w:paperSrc w:first="15" w:other="15"/>
          <w:cols w:space="720"/>
          <w:docGrid w:linePitch="326"/>
        </w:sectPr>
      </w:pPr>
      <w:bookmarkStart w:id="9" w:name="p1rectextf"/>
      <w:bookmarkEnd w:id="9"/>
    </w:p>
    <w:p w:rsidR="00B85D56" w:rsidRPr="00CA354B" w:rsidRDefault="00B85D56" w:rsidP="00B85D56">
      <w:pPr>
        <w:pStyle w:val="enumlev1"/>
        <w:rPr>
          <w:lang w:val="fr-CH" w:eastAsia="it-IT"/>
        </w:rPr>
      </w:pPr>
    </w:p>
    <w:p w:rsidR="00753F3F" w:rsidRPr="00753F3F" w:rsidRDefault="00753F3F" w:rsidP="00753F3F">
      <w:pPr>
        <w:pStyle w:val="ResNo"/>
        <w:jc w:val="center"/>
        <w:rPr>
          <w:b w:val="0"/>
          <w:lang w:val="fr-CH"/>
        </w:rPr>
      </w:pPr>
      <w:r w:rsidRPr="00753F3F">
        <w:rPr>
          <w:b w:val="0"/>
          <w:lang w:val="fr-CH"/>
        </w:rPr>
        <w:t xml:space="preserve">RÉSOLUTION </w:t>
      </w:r>
      <w:r w:rsidRPr="00753F3F">
        <w:rPr>
          <w:rStyle w:val="href"/>
          <w:b w:val="0"/>
          <w:lang w:val="fr-CH"/>
        </w:rPr>
        <w:t>57</w:t>
      </w:r>
      <w:r w:rsidRPr="00753F3F">
        <w:rPr>
          <w:b w:val="0"/>
          <w:lang w:val="fr-CH"/>
        </w:rPr>
        <w:t xml:space="preserve"> (Rév. Dubaï, 2012)</w:t>
      </w:r>
    </w:p>
    <w:p w:rsidR="00753F3F" w:rsidRPr="005515DB" w:rsidRDefault="00753F3F" w:rsidP="00753F3F">
      <w:pPr>
        <w:pStyle w:val="Restitle"/>
      </w:pPr>
      <w:r w:rsidRPr="005515DB">
        <w:t xml:space="preserve">Renforcer la coordination et la coopération entre </w:t>
      </w:r>
      <w:r>
        <w:t xml:space="preserve">les trois Secteurs de </w:t>
      </w:r>
      <w:r w:rsidRPr="005515DB">
        <w:t xml:space="preserve">l'UIT </w:t>
      </w:r>
      <w:r>
        <w:br/>
      </w:r>
      <w:r w:rsidRPr="005515DB">
        <w:t>sur des questions d'intérêt mutuel</w:t>
      </w:r>
    </w:p>
    <w:p w:rsidR="00753F3F" w:rsidRPr="005515DB" w:rsidRDefault="00753F3F" w:rsidP="00753F3F">
      <w:pPr>
        <w:pStyle w:val="Resref"/>
      </w:pPr>
      <w:r w:rsidRPr="005515DB">
        <w:t>(Johannesburg, 2008; Dubaï, 2012)</w:t>
      </w:r>
    </w:p>
    <w:p w:rsidR="00753F3F" w:rsidRPr="00C93F94" w:rsidRDefault="00753F3F" w:rsidP="00753F3F">
      <w:pPr>
        <w:pStyle w:val="Normalaftertitle0"/>
        <w:rPr>
          <w:lang w:val="fr-CH"/>
        </w:rPr>
      </w:pPr>
      <w:r w:rsidRPr="00C93F94">
        <w:rPr>
          <w:lang w:val="fr-CH"/>
        </w:rPr>
        <w:t>L'Assemblée mondiale de normalisation des télécommunications (Dubaï, 2012),</w:t>
      </w:r>
    </w:p>
    <w:p w:rsidR="00753F3F" w:rsidRPr="005515DB" w:rsidRDefault="00753F3F" w:rsidP="00753F3F">
      <w:pPr>
        <w:pStyle w:val="Call"/>
      </w:pPr>
      <w:r w:rsidRPr="005515DB">
        <w:t>considérant</w:t>
      </w:r>
    </w:p>
    <w:p w:rsidR="00753F3F" w:rsidRPr="005515DB" w:rsidRDefault="00753F3F" w:rsidP="00753F3F">
      <w:r w:rsidRPr="005515DB">
        <w:rPr>
          <w:i/>
          <w:iCs/>
        </w:rPr>
        <w:t>a)</w:t>
      </w:r>
      <w:r w:rsidRPr="005515DB">
        <w:tab/>
        <w:t>qu'un principe fondamental régissant la coopération et la collaboration entre le Secteur des radiocommunications de l'UIT (UIT-R), le Secteur de la normalisation des télécommunications de l'UIT (UIT-T) et le Secteur du développement des télécommunications de l'UIT (UIT-D) est la nécessité d'éviter que les activités des Secteurs ne fassent double emploi et de veiller à ce que les travaux soient entrepris de façon efficiente et efficace;</w:t>
      </w:r>
    </w:p>
    <w:p w:rsidR="00753F3F" w:rsidRPr="005515DB" w:rsidRDefault="00753F3F" w:rsidP="00753F3F">
      <w:r w:rsidRPr="005515DB">
        <w:rPr>
          <w:i/>
          <w:iCs/>
        </w:rPr>
        <w:t>b)</w:t>
      </w:r>
      <w:r w:rsidRPr="005515DB">
        <w:tab/>
        <w:t>que les sujets d'intérêt et de préoccupation mutuels pour tous les Secteurs sont de plus en plus nombreux et comprennent notamment la compatibilité électromagnétique, les télécommunications mobiles internationales (IMT), les intergiciels, la diffusion audiovisuelle, l'accessibilité pour les personnes handicapées, les communications d'urgence, les TIC et le</w:t>
      </w:r>
      <w:r>
        <w:t>s</w:t>
      </w:r>
      <w:r w:rsidRPr="005515DB">
        <w:t xml:space="preserve"> changement</w:t>
      </w:r>
      <w:r>
        <w:t>s</w:t>
      </w:r>
      <w:r w:rsidRPr="005515DB">
        <w:t xml:space="preserve"> climatique</w:t>
      </w:r>
      <w:r>
        <w:t>s</w:t>
      </w:r>
      <w:r w:rsidRPr="005515DB">
        <w:t xml:space="preserve"> et la cybersécurité,</w:t>
      </w:r>
    </w:p>
    <w:p w:rsidR="00753F3F" w:rsidRPr="005515DB" w:rsidRDefault="00753F3F" w:rsidP="00753F3F">
      <w:pPr>
        <w:pStyle w:val="Call"/>
      </w:pPr>
      <w:r w:rsidRPr="005515DB">
        <w:t>reconnaissant</w:t>
      </w:r>
    </w:p>
    <w:p w:rsidR="00753F3F" w:rsidRPr="005515DB" w:rsidRDefault="00753F3F" w:rsidP="00753F3F">
      <w:r w:rsidRPr="005515DB">
        <w:rPr>
          <w:i/>
          <w:iCs/>
        </w:rPr>
        <w:t>a)</w:t>
      </w:r>
      <w:r w:rsidRPr="005515DB">
        <w:tab/>
        <w:t>qu'il est nécessaire d'améliorer la participation des pays en développement</w:t>
      </w:r>
      <w:r w:rsidRPr="005515DB">
        <w:rPr>
          <w:rStyle w:val="FootnoteReference"/>
        </w:rPr>
        <w:footnoteReference w:customMarkFollows="1" w:id="1"/>
        <w:t>1</w:t>
      </w:r>
      <w:r w:rsidRPr="005515DB">
        <w:t xml:space="preserve"> aux travaux de l'UIT, comme indiqué dans la Résolution 5 (Rév.</w:t>
      </w:r>
      <w:r>
        <w:t xml:space="preserve"> </w:t>
      </w:r>
      <w:r w:rsidRPr="005515DB">
        <w:t>Hyderabad, 2010) de la Conférence mondiale de développement des télécommunications;</w:t>
      </w:r>
    </w:p>
    <w:p w:rsidR="00753F3F" w:rsidRPr="005515DB" w:rsidRDefault="00753F3F" w:rsidP="00753F3F">
      <w:r w:rsidRPr="005515DB">
        <w:rPr>
          <w:i/>
          <w:iCs/>
        </w:rPr>
        <w:t>b)</w:t>
      </w:r>
      <w:r w:rsidRPr="005515DB">
        <w:tab/>
        <w:t>qu'un mécanisme – l'équipe intersectorielle pour les télécommunications d'urgence – a été créé afin d'assurer une collaboration étroite sur cette question fondamentale et prioritaire pour l'Union, non seulement au sein de l'Union tout entière, mais également avec les entités et organisations extérieures à l'UIT intéressées;</w:t>
      </w:r>
    </w:p>
    <w:p w:rsidR="00753F3F" w:rsidRPr="005515DB" w:rsidRDefault="00753F3F" w:rsidP="00753F3F">
      <w:r w:rsidRPr="005515DB">
        <w:rPr>
          <w:i/>
          <w:iCs/>
        </w:rPr>
        <w:t>c)</w:t>
      </w:r>
      <w:r w:rsidRPr="005515DB">
        <w:tab/>
        <w:t>que tous les groupes consultatifs collaborent à la mise en œuvre de la Résolution 123 (Rév. Guadalajara, 2010) de la Conférence de plénipotentiaires, relative à la réduction de l'écart qui existe en matière de normalisation entre pays en développement et pays développés,</w:t>
      </w:r>
    </w:p>
    <w:p w:rsidR="00753F3F" w:rsidRPr="005515DB" w:rsidRDefault="00753F3F" w:rsidP="00753F3F">
      <w:pPr>
        <w:pStyle w:val="Call"/>
      </w:pPr>
      <w:r w:rsidRPr="005515DB">
        <w:t>tenant compte</w:t>
      </w:r>
    </w:p>
    <w:p w:rsidR="00753F3F" w:rsidRPr="005515DB" w:rsidRDefault="00753F3F" w:rsidP="00753F3F">
      <w:r w:rsidRPr="005515DB">
        <w:rPr>
          <w:i/>
          <w:iCs/>
        </w:rPr>
        <w:t>a)</w:t>
      </w:r>
      <w:r w:rsidRPr="005515DB">
        <w:tab/>
        <w:t>de la nécessité de définir des mécanismes de coopération, en plus de ceux déjà établis, pour tenir compte du nombre croissant de sujets d'intérêt et de préoccupation mutuels pour l'UIT-R, l'UIT-T et l'UIT-D;</w:t>
      </w:r>
    </w:p>
    <w:p w:rsidR="00753F3F" w:rsidRPr="005515DB" w:rsidRDefault="00753F3F" w:rsidP="00753F3F">
      <w:r w:rsidRPr="005515DB">
        <w:rPr>
          <w:i/>
          <w:iCs/>
        </w:rPr>
        <w:t>b)</w:t>
      </w:r>
      <w:r w:rsidRPr="005515DB">
        <w:tab/>
        <w:t>des consultations en cours entre les représentants des trois organes consultatifs dans le cadre de l'examen des modalités permettant de renforcer la coopération entre les groupes consultatifs,</w:t>
      </w:r>
    </w:p>
    <w:p w:rsidR="00753F3F" w:rsidRPr="005515DB" w:rsidRDefault="00753F3F" w:rsidP="00753F3F">
      <w:pPr>
        <w:pStyle w:val="Call"/>
      </w:pPr>
      <w:r>
        <w:br w:type="page"/>
      </w:r>
      <w:r w:rsidRPr="005515DB">
        <w:lastRenderedPageBreak/>
        <w:t>décide</w:t>
      </w:r>
    </w:p>
    <w:p w:rsidR="00753F3F" w:rsidRPr="005515DB" w:rsidRDefault="00753F3F" w:rsidP="00753F3F">
      <w:r w:rsidRPr="005515DB">
        <w:t>1</w:t>
      </w:r>
      <w:r w:rsidRPr="005515DB">
        <w:tab/>
        <w:t>d'inviter les Groupes consultatifs des radiocommunications (GCR), de la normalisation des télécommunications (GCNT) et du développement des télécommunications (GCDT) à apporter leur assistance pour identifier les sujets communs aux trois Secteurs et les mécanismes visant à renforcer la coopération et la collaboration dans tous les Secteurs sur les questions présentant pour eux un intérêt commun;</w:t>
      </w:r>
    </w:p>
    <w:p w:rsidR="00753F3F" w:rsidRDefault="00753F3F" w:rsidP="00753F3F">
      <w:pPr>
        <w:rPr>
          <w:lang w:val="fr-CH"/>
        </w:rPr>
      </w:pPr>
      <w:r w:rsidRPr="005515DB">
        <w:t>2</w:t>
      </w:r>
      <w:r w:rsidRPr="005515DB">
        <w:tab/>
        <w:t>d'inviter les Directeurs du Bureau des radiocommunications (BR), du Bureau de la normalisation des télécommunications (TSB) et du Bureau de développement des télécommunications (BDT) à collaborer et à faire rapport à l'organe consultatif du Secteur correspondant sur les choix qui se présentent pour améliorer la coopération au niveau du secrétariat afin que la coordinatio</w:t>
      </w:r>
      <w:r>
        <w:t>n soit la plus étroite possible</w:t>
      </w:r>
      <w:r w:rsidRPr="00C93F94">
        <w:rPr>
          <w:lang w:val="fr-CH"/>
        </w:rPr>
        <w:t>.</w:t>
      </w:r>
    </w:p>
    <w:p w:rsidR="00753F3F" w:rsidRDefault="00753F3F" w:rsidP="00753F3F">
      <w:pPr>
        <w:rPr>
          <w:lang w:val="fr-CH"/>
        </w:rPr>
      </w:pPr>
    </w:p>
    <w:p w:rsidR="00753F3F" w:rsidRDefault="00753F3F" w:rsidP="00753F3F">
      <w:pPr>
        <w:rPr>
          <w:lang w:val="fr-CH"/>
        </w:rPr>
      </w:pPr>
    </w:p>
    <w:p w:rsidR="00753F3F" w:rsidRDefault="00753F3F" w:rsidP="00753F3F">
      <w:pPr>
        <w:rPr>
          <w:lang w:val="fr-CH"/>
        </w:rPr>
      </w:pPr>
    </w:p>
    <w:p w:rsidR="00753F3F" w:rsidRDefault="00753F3F" w:rsidP="00753F3F">
      <w:pPr>
        <w:rPr>
          <w:lang w:val="fr-CH"/>
        </w:rPr>
      </w:pPr>
    </w:p>
    <w:p w:rsidR="00753F3F" w:rsidRDefault="00753F3F" w:rsidP="00753F3F">
      <w:pPr>
        <w:rPr>
          <w:lang w:val="fr-CH"/>
        </w:rPr>
      </w:pPr>
    </w:p>
    <w:p w:rsidR="00753F3F" w:rsidRDefault="00753F3F" w:rsidP="00753F3F">
      <w:pPr>
        <w:rPr>
          <w:lang w:val="fr-CH"/>
        </w:rPr>
      </w:pPr>
    </w:p>
    <w:p w:rsidR="00753F3F" w:rsidRDefault="00753F3F" w:rsidP="00753F3F">
      <w:pPr>
        <w:rPr>
          <w:lang w:val="fr-CH"/>
        </w:rPr>
      </w:pPr>
    </w:p>
    <w:p w:rsidR="00753F3F" w:rsidRDefault="00753F3F" w:rsidP="00753F3F">
      <w:pPr>
        <w:rPr>
          <w:lang w:val="fr-CH"/>
        </w:rPr>
      </w:pPr>
    </w:p>
    <w:p w:rsidR="00753F3F" w:rsidRDefault="00753F3F" w:rsidP="00753F3F">
      <w:pPr>
        <w:rPr>
          <w:lang w:val="fr-CH"/>
        </w:rPr>
      </w:pPr>
    </w:p>
    <w:p w:rsidR="00753F3F" w:rsidRDefault="00753F3F" w:rsidP="00753F3F">
      <w:pPr>
        <w:rPr>
          <w:lang w:val="fr-CH"/>
        </w:rPr>
      </w:pPr>
    </w:p>
    <w:p w:rsidR="00753F3F" w:rsidRDefault="00753F3F" w:rsidP="00753F3F">
      <w:pPr>
        <w:rPr>
          <w:lang w:val="fr-CH"/>
        </w:rPr>
      </w:pPr>
    </w:p>
    <w:p w:rsidR="00753F3F" w:rsidRDefault="00753F3F" w:rsidP="00753F3F">
      <w:pPr>
        <w:rPr>
          <w:lang w:val="fr-CH"/>
        </w:rPr>
      </w:pPr>
    </w:p>
    <w:p w:rsidR="00753F3F" w:rsidRDefault="00753F3F" w:rsidP="00753F3F">
      <w:pPr>
        <w:rPr>
          <w:lang w:val="fr-CH"/>
        </w:rPr>
      </w:pPr>
    </w:p>
    <w:p w:rsidR="00753F3F" w:rsidRDefault="00753F3F" w:rsidP="00753F3F">
      <w:pPr>
        <w:rPr>
          <w:lang w:val="fr-CH"/>
        </w:rPr>
      </w:pPr>
    </w:p>
    <w:p w:rsidR="00753F3F" w:rsidRDefault="00753F3F" w:rsidP="00753F3F">
      <w:pPr>
        <w:rPr>
          <w:lang w:val="fr-CH"/>
        </w:rPr>
      </w:pPr>
    </w:p>
    <w:p w:rsidR="00311F37" w:rsidRPr="001B4BEB" w:rsidRDefault="00311F37" w:rsidP="00EB6BEB">
      <w:pPr>
        <w:spacing w:before="160" w:line="280" w:lineRule="exact"/>
      </w:pPr>
    </w:p>
    <w:sectPr w:rsidR="00311F37" w:rsidRPr="001B4BEB" w:rsidSect="0060631F">
      <w:headerReference w:type="default" r:id="rId13"/>
      <w:footerReference w:type="even" r:id="rId14"/>
      <w:footerReference w:type="default" r:id="rId15"/>
      <w:footnotePr>
        <w:pos w:val="beneathText"/>
        <w:numRestart w:val="eachSect"/>
      </w:footnotePr>
      <w:pgSz w:w="11907" w:h="16834" w:code="9"/>
      <w:pgMar w:top="1134" w:right="1134" w:bottom="1134" w:left="1134" w:header="567" w:footer="567" w:gutter="0"/>
      <w:paperSrc w:first="15" w:other="15"/>
      <w:pgNumType w:start="1"/>
      <w:cols w:space="720"/>
      <w:vAlign w:val="both"/>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477" w:rsidRDefault="00BA1477">
      <w:r>
        <w:separator/>
      </w:r>
    </w:p>
  </w:endnote>
  <w:endnote w:type="continuationSeparator" w:id="0">
    <w:p w:rsidR="00BA1477" w:rsidRDefault="00BA14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9C" w:rsidRDefault="00A8419C" w:rsidP="00A8419C">
    <w:pPr>
      <w:pStyle w:val="FooterQP"/>
      <w:rPr>
        <w:b w:val="0"/>
        <w:lang w:val="en-US"/>
      </w:rPr>
    </w:pPr>
    <w:r>
      <w:tab/>
    </w:r>
    <w:r>
      <w:tab/>
      <w:t>AMNT</w:t>
    </w:r>
    <w:r>
      <w:rPr>
        <w:lang w:val="en-US"/>
      </w:rPr>
      <w:t>-12 – Résolution 1</w:t>
    </w:r>
    <w:r>
      <w:rPr>
        <w:lang w:val="en-US"/>
      </w:rPr>
      <w:tab/>
    </w:r>
    <w:r w:rsidR="003C08F0">
      <w:rPr>
        <w:b w:val="0"/>
        <w:lang w:val="en-US"/>
      </w:rPr>
      <w:fldChar w:fldCharType="begin"/>
    </w:r>
    <w:r>
      <w:rPr>
        <w:b w:val="0"/>
        <w:lang w:val="en-US"/>
      </w:rPr>
      <w:instrText xml:space="preserve"> PAGE  \* MERGEFORMAT </w:instrText>
    </w:r>
    <w:r w:rsidR="003C08F0">
      <w:rPr>
        <w:b w:val="0"/>
        <w:lang w:val="en-US"/>
      </w:rPr>
      <w:fldChar w:fldCharType="separate"/>
    </w:r>
    <w:r w:rsidR="00F51075">
      <w:rPr>
        <w:b w:val="0"/>
        <w:noProof/>
        <w:lang w:val="en-US"/>
      </w:rPr>
      <w:t>3</w:t>
    </w:r>
    <w:r w:rsidR="003C08F0">
      <w:rPr>
        <w:b w:val="0"/>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B155BB" w:rsidRDefault="003C08F0" w:rsidP="00B155BB">
    <w:pPr>
      <w:pStyle w:val="FooterQP"/>
      <w:tabs>
        <w:tab w:val="clear" w:pos="907"/>
        <w:tab w:val="left" w:pos="851"/>
      </w:tabs>
      <w:rPr>
        <w:lang w:val="fr-CH"/>
      </w:rPr>
    </w:pPr>
    <w:r>
      <w:rPr>
        <w:b w:val="0"/>
      </w:rPr>
      <w:fldChar w:fldCharType="begin"/>
    </w:r>
    <w:r w:rsidR="006D3511" w:rsidRPr="00B155BB">
      <w:rPr>
        <w:b w:val="0"/>
        <w:lang w:val="fr-CH"/>
      </w:rPr>
      <w:instrText xml:space="preserve"> PAGE  \* MERGEFORMAT </w:instrText>
    </w:r>
    <w:r>
      <w:rPr>
        <w:b w:val="0"/>
      </w:rPr>
      <w:fldChar w:fldCharType="separate"/>
    </w:r>
    <w:r w:rsidR="00753F3F">
      <w:rPr>
        <w:b w:val="0"/>
        <w:noProof/>
        <w:lang w:val="fr-CH"/>
      </w:rPr>
      <w:t>2</w:t>
    </w:r>
    <w:r>
      <w:rPr>
        <w:b w:val="0"/>
      </w:rPr>
      <w:fldChar w:fldCharType="end"/>
    </w:r>
    <w:r w:rsidR="006D3511" w:rsidRPr="00B155BB">
      <w:rPr>
        <w:lang w:val="fr-CH"/>
      </w:rPr>
      <w:tab/>
    </w:r>
    <w:r w:rsidR="006D3511">
      <w:rPr>
        <w:lang w:val="fr-CH"/>
      </w:rPr>
      <w:t>AMNT-12</w:t>
    </w:r>
    <w:r w:rsidR="006D3511" w:rsidRPr="00415608">
      <w:rPr>
        <w:lang w:val="fr-CH"/>
      </w:rPr>
      <w:t xml:space="preserve"> – </w:t>
    </w:r>
    <w:r w:rsidR="006D3511">
      <w:rPr>
        <w:lang w:val="fr-CH"/>
      </w:rPr>
      <w:t xml:space="preserve">Résolution </w:t>
    </w:r>
    <w:r w:rsidR="00753F3F">
      <w:rPr>
        <w:lang w:val="fr-CH"/>
      </w:rPr>
      <w:t>57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415608" w:rsidRDefault="006D3511" w:rsidP="00415608">
    <w:pPr>
      <w:pStyle w:val="FooterQP"/>
      <w:rPr>
        <w:b w:val="0"/>
        <w:lang w:val="fr-CH"/>
      </w:rPr>
    </w:pPr>
    <w:r>
      <w:tab/>
    </w:r>
    <w:r>
      <w:tab/>
    </w:r>
    <w:r>
      <w:rPr>
        <w:lang w:val="fr-CH"/>
      </w:rPr>
      <w:t>AMNT-12</w:t>
    </w:r>
    <w:r w:rsidRPr="00415608">
      <w:rPr>
        <w:lang w:val="fr-CH"/>
      </w:rPr>
      <w:t xml:space="preserve"> – </w:t>
    </w:r>
    <w:r>
      <w:rPr>
        <w:lang w:val="fr-CH"/>
      </w:rPr>
      <w:t xml:space="preserve">Résolution </w:t>
    </w:r>
    <w:r w:rsidR="00753F3F">
      <w:rPr>
        <w:lang w:val="fr-CH"/>
      </w:rPr>
      <w:t>57</w:t>
    </w:r>
    <w:r w:rsidRPr="00415608">
      <w:rPr>
        <w:lang w:val="fr-CH"/>
      </w:rPr>
      <w:tab/>
    </w:r>
    <w:r w:rsidR="003C08F0">
      <w:rPr>
        <w:b w:val="0"/>
      </w:rPr>
      <w:fldChar w:fldCharType="begin"/>
    </w:r>
    <w:r w:rsidRPr="00415608">
      <w:rPr>
        <w:b w:val="0"/>
        <w:lang w:val="fr-CH"/>
      </w:rPr>
      <w:instrText xml:space="preserve"> PAGE  \* MERGEFORMAT </w:instrText>
    </w:r>
    <w:r w:rsidR="003C08F0">
      <w:rPr>
        <w:b w:val="0"/>
      </w:rPr>
      <w:fldChar w:fldCharType="separate"/>
    </w:r>
    <w:r w:rsidR="00753F3F">
      <w:rPr>
        <w:b w:val="0"/>
        <w:noProof/>
        <w:lang w:val="fr-CH"/>
      </w:rPr>
      <w:t>1</w:t>
    </w:r>
    <w:r w:rsidR="003C08F0">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477" w:rsidRDefault="00BA1477">
      <w:r>
        <w:t>____________________</w:t>
      </w:r>
    </w:p>
  </w:footnote>
  <w:footnote w:type="continuationSeparator" w:id="0">
    <w:p w:rsidR="00BA1477" w:rsidRDefault="00BA1477">
      <w:r>
        <w:continuationSeparator/>
      </w:r>
    </w:p>
  </w:footnote>
  <w:footnote w:id="1">
    <w:p w:rsidR="00753F3F" w:rsidRPr="009C1966" w:rsidRDefault="00753F3F" w:rsidP="00753F3F">
      <w:pPr>
        <w:pStyle w:val="FootnoteText"/>
      </w:pPr>
      <w:r>
        <w:rPr>
          <w:rStyle w:val="FootnoteReference"/>
        </w:rPr>
        <w:t>1</w:t>
      </w:r>
      <w:r>
        <w:tab/>
      </w:r>
      <w:r w:rsidRPr="0018238E">
        <w:rPr>
          <w:lang w:val="fr-CH"/>
        </w:rPr>
        <w:t>Les pays en développement comprennent aussi les pays les moins avancés, les petits Etats insulaires en développement</w:t>
      </w:r>
      <w:r>
        <w:rPr>
          <w:lang w:val="fr-CH"/>
        </w:rPr>
        <w:t>, les pays en développement sans littoral</w:t>
      </w:r>
      <w:r w:rsidRPr="0018238E">
        <w:rPr>
          <w:lang w:val="fr-CH"/>
        </w:rPr>
        <w:t xml:space="preserve"> et les pays dont l'économie est en transition.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75" w:rsidRDefault="003C08F0">
    <w:pPr>
      <w:pStyle w:val="Header"/>
    </w:pPr>
    <w:r>
      <w:rPr>
        <w:noProof/>
        <w:lang w:val="en-US" w:eastAsia="zh-CN"/>
      </w:rPr>
      <w:pict>
        <v:shapetype id="_x0000_t202" coordsize="21600,21600" o:spt="202" path="m,l,21600r21600,l21600,xe">
          <v:stroke joinstyle="miter"/>
          <v:path gradientshapeok="t" o:connecttype="rect"/>
        </v:shapetype>
        <v:shape id="Text Box 6" o:spid="_x0000_s4099" type="#_x0000_t202" style="position:absolute;left:0;text-align:left;margin-left:-43.2pt;margin-top:29.6pt;width:40.85pt;height:497.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3C08F0" w:rsidP="00F51075">
                <w:pPr>
                  <w:pStyle w:val="FooterQP"/>
                  <w:rPr>
                    <w:lang w:val="fr-CH"/>
                  </w:rPr>
                </w:pPr>
                <w:r w:rsidRPr="002D6EB1">
                  <w:rPr>
                    <w:b w:val="0"/>
                  </w:rPr>
                  <w:fldChar w:fldCharType="begin"/>
                </w:r>
                <w:r w:rsidR="00F51075"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00F51075" w:rsidRPr="008B3C20">
                  <w:rPr>
                    <w:b w:val="0"/>
                    <w:lang w:val="fr-CH"/>
                  </w:rPr>
                  <w:t xml:space="preserve">           </w:t>
                </w:r>
                <w:r w:rsidR="00F51075" w:rsidRPr="008B3C20">
                  <w:rPr>
                    <w:lang w:val="fr-CH"/>
                  </w:rPr>
                  <w:t xml:space="preserve">AMNT-12 – Actes – Partie </w:t>
                </w:r>
                <w:r w:rsidR="00F51075">
                  <w:rPr>
                    <w:lang w:val="fr-CH"/>
                  </w:rPr>
                  <w:t>1</w:t>
                </w:r>
                <w:r w:rsidR="00F51075" w:rsidRPr="008B3C20">
                  <w:rPr>
                    <w:lang w:val="fr-CH"/>
                  </w:rPr>
                  <w:t xml:space="preserve"> – Résolution</w:t>
                </w:r>
                <w:r w:rsidR="00F51075">
                  <w:rPr>
                    <w:lang w:val="fr-CH"/>
                  </w:rPr>
                  <w:t xml:space="preserve"> 1</w:t>
                </w:r>
                <w:r w:rsidR="00F51075" w:rsidRPr="008B3C20">
                  <w:rPr>
                    <w:lang w:val="fr-CH"/>
                  </w:rPr>
                  <w:t xml:space="preserve">      </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10" w:rsidRDefault="00C42B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9702EA" w:rsidRDefault="00BA1477" w:rsidP="009702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001"/>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4E489E"/>
    <w:rsid w:val="00016113"/>
    <w:rsid w:val="00022334"/>
    <w:rsid w:val="00025C87"/>
    <w:rsid w:val="00034872"/>
    <w:rsid w:val="000B79FF"/>
    <w:rsid w:val="000C20AB"/>
    <w:rsid w:val="000D3895"/>
    <w:rsid w:val="000D4593"/>
    <w:rsid w:val="000F00AF"/>
    <w:rsid w:val="000F2D02"/>
    <w:rsid w:val="000F3A4D"/>
    <w:rsid w:val="001055F6"/>
    <w:rsid w:val="00123BBC"/>
    <w:rsid w:val="00135E39"/>
    <w:rsid w:val="00142260"/>
    <w:rsid w:val="00146B46"/>
    <w:rsid w:val="001509F1"/>
    <w:rsid w:val="001911E3"/>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794F"/>
    <w:rsid w:val="002923F1"/>
    <w:rsid w:val="002952C6"/>
    <w:rsid w:val="002C3A8D"/>
    <w:rsid w:val="002C7353"/>
    <w:rsid w:val="002E2CFB"/>
    <w:rsid w:val="002F08F4"/>
    <w:rsid w:val="002F55D0"/>
    <w:rsid w:val="00311192"/>
    <w:rsid w:val="00311F37"/>
    <w:rsid w:val="0031393D"/>
    <w:rsid w:val="0035602D"/>
    <w:rsid w:val="00364794"/>
    <w:rsid w:val="00372E35"/>
    <w:rsid w:val="0039710E"/>
    <w:rsid w:val="003A55FD"/>
    <w:rsid w:val="003B42BC"/>
    <w:rsid w:val="003C08F0"/>
    <w:rsid w:val="003E424C"/>
    <w:rsid w:val="00436471"/>
    <w:rsid w:val="0045738E"/>
    <w:rsid w:val="004A196C"/>
    <w:rsid w:val="004A2271"/>
    <w:rsid w:val="004B2A84"/>
    <w:rsid w:val="004B4ADF"/>
    <w:rsid w:val="004E489E"/>
    <w:rsid w:val="00532E38"/>
    <w:rsid w:val="005363D3"/>
    <w:rsid w:val="00542D7C"/>
    <w:rsid w:val="00555BC4"/>
    <w:rsid w:val="005939B4"/>
    <w:rsid w:val="00594048"/>
    <w:rsid w:val="005C3A2B"/>
    <w:rsid w:val="00605426"/>
    <w:rsid w:val="006559DE"/>
    <w:rsid w:val="00670808"/>
    <w:rsid w:val="006734F6"/>
    <w:rsid w:val="006D34A0"/>
    <w:rsid w:val="006D3511"/>
    <w:rsid w:val="006E0DB1"/>
    <w:rsid w:val="006F6569"/>
    <w:rsid w:val="007175CA"/>
    <w:rsid w:val="00736828"/>
    <w:rsid w:val="0074364C"/>
    <w:rsid w:val="00753F3F"/>
    <w:rsid w:val="0075696E"/>
    <w:rsid w:val="00762D2E"/>
    <w:rsid w:val="00770007"/>
    <w:rsid w:val="007E0A86"/>
    <w:rsid w:val="0080529A"/>
    <w:rsid w:val="00814657"/>
    <w:rsid w:val="008225FB"/>
    <w:rsid w:val="00832238"/>
    <w:rsid w:val="00840DD3"/>
    <w:rsid w:val="00890C03"/>
    <w:rsid w:val="00895013"/>
    <w:rsid w:val="008968B6"/>
    <w:rsid w:val="008A4C14"/>
    <w:rsid w:val="008B1654"/>
    <w:rsid w:val="008B5637"/>
    <w:rsid w:val="008B7A32"/>
    <w:rsid w:val="009051DF"/>
    <w:rsid w:val="00905B9E"/>
    <w:rsid w:val="00913010"/>
    <w:rsid w:val="00927BFB"/>
    <w:rsid w:val="00935D28"/>
    <w:rsid w:val="00970ECA"/>
    <w:rsid w:val="009B173B"/>
    <w:rsid w:val="009B27D0"/>
    <w:rsid w:val="009F107E"/>
    <w:rsid w:val="00A20553"/>
    <w:rsid w:val="00A25654"/>
    <w:rsid w:val="00A81CCC"/>
    <w:rsid w:val="00A8419C"/>
    <w:rsid w:val="00A937E0"/>
    <w:rsid w:val="00AC622B"/>
    <w:rsid w:val="00AC6AA3"/>
    <w:rsid w:val="00AE3ADA"/>
    <w:rsid w:val="00AE7F0A"/>
    <w:rsid w:val="00B62C56"/>
    <w:rsid w:val="00B758AA"/>
    <w:rsid w:val="00B85D56"/>
    <w:rsid w:val="00B9040E"/>
    <w:rsid w:val="00BA1477"/>
    <w:rsid w:val="00BD71E4"/>
    <w:rsid w:val="00C25EAA"/>
    <w:rsid w:val="00C26282"/>
    <w:rsid w:val="00C31070"/>
    <w:rsid w:val="00C36D4E"/>
    <w:rsid w:val="00C42B10"/>
    <w:rsid w:val="00C50F7A"/>
    <w:rsid w:val="00C97C18"/>
    <w:rsid w:val="00CA4BF1"/>
    <w:rsid w:val="00CA53FC"/>
    <w:rsid w:val="00CB2074"/>
    <w:rsid w:val="00CF559F"/>
    <w:rsid w:val="00D17C6A"/>
    <w:rsid w:val="00D43879"/>
    <w:rsid w:val="00D70EE6"/>
    <w:rsid w:val="00D7733B"/>
    <w:rsid w:val="00D77498"/>
    <w:rsid w:val="00D819A4"/>
    <w:rsid w:val="00D833C9"/>
    <w:rsid w:val="00D84836"/>
    <w:rsid w:val="00DD5C3D"/>
    <w:rsid w:val="00DF1309"/>
    <w:rsid w:val="00E143D1"/>
    <w:rsid w:val="00E15C07"/>
    <w:rsid w:val="00E17E4E"/>
    <w:rsid w:val="00E213F4"/>
    <w:rsid w:val="00E60FAB"/>
    <w:rsid w:val="00E64849"/>
    <w:rsid w:val="00E80E40"/>
    <w:rsid w:val="00EB67B3"/>
    <w:rsid w:val="00EB6BEB"/>
    <w:rsid w:val="00EC12B6"/>
    <w:rsid w:val="00EE6B43"/>
    <w:rsid w:val="00F05524"/>
    <w:rsid w:val="00F23C79"/>
    <w:rsid w:val="00F37CBC"/>
    <w:rsid w:val="00F51075"/>
    <w:rsid w:val="00F60B83"/>
    <w:rsid w:val="00FA7344"/>
    <w:rsid w:val="00FD1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B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fr-FR" w:eastAsia="en-US"/>
    </w:rPr>
  </w:style>
  <w:style w:type="paragraph" w:styleId="Heading1">
    <w:name w:val="heading 1"/>
    <w:basedOn w:val="Normal"/>
    <w:next w:val="Normal"/>
    <w:qFormat/>
    <w:rsid w:val="00123BBC"/>
    <w:pPr>
      <w:keepNext/>
      <w:keepLines/>
      <w:spacing w:before="360"/>
      <w:ind w:left="794" w:hanging="794"/>
      <w:jc w:val="left"/>
      <w:outlineLvl w:val="0"/>
    </w:pPr>
    <w:rPr>
      <w:b/>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123BBC"/>
    <w:pPr>
      <w:keepLines/>
      <w:tabs>
        <w:tab w:val="left" w:pos="255"/>
      </w:tabs>
      <w:ind w:left="255" w:hanging="255"/>
    </w:pPr>
  </w:style>
  <w:style w:type="paragraph" w:customStyle="1" w:styleId="Note">
    <w:name w:val="Note"/>
    <w:basedOn w:val="Normal"/>
    <w:link w:val="NoteChar"/>
    <w:rsid w:val="00123BBC"/>
    <w:pPr>
      <w:spacing w:before="80"/>
    </w:pPr>
    <w:rPr>
      <w:sz w:val="22"/>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link w:val="ResNoChar"/>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uiPriority w:val="99"/>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311F37"/>
    <w:rPr>
      <w:rFonts w:cs="Times New Roman"/>
      <w:sz w:val="22"/>
      <w:lang w:val="fr-FR" w:eastAsia="en-US" w:bidi="ar-SA"/>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sz w:val="22"/>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EB6BEB"/>
    <w:rPr>
      <w:rFonts w:ascii="Times New Roman" w:hAnsi="Times New Roman"/>
      <w:sz w:val="22"/>
      <w:lang w:val="fr-FR" w:eastAsia="en-US"/>
    </w:rPr>
  </w:style>
  <w:style w:type="paragraph" w:customStyle="1" w:styleId="FigureNo">
    <w:name w:val="Figure_No"/>
    <w:basedOn w:val="Normal"/>
    <w:next w:val="Figuretitle"/>
    <w:rsid w:val="00EB6BEB"/>
    <w:pPr>
      <w:keepNext/>
      <w:keepLines/>
      <w:spacing w:before="480" w:after="120"/>
      <w:jc w:val="center"/>
    </w:pPr>
    <w:rPr>
      <w:caps/>
      <w:sz w:val="22"/>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sz w:val="22"/>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styleId="BalloonText">
    <w:name w:val="Balloon Text"/>
    <w:basedOn w:val="Normal"/>
    <w:link w:val="BalloonTextChar"/>
    <w:rsid w:val="00364794"/>
    <w:pPr>
      <w:spacing w:before="0"/>
    </w:pPr>
    <w:rPr>
      <w:rFonts w:ascii="Tahoma" w:hAnsi="Tahoma" w:cs="Tahoma"/>
      <w:sz w:val="16"/>
      <w:szCs w:val="16"/>
    </w:rPr>
  </w:style>
  <w:style w:type="character" w:customStyle="1" w:styleId="BalloonTextChar">
    <w:name w:val="Balloon Text Char"/>
    <w:basedOn w:val="DefaultParagraphFont"/>
    <w:link w:val="BalloonText"/>
    <w:rsid w:val="00364794"/>
    <w:rPr>
      <w:rFonts w:ascii="Tahoma" w:hAnsi="Tahoma" w:cs="Tahoma"/>
      <w:sz w:val="16"/>
      <w:szCs w:val="16"/>
      <w:lang w:val="fr-FR" w:eastAsia="en-US"/>
    </w:rPr>
  </w:style>
  <w:style w:type="character" w:customStyle="1" w:styleId="HeaderChar">
    <w:name w:val="Header Char"/>
    <w:aliases w:val="h Char,Header/Footer Char"/>
    <w:basedOn w:val="DefaultParagraphFont"/>
    <w:link w:val="Header"/>
    <w:rsid w:val="00B85D56"/>
    <w:rPr>
      <w:rFonts w:ascii="Times New Roman" w:hAnsi="Times New Roman"/>
      <w:sz w:val="18"/>
      <w:lang w:val="fr-FR" w:eastAsia="en-US"/>
    </w:rPr>
  </w:style>
  <w:style w:type="character" w:customStyle="1" w:styleId="ResNoChar">
    <w:name w:val="Res_No Char"/>
    <w:link w:val="ResNo"/>
    <w:rsid w:val="00B85D56"/>
    <w:rPr>
      <w:rFonts w:ascii="Times New Roman" w:hAnsi="Times New Roman"/>
      <w:b/>
      <w:sz w:val="28"/>
      <w:lang w:val="fr-FR" w:eastAsia="en-US"/>
    </w:rPr>
  </w:style>
  <w:style w:type="character" w:customStyle="1" w:styleId="href">
    <w:name w:val="href"/>
    <w:basedOn w:val="DefaultParagraphFont"/>
    <w:rsid w:val="00753F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B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fr-FR" w:eastAsia="en-US"/>
    </w:rPr>
  </w:style>
  <w:style w:type="paragraph" w:styleId="Heading1">
    <w:name w:val="heading 1"/>
    <w:basedOn w:val="Normal"/>
    <w:next w:val="Normal"/>
    <w:qFormat/>
    <w:rsid w:val="00123BBC"/>
    <w:pPr>
      <w:keepNext/>
      <w:keepLines/>
      <w:spacing w:before="360"/>
      <w:ind w:left="794" w:hanging="794"/>
      <w:jc w:val="left"/>
      <w:outlineLvl w:val="0"/>
    </w:pPr>
    <w:rPr>
      <w:b/>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semiHidden/>
    <w:rsid w:val="00123BB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123BBC"/>
    <w:pPr>
      <w:keepLines/>
      <w:tabs>
        <w:tab w:val="left" w:pos="255"/>
      </w:tabs>
      <w:ind w:left="255" w:hanging="255"/>
    </w:pPr>
  </w:style>
  <w:style w:type="paragraph" w:customStyle="1" w:styleId="Note">
    <w:name w:val="Note"/>
    <w:basedOn w:val="Normal"/>
    <w:link w:val="NoteChar"/>
    <w:rsid w:val="00123BBC"/>
    <w:pPr>
      <w:spacing w:before="80"/>
    </w:pPr>
    <w:rPr>
      <w:sz w:val="22"/>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uiPriority w:val="99"/>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311F37"/>
    <w:rPr>
      <w:rFonts w:cs="Times New Roman"/>
      <w:sz w:val="22"/>
      <w:lang w:val="fr-FR" w:eastAsia="en-US" w:bidi="ar-SA"/>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uiPriority w:val="99"/>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sz w:val="22"/>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EB6BEB"/>
    <w:rPr>
      <w:rFonts w:ascii="Times New Roman" w:hAnsi="Times New Roman"/>
      <w:sz w:val="22"/>
      <w:lang w:val="fr-FR" w:eastAsia="en-US"/>
    </w:rPr>
  </w:style>
  <w:style w:type="paragraph" w:customStyle="1" w:styleId="FigureNo">
    <w:name w:val="Figure_No"/>
    <w:basedOn w:val="Normal"/>
    <w:next w:val="Figuretitle"/>
    <w:rsid w:val="00EB6BEB"/>
    <w:pPr>
      <w:keepNext/>
      <w:keepLines/>
      <w:spacing w:before="480" w:after="120"/>
      <w:jc w:val="center"/>
    </w:pPr>
    <w:rPr>
      <w:caps/>
      <w:sz w:val="22"/>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sz w:val="22"/>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A4691-033E-4991-918C-87E1A504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Template>
  <TotalTime>0</TotalTime>
  <Pages>4</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4859</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Commission d'études 2 de l'UIT-T</dc:creator>
  <cp:keywords>E.802,E,802</cp:keywords>
  <dc:description>Saved by MS-106344 at 14:06:18 on 06.12.2007</dc:description>
  <cp:lastModifiedBy>Brian</cp:lastModifiedBy>
  <cp:revision>2</cp:revision>
  <cp:lastPrinted>2007-12-06T12:04:00Z</cp:lastPrinted>
  <dcterms:created xsi:type="dcterms:W3CDTF">2013-04-26T08:35:00Z</dcterms:created>
  <dcterms:modified xsi:type="dcterms:W3CDTF">2013-04-26T08:35:00Z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