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F23AA9" w14:paraId="7078E33C" w14:textId="77777777" w:rsidTr="00367A2B">
        <w:trPr>
          <w:trHeight w:hRule="exact" w:val="426"/>
        </w:trPr>
        <w:tc>
          <w:tcPr>
            <w:tcW w:w="5070" w:type="dxa"/>
            <w:gridSpan w:val="2"/>
          </w:tcPr>
          <w:p w14:paraId="1C1FE4AD" w14:textId="18DD2252" w:rsidR="00EA2A26" w:rsidRPr="00F23AA9" w:rsidRDefault="00EA2A26" w:rsidP="00A3085D">
            <w:pPr>
              <w:spacing w:before="60"/>
              <w:rPr>
                <w:rFonts w:ascii="Arial" w:eastAsia="Avenir Next W1G Medium" w:hAnsi="Arial" w:cs="Arial"/>
                <w:szCs w:val="24"/>
                <w:lang w:val="ru-RU"/>
              </w:rPr>
            </w:pPr>
            <w:bookmarkStart w:id="0" w:name="c2tope"/>
            <w:bookmarkEnd w:id="0"/>
            <w:proofErr w:type="spellStart"/>
            <w:r w:rsidRPr="00F23AA9">
              <w:rPr>
                <w:rFonts w:ascii="Arial" w:hAnsi="Arial" w:cs="Arial"/>
                <w:b/>
                <w:color w:val="009CD6"/>
                <w:spacing w:val="-4"/>
                <w:sz w:val="32"/>
                <w:szCs w:val="32"/>
                <w:lang w:val="ru-RU"/>
              </w:rPr>
              <w:t>ITU</w:t>
            </w:r>
            <w:r w:rsidR="001B5C6B" w:rsidRPr="00F23AA9">
              <w:rPr>
                <w:rFonts w:ascii="Arial" w:hAnsi="Arial" w:cs="Arial"/>
                <w:b/>
                <w:color w:val="292829"/>
                <w:spacing w:val="-4"/>
                <w:sz w:val="32"/>
                <w:szCs w:val="32"/>
                <w:lang w:val="ru-RU"/>
              </w:rPr>
              <w:t>Публикации</w:t>
            </w:r>
            <w:proofErr w:type="spellEnd"/>
          </w:p>
        </w:tc>
        <w:tc>
          <w:tcPr>
            <w:tcW w:w="5670" w:type="dxa"/>
          </w:tcPr>
          <w:p w14:paraId="0E9475D3" w14:textId="543BEFC0" w:rsidR="00EA2A26" w:rsidRPr="00F23AA9" w:rsidRDefault="001B5C6B" w:rsidP="00A3085D">
            <w:pPr>
              <w:spacing w:before="60"/>
              <w:jc w:val="right"/>
              <w:rPr>
                <w:rFonts w:ascii="Arial" w:eastAsia="Avenir Next W1G Medium" w:hAnsi="Arial" w:cs="Arial"/>
                <w:sz w:val="24"/>
                <w:szCs w:val="24"/>
                <w:lang w:val="ru-RU"/>
              </w:rPr>
            </w:pPr>
            <w:r w:rsidRPr="00F23AA9">
              <w:rPr>
                <w:rFonts w:ascii="Arial" w:eastAsia="Avenir Next W1G Medium" w:hAnsi="Arial" w:cs="Arial"/>
                <w:b/>
                <w:spacing w:val="-4"/>
                <w:sz w:val="24"/>
                <w:szCs w:val="24"/>
                <w:lang w:val="ru-RU"/>
              </w:rPr>
              <w:t>Международный союз электросвязи</w:t>
            </w:r>
          </w:p>
        </w:tc>
      </w:tr>
      <w:tr w:rsidR="00EA2A26" w:rsidRPr="00F23AA9" w14:paraId="42C85EB6" w14:textId="77777777" w:rsidTr="00367A2B">
        <w:trPr>
          <w:trHeight w:hRule="exact" w:val="992"/>
        </w:trPr>
        <w:tc>
          <w:tcPr>
            <w:tcW w:w="5070" w:type="dxa"/>
            <w:gridSpan w:val="2"/>
          </w:tcPr>
          <w:p w14:paraId="68B26EDA" w14:textId="1153EEEB" w:rsidR="00EA2A26" w:rsidRPr="00F23AA9" w:rsidRDefault="001B5C6B" w:rsidP="00367A2B">
            <w:pPr>
              <w:spacing w:before="0"/>
              <w:rPr>
                <w:rFonts w:ascii="Arial" w:eastAsia="Avenir Next W1G Medium" w:hAnsi="Arial" w:cs="Arial"/>
                <w:sz w:val="24"/>
                <w:szCs w:val="24"/>
                <w:lang w:val="ru-RU"/>
              </w:rPr>
            </w:pPr>
            <w:r w:rsidRPr="00F23AA9">
              <w:rPr>
                <w:rFonts w:ascii="Arial" w:eastAsia="Avenir Next W1G Medium" w:hAnsi="Arial" w:cs="Arial"/>
                <w:sz w:val="24"/>
                <w:szCs w:val="24"/>
                <w:lang w:val="ru-RU"/>
              </w:rPr>
              <w:t>Резолюции</w:t>
            </w:r>
          </w:p>
        </w:tc>
        <w:tc>
          <w:tcPr>
            <w:tcW w:w="5670" w:type="dxa"/>
          </w:tcPr>
          <w:p w14:paraId="20539D5B" w14:textId="015B5046" w:rsidR="00EA2A26" w:rsidRPr="00F23AA9" w:rsidRDefault="001B5C6B" w:rsidP="00367A2B">
            <w:pPr>
              <w:spacing w:before="0"/>
              <w:jc w:val="right"/>
              <w:rPr>
                <w:rFonts w:ascii="Arial" w:eastAsia="Avenir Next W1G Medium" w:hAnsi="Arial" w:cs="Arial"/>
                <w:sz w:val="24"/>
                <w:szCs w:val="24"/>
                <w:lang w:val="ru-RU"/>
              </w:rPr>
            </w:pPr>
            <w:r w:rsidRPr="00F23AA9">
              <w:rPr>
                <w:rFonts w:ascii="Arial" w:eastAsia="Avenir Next W1G Medium" w:hAnsi="Arial" w:cs="Arial"/>
                <w:sz w:val="24"/>
                <w:szCs w:val="24"/>
                <w:lang w:val="ru-RU"/>
              </w:rPr>
              <w:t>Сектор стандартизации</w:t>
            </w:r>
          </w:p>
        </w:tc>
      </w:tr>
      <w:tr w:rsidR="00EA2A26" w:rsidRPr="00F23AA9"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F23AA9" w:rsidRDefault="00EA2A26" w:rsidP="00367A2B">
            <w:pPr>
              <w:pStyle w:val="BodyText"/>
              <w:spacing w:before="440"/>
              <w:rPr>
                <w:b w:val="0"/>
                <w:bCs w:val="0"/>
                <w:spacing w:val="-6"/>
                <w:sz w:val="44"/>
                <w:szCs w:val="44"/>
                <w:lang w:val="ru-RU"/>
              </w:rPr>
            </w:pPr>
          </w:p>
        </w:tc>
      </w:tr>
      <w:tr w:rsidR="00EA2A26" w:rsidRPr="00F23AA9"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F23AA9" w:rsidRDefault="00EA2A26" w:rsidP="00367A2B">
            <w:pPr>
              <w:pStyle w:val="BodyText"/>
              <w:spacing w:after="240"/>
              <w:rPr>
                <w:spacing w:val="-6"/>
                <w:sz w:val="44"/>
                <w:szCs w:val="44"/>
                <w:lang w:val="ru-RU"/>
              </w:rPr>
            </w:pPr>
          </w:p>
        </w:tc>
      </w:tr>
      <w:tr w:rsidR="00EA2A26" w:rsidRPr="00F23AA9" w14:paraId="594C2C35" w14:textId="77777777" w:rsidTr="00367A2B">
        <w:trPr>
          <w:trHeight w:val="80"/>
        </w:trPr>
        <w:tc>
          <w:tcPr>
            <w:tcW w:w="817" w:type="dxa"/>
          </w:tcPr>
          <w:p w14:paraId="72C102BC" w14:textId="77777777" w:rsidR="00EA2A26" w:rsidRPr="00F23AA9" w:rsidRDefault="00EA2A26" w:rsidP="00367A2B">
            <w:pPr>
              <w:tabs>
                <w:tab w:val="right" w:pos="9639"/>
              </w:tabs>
              <w:rPr>
                <w:rFonts w:ascii="Arial" w:hAnsi="Arial" w:cs="Arial"/>
                <w:sz w:val="18"/>
                <w:lang w:val="ru-RU"/>
              </w:rPr>
            </w:pPr>
          </w:p>
        </w:tc>
        <w:tc>
          <w:tcPr>
            <w:tcW w:w="9923" w:type="dxa"/>
            <w:gridSpan w:val="2"/>
            <w:tcBorders>
              <w:bottom w:val="single" w:sz="8" w:space="0" w:color="auto"/>
            </w:tcBorders>
          </w:tcPr>
          <w:p w14:paraId="46F1491F" w14:textId="5A28032B" w:rsidR="00EA2A26" w:rsidRPr="00F23AA9" w:rsidRDefault="001B5C6B"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ru-RU"/>
              </w:rPr>
            </w:pPr>
            <w:r w:rsidRPr="00F23AA9">
              <w:rPr>
                <w:rFonts w:ascii="Arial" w:hAnsi="Arial"/>
                <w:sz w:val="36"/>
                <w:szCs w:val="36"/>
                <w:lang w:val="ru-RU"/>
              </w:rPr>
              <w:t>ВСЕМИРНАЯ АССАМБЛЕЯ ПО СТАНДАРТИЗАЦИИ ЭЛЕКТРОСВЯЗИ</w:t>
            </w:r>
            <w:r w:rsidRPr="00F23AA9">
              <w:rPr>
                <w:rFonts w:ascii="Arial" w:hAnsi="Arial"/>
                <w:sz w:val="32"/>
                <w:lang w:val="ru-RU"/>
              </w:rPr>
              <w:t xml:space="preserve"> </w:t>
            </w:r>
            <w:r w:rsidR="00EA2A26" w:rsidRPr="00F23AA9">
              <w:rPr>
                <w:rFonts w:ascii="Arial" w:hAnsi="Arial" w:cs="Arial"/>
                <w:sz w:val="36"/>
                <w:szCs w:val="36"/>
                <w:lang w:val="ru-RU"/>
              </w:rPr>
              <w:br/>
            </w:r>
            <w:r w:rsidR="002D336F" w:rsidRPr="00F23AA9">
              <w:rPr>
                <w:rFonts w:ascii="Arial" w:hAnsi="Arial" w:cs="Arial"/>
                <w:sz w:val="36"/>
                <w:szCs w:val="36"/>
                <w:lang w:val="ru-RU"/>
              </w:rPr>
              <w:t>Нью-Дели</w:t>
            </w:r>
            <w:r w:rsidR="00EA2A26" w:rsidRPr="00F23AA9">
              <w:rPr>
                <w:rFonts w:ascii="Arial" w:hAnsi="Arial" w:cs="Arial"/>
                <w:sz w:val="36"/>
                <w:szCs w:val="36"/>
                <w:lang w:val="ru-RU"/>
              </w:rPr>
              <w:t>, 15</w:t>
            </w:r>
            <w:r w:rsidRPr="00F23AA9">
              <w:rPr>
                <w:rFonts w:ascii="Arial" w:hAnsi="Arial" w:cs="Arial"/>
                <w:sz w:val="36"/>
                <w:szCs w:val="36"/>
                <w:lang w:val="ru-RU"/>
              </w:rPr>
              <w:t>–</w:t>
            </w:r>
            <w:r w:rsidR="00EA2A26" w:rsidRPr="00F23AA9">
              <w:rPr>
                <w:rFonts w:ascii="Arial" w:hAnsi="Arial" w:cs="Arial"/>
                <w:sz w:val="36"/>
                <w:szCs w:val="36"/>
                <w:lang w:val="ru-RU"/>
              </w:rPr>
              <w:t xml:space="preserve">24 </w:t>
            </w:r>
            <w:r w:rsidRPr="00F23AA9">
              <w:rPr>
                <w:rFonts w:ascii="Arial" w:hAnsi="Arial" w:cs="Arial"/>
                <w:sz w:val="36"/>
                <w:szCs w:val="36"/>
                <w:lang w:val="ru-RU"/>
              </w:rPr>
              <w:t>октября</w:t>
            </w:r>
            <w:r w:rsidR="00EA2A26" w:rsidRPr="00F23AA9">
              <w:rPr>
                <w:rFonts w:ascii="Arial" w:hAnsi="Arial" w:cs="Arial"/>
                <w:sz w:val="36"/>
                <w:szCs w:val="36"/>
                <w:lang w:val="ru-RU"/>
              </w:rPr>
              <w:t xml:space="preserve"> 2024</w:t>
            </w:r>
            <w:r w:rsidRPr="00F23AA9">
              <w:rPr>
                <w:rFonts w:ascii="Arial" w:hAnsi="Arial" w:cs="Arial"/>
                <w:sz w:val="36"/>
                <w:szCs w:val="36"/>
                <w:lang w:val="ru-RU"/>
              </w:rPr>
              <w:t xml:space="preserve"> года</w:t>
            </w:r>
          </w:p>
          <w:p w14:paraId="318F1603" w14:textId="77777777" w:rsidR="00EA2A26" w:rsidRPr="00F23AA9" w:rsidRDefault="00EA2A26" w:rsidP="00367A2B">
            <w:pPr>
              <w:rPr>
                <w:lang w:val="ru-RU"/>
              </w:rPr>
            </w:pPr>
          </w:p>
        </w:tc>
      </w:tr>
      <w:tr w:rsidR="00EA2A26" w:rsidRPr="00F23AA9" w14:paraId="40EA4FB7" w14:textId="77777777" w:rsidTr="00367A2B">
        <w:trPr>
          <w:trHeight w:val="743"/>
        </w:trPr>
        <w:tc>
          <w:tcPr>
            <w:tcW w:w="817" w:type="dxa"/>
          </w:tcPr>
          <w:p w14:paraId="5A48D328" w14:textId="77777777" w:rsidR="00EA2A26" w:rsidRPr="00F23AA9" w:rsidRDefault="00EA2A26" w:rsidP="00367A2B">
            <w:pPr>
              <w:tabs>
                <w:tab w:val="right" w:pos="9639"/>
              </w:tabs>
              <w:rPr>
                <w:rFonts w:ascii="Arial" w:hAnsi="Arial" w:cs="Arial"/>
                <w:sz w:val="48"/>
                <w:szCs w:val="48"/>
                <w:lang w:val="ru-RU"/>
              </w:rPr>
            </w:pPr>
          </w:p>
        </w:tc>
        <w:tc>
          <w:tcPr>
            <w:tcW w:w="9923" w:type="dxa"/>
            <w:gridSpan w:val="2"/>
            <w:tcBorders>
              <w:top w:val="single" w:sz="8" w:space="0" w:color="auto"/>
            </w:tcBorders>
          </w:tcPr>
          <w:p w14:paraId="36D98092" w14:textId="06D0510B" w:rsidR="00EA2A26" w:rsidRPr="00F23AA9" w:rsidRDefault="001B5C6B" w:rsidP="00F9579B">
            <w:pPr>
              <w:pStyle w:val="BodyText"/>
              <w:spacing w:before="440"/>
              <w:jc w:val="left"/>
              <w:rPr>
                <w:spacing w:val="-6"/>
                <w:sz w:val="44"/>
                <w:szCs w:val="44"/>
                <w:lang w:val="ru-RU"/>
              </w:rPr>
            </w:pPr>
            <w:r w:rsidRPr="00F23AA9">
              <w:rPr>
                <w:spacing w:val="-6"/>
                <w:sz w:val="44"/>
                <w:szCs w:val="44"/>
                <w:lang w:val="ru-RU"/>
              </w:rPr>
              <w:t xml:space="preserve">Резолюция </w:t>
            </w:r>
            <w:r w:rsidR="00167CF9" w:rsidRPr="00F23AA9">
              <w:rPr>
                <w:spacing w:val="-6"/>
                <w:sz w:val="44"/>
                <w:szCs w:val="44"/>
                <w:lang w:val="ru-RU"/>
              </w:rPr>
              <w:t>55</w:t>
            </w:r>
            <w:r w:rsidR="00845E8E" w:rsidRPr="00F23AA9">
              <w:rPr>
                <w:spacing w:val="-6"/>
                <w:sz w:val="44"/>
                <w:szCs w:val="44"/>
                <w:lang w:val="ru-RU"/>
              </w:rPr>
              <w:t xml:space="preserve"> – </w:t>
            </w:r>
            <w:r w:rsidR="00167CF9" w:rsidRPr="00F23AA9">
              <w:rPr>
                <w:spacing w:val="-6"/>
                <w:sz w:val="44"/>
                <w:szCs w:val="44"/>
                <w:lang w:val="ru-RU"/>
              </w:rPr>
              <w:t>Учет гендерного равенства в деятельности Сектора стандартизации электросвязи МСЭ</w:t>
            </w:r>
          </w:p>
          <w:p w14:paraId="51262F1D" w14:textId="77777777" w:rsidR="00EA2A26" w:rsidRPr="00F23AA9" w:rsidRDefault="00EA2A26" w:rsidP="00367A2B">
            <w:pPr>
              <w:rPr>
                <w:lang w:val="ru-RU"/>
              </w:rPr>
            </w:pPr>
          </w:p>
        </w:tc>
      </w:tr>
    </w:tbl>
    <w:p w14:paraId="7800F3B2" w14:textId="77777777" w:rsidR="00EA2A26" w:rsidRPr="00F23AA9"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ru-RU"/>
        </w:rPr>
      </w:pPr>
      <w:r w:rsidRPr="00F23AA9">
        <w:rPr>
          <w:rFonts w:ascii="Arial" w:eastAsia="Avenir Next W1G Medium" w:hAnsi="Arial" w:cs="Arial"/>
          <w:szCs w:val="24"/>
          <w:lang w:val="ru-RU"/>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F23AA9">
        <w:rPr>
          <w:lang w:val="ru-RU"/>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F23AA9" w:rsidRDefault="00EA2A26" w:rsidP="00EA2A26">
      <w:pPr>
        <w:jc w:val="left"/>
        <w:rPr>
          <w:lang w:val="ru-RU"/>
        </w:rPr>
        <w:sectPr w:rsidR="00EA2A26" w:rsidRPr="00F23AA9" w:rsidSect="00EA2A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038" w:right="601" w:bottom="1860" w:left="618" w:header="567" w:footer="284" w:gutter="0"/>
          <w:pgNumType w:start="1"/>
          <w:cols w:space="720"/>
          <w:titlePg/>
          <w:docGrid w:linePitch="326"/>
        </w:sectPr>
      </w:pPr>
    </w:p>
    <w:p w14:paraId="493176D7" w14:textId="77777777" w:rsidR="00E60A09" w:rsidRPr="00F23AA9" w:rsidRDefault="00E60A09" w:rsidP="00E60A09">
      <w:pPr>
        <w:jc w:val="center"/>
        <w:rPr>
          <w:lang w:val="ru-RU"/>
        </w:rPr>
      </w:pPr>
      <w:bookmarkStart w:id="1" w:name="irecnoe"/>
      <w:bookmarkEnd w:id="1"/>
      <w:r w:rsidRPr="00F23AA9">
        <w:rPr>
          <w:lang w:val="ru-RU"/>
        </w:rPr>
        <w:lastRenderedPageBreak/>
        <w:t>ПРЕДИСЛОВИЕ</w:t>
      </w:r>
    </w:p>
    <w:p w14:paraId="09A8E349" w14:textId="77777777" w:rsidR="00E60A09" w:rsidRPr="00F23AA9" w:rsidRDefault="00E60A09" w:rsidP="00E60A09">
      <w:pPr>
        <w:rPr>
          <w:sz w:val="20"/>
          <w:lang w:val="ru-RU"/>
        </w:rPr>
      </w:pPr>
      <w:bookmarkStart w:id="2" w:name="iitextf"/>
      <w:r w:rsidRPr="00F23AA9">
        <w:rPr>
          <w:sz w:val="20"/>
          <w:lang w:val="ru-RU"/>
        </w:rPr>
        <w:t>Международный союз электросвязи (МСЭ) является специализированным учреждением Организации Объединенных Наций в области электросвязи и информационно-коммуникационных технологий (ИКТ). Сектор стандартизации электросвязи МСЭ (МСЭ</w:t>
      </w:r>
      <w:r w:rsidRPr="00F23AA9">
        <w:rPr>
          <w:sz w:val="20"/>
          <w:lang w:val="ru-RU"/>
        </w:rPr>
        <w:noBreakHyphen/>
        <w:t>Т) – постоянный орган МСЭ. МСЭ-Т отвечает за изучение технических, эксплуатационных и тарифных вопросов и за выпуск Рекомендаций по ним с целью стандартизации электросвязи на всемирной основе.</w:t>
      </w:r>
    </w:p>
    <w:p w14:paraId="2F241E71" w14:textId="77777777" w:rsidR="00E60A09" w:rsidRPr="00F23AA9" w:rsidRDefault="00E60A09" w:rsidP="00E60A09">
      <w:pPr>
        <w:rPr>
          <w:sz w:val="20"/>
          <w:lang w:val="ru-RU"/>
        </w:rPr>
      </w:pPr>
      <w:r w:rsidRPr="00F23AA9">
        <w:rPr>
          <w:sz w:val="20"/>
          <w:lang w:val="ru-RU"/>
        </w:rPr>
        <w:t xml:space="preserve">На Всемирной ассамблее по стандартизации электросвязи (ВАСЭ), которая проводится каждые четыре года, определяются темы для изучения исследовательскими комиссиями МСЭ-Т, которые, в свою очередь, вырабатывают Рекомендации по этим темам. </w:t>
      </w:r>
    </w:p>
    <w:p w14:paraId="17B0B45D" w14:textId="77777777" w:rsidR="00E60A09" w:rsidRPr="00F23AA9" w:rsidRDefault="00E60A09" w:rsidP="00E60A09">
      <w:pPr>
        <w:rPr>
          <w:sz w:val="20"/>
          <w:lang w:val="ru-RU"/>
        </w:rPr>
      </w:pPr>
      <w:r w:rsidRPr="00F23AA9">
        <w:rPr>
          <w:sz w:val="20"/>
          <w:lang w:val="ru-RU"/>
        </w:rPr>
        <w:t xml:space="preserve">Утверждение </w:t>
      </w:r>
      <w:r w:rsidRPr="00F23AA9">
        <w:rPr>
          <w:caps/>
          <w:sz w:val="20"/>
          <w:lang w:val="ru-RU"/>
        </w:rPr>
        <w:t>р</w:t>
      </w:r>
      <w:r w:rsidRPr="00F23AA9">
        <w:rPr>
          <w:sz w:val="20"/>
          <w:lang w:val="ru-RU"/>
        </w:rPr>
        <w:t>екомендаций МСЭ-Т осуществляется в соответствии с процедурой, изложенной в Резолюции 1 ВАСЭ</w:t>
      </w:r>
      <w:bookmarkEnd w:id="2"/>
      <w:r w:rsidRPr="00F23AA9">
        <w:rPr>
          <w:sz w:val="20"/>
          <w:lang w:val="ru-RU"/>
        </w:rPr>
        <w:t>.</w:t>
      </w:r>
    </w:p>
    <w:p w14:paraId="7104090E" w14:textId="77777777" w:rsidR="00E60A09" w:rsidRPr="00F23AA9" w:rsidRDefault="00E60A09" w:rsidP="00E60A09">
      <w:pPr>
        <w:rPr>
          <w:lang w:val="ru-RU"/>
        </w:rPr>
      </w:pPr>
      <w:r w:rsidRPr="00F23AA9">
        <w:rPr>
          <w:sz w:val="20"/>
          <w:lang w:val="ru-RU"/>
        </w:rPr>
        <w:t>В некоторых областях информационных технологий, которые входят в компетенцию МСЭ-Т, необходимые стандарты разрабатываются на основе сотрудничества с ИСО и МЭК.</w:t>
      </w:r>
    </w:p>
    <w:p w14:paraId="42DC63E8" w14:textId="77777777" w:rsidR="00E60A09" w:rsidRPr="00F23AA9" w:rsidRDefault="00E60A09" w:rsidP="00E60A09">
      <w:pPr>
        <w:rPr>
          <w:lang w:val="ru-RU"/>
        </w:rPr>
      </w:pPr>
    </w:p>
    <w:p w14:paraId="1BF1A502" w14:textId="77777777" w:rsidR="00E60A09" w:rsidRPr="00F23AA9" w:rsidRDefault="00E60A09" w:rsidP="00E60A09">
      <w:pPr>
        <w:rPr>
          <w:lang w:val="ru-RU"/>
        </w:rPr>
      </w:pPr>
    </w:p>
    <w:p w14:paraId="2053FC85" w14:textId="77777777" w:rsidR="00E60A09" w:rsidRPr="00F23AA9" w:rsidRDefault="00E60A09" w:rsidP="00E60A09">
      <w:pPr>
        <w:rPr>
          <w:lang w:val="ru-RU"/>
        </w:rPr>
      </w:pPr>
    </w:p>
    <w:p w14:paraId="510B3609" w14:textId="77777777" w:rsidR="00E60A09" w:rsidRPr="00F23AA9" w:rsidRDefault="00E60A09" w:rsidP="00E60A09">
      <w:pPr>
        <w:rPr>
          <w:lang w:val="ru-RU"/>
        </w:rPr>
      </w:pPr>
    </w:p>
    <w:p w14:paraId="3624C831" w14:textId="77777777" w:rsidR="00E60A09" w:rsidRPr="00F23AA9" w:rsidRDefault="00E60A09" w:rsidP="00E60A09">
      <w:pPr>
        <w:rPr>
          <w:lang w:val="ru-RU"/>
        </w:rPr>
      </w:pPr>
    </w:p>
    <w:p w14:paraId="3C20E03C" w14:textId="77777777" w:rsidR="00E60A09" w:rsidRPr="00F23AA9" w:rsidRDefault="00E60A09" w:rsidP="00E60A09">
      <w:pPr>
        <w:rPr>
          <w:lang w:val="ru-RU"/>
        </w:rPr>
      </w:pPr>
    </w:p>
    <w:p w14:paraId="54472EDE" w14:textId="77777777" w:rsidR="00E60A09" w:rsidRPr="00F23AA9" w:rsidRDefault="00E60A09" w:rsidP="00E60A09">
      <w:pPr>
        <w:rPr>
          <w:lang w:val="ru-RU"/>
        </w:rPr>
      </w:pPr>
    </w:p>
    <w:p w14:paraId="49DDE904" w14:textId="77777777" w:rsidR="00E60A09" w:rsidRPr="00F23AA9" w:rsidRDefault="00E60A09" w:rsidP="00E60A09">
      <w:pPr>
        <w:rPr>
          <w:lang w:val="ru-RU"/>
        </w:rPr>
      </w:pPr>
    </w:p>
    <w:p w14:paraId="61412DA5" w14:textId="77777777" w:rsidR="00E60A09" w:rsidRPr="00F23AA9" w:rsidRDefault="00E60A09" w:rsidP="00E60A09">
      <w:pPr>
        <w:rPr>
          <w:lang w:val="ru-RU"/>
        </w:rPr>
      </w:pPr>
    </w:p>
    <w:p w14:paraId="1C810210" w14:textId="77777777" w:rsidR="00E60A09" w:rsidRPr="00F23AA9" w:rsidRDefault="00E60A09" w:rsidP="00E60A09">
      <w:pPr>
        <w:rPr>
          <w:lang w:val="ru-RU"/>
        </w:rPr>
      </w:pPr>
    </w:p>
    <w:p w14:paraId="1C38E19A" w14:textId="77777777" w:rsidR="00E60A09" w:rsidRPr="00F23AA9" w:rsidRDefault="00E60A09" w:rsidP="00E60A09">
      <w:pPr>
        <w:rPr>
          <w:lang w:val="ru-RU"/>
        </w:rPr>
      </w:pPr>
    </w:p>
    <w:p w14:paraId="4D3396DA" w14:textId="77777777" w:rsidR="00E60A09" w:rsidRPr="00F23AA9" w:rsidRDefault="00E60A09" w:rsidP="00E60A09">
      <w:pPr>
        <w:rPr>
          <w:lang w:val="ru-RU"/>
        </w:rPr>
      </w:pPr>
    </w:p>
    <w:p w14:paraId="4F2F1517" w14:textId="77777777" w:rsidR="00E60A09" w:rsidRPr="00F23AA9" w:rsidRDefault="00E60A09" w:rsidP="00E60A09">
      <w:pPr>
        <w:rPr>
          <w:lang w:val="ru-RU"/>
        </w:rPr>
      </w:pPr>
    </w:p>
    <w:p w14:paraId="5C4902C6" w14:textId="77777777" w:rsidR="00E60A09" w:rsidRPr="00F23AA9" w:rsidRDefault="00E60A09" w:rsidP="00E60A09">
      <w:pPr>
        <w:rPr>
          <w:lang w:val="ru-RU"/>
        </w:rPr>
      </w:pPr>
    </w:p>
    <w:p w14:paraId="77FC4396" w14:textId="77777777" w:rsidR="00E60A09" w:rsidRPr="00F23AA9" w:rsidRDefault="00E60A09" w:rsidP="00E60A09">
      <w:pPr>
        <w:rPr>
          <w:lang w:val="ru-RU"/>
        </w:rPr>
      </w:pPr>
    </w:p>
    <w:p w14:paraId="66D8DB35" w14:textId="77777777" w:rsidR="008B6349" w:rsidRPr="00F23AA9" w:rsidRDefault="008B6349" w:rsidP="00E60A09">
      <w:pPr>
        <w:rPr>
          <w:lang w:val="ru-RU"/>
        </w:rPr>
      </w:pPr>
    </w:p>
    <w:p w14:paraId="48008D63" w14:textId="77777777" w:rsidR="008B6349" w:rsidRPr="00F23AA9" w:rsidRDefault="008B6349" w:rsidP="00E60A09">
      <w:pPr>
        <w:rPr>
          <w:lang w:val="ru-RU"/>
        </w:rPr>
      </w:pPr>
    </w:p>
    <w:p w14:paraId="36C41597" w14:textId="77777777" w:rsidR="008B6349" w:rsidRPr="00F23AA9" w:rsidRDefault="008B6349" w:rsidP="00E60A09">
      <w:pPr>
        <w:rPr>
          <w:lang w:val="ru-RU"/>
        </w:rPr>
      </w:pPr>
    </w:p>
    <w:p w14:paraId="29854E5F" w14:textId="77777777" w:rsidR="008B6349" w:rsidRPr="00F23AA9" w:rsidRDefault="008B6349" w:rsidP="00E60A09">
      <w:pPr>
        <w:rPr>
          <w:lang w:val="ru-RU"/>
        </w:rPr>
      </w:pPr>
    </w:p>
    <w:p w14:paraId="3941F9B3" w14:textId="77777777" w:rsidR="008B6349" w:rsidRPr="00F23AA9" w:rsidRDefault="008B6349" w:rsidP="00E60A09">
      <w:pPr>
        <w:rPr>
          <w:lang w:val="ru-RU"/>
        </w:rPr>
      </w:pPr>
    </w:p>
    <w:p w14:paraId="33823CA9" w14:textId="77777777" w:rsidR="00E60A09" w:rsidRPr="00F23AA9" w:rsidRDefault="00E60A09" w:rsidP="00E60A09">
      <w:pPr>
        <w:rPr>
          <w:lang w:val="ru-RU"/>
        </w:rPr>
      </w:pPr>
    </w:p>
    <w:p w14:paraId="265DF33E" w14:textId="77777777" w:rsidR="00E60A09" w:rsidRPr="00F23AA9" w:rsidRDefault="00E60A09" w:rsidP="00E60A09">
      <w:pPr>
        <w:rPr>
          <w:lang w:val="ru-RU"/>
        </w:rPr>
      </w:pPr>
    </w:p>
    <w:p w14:paraId="7D494ED0" w14:textId="77777777" w:rsidR="00E60A09" w:rsidRPr="00F23AA9" w:rsidRDefault="00E60A09" w:rsidP="00E60A09">
      <w:pPr>
        <w:rPr>
          <w:lang w:val="ru-RU"/>
        </w:rPr>
      </w:pPr>
    </w:p>
    <w:p w14:paraId="3554E9A0" w14:textId="77777777" w:rsidR="00E60A09" w:rsidRPr="00F23AA9" w:rsidRDefault="00E60A09" w:rsidP="00E60A09">
      <w:pPr>
        <w:rPr>
          <w:lang w:val="ru-RU"/>
        </w:rPr>
      </w:pPr>
    </w:p>
    <w:p w14:paraId="0D1B6C2B" w14:textId="77777777" w:rsidR="00D324F1" w:rsidRPr="00F23AA9" w:rsidRDefault="00D324F1" w:rsidP="00E60A09">
      <w:pPr>
        <w:rPr>
          <w:lang w:val="ru-RU"/>
        </w:rPr>
      </w:pPr>
    </w:p>
    <w:p w14:paraId="648D7BD9" w14:textId="77777777" w:rsidR="00D324F1" w:rsidRPr="00F23AA9" w:rsidRDefault="00D324F1" w:rsidP="00E60A09">
      <w:pPr>
        <w:rPr>
          <w:lang w:val="ru-RU"/>
        </w:rPr>
      </w:pPr>
    </w:p>
    <w:p w14:paraId="15937F0A" w14:textId="3B24DFE4" w:rsidR="00E60A09" w:rsidRPr="00F23AA9" w:rsidRDefault="00E60A09" w:rsidP="00E60A09">
      <w:pPr>
        <w:jc w:val="center"/>
        <w:rPr>
          <w:sz w:val="20"/>
          <w:lang w:val="ru-RU"/>
        </w:rPr>
      </w:pPr>
      <w:r w:rsidRPr="00F23AA9">
        <w:rPr>
          <w:sz w:val="20"/>
          <w:lang w:val="ru-RU"/>
        </w:rPr>
        <w:sym w:font="Symbol" w:char="F0E3"/>
      </w:r>
      <w:r w:rsidRPr="00F23AA9">
        <w:rPr>
          <w:sz w:val="20"/>
          <w:lang w:val="ru-RU"/>
        </w:rPr>
        <w:t>  ITU  </w:t>
      </w:r>
      <w:bookmarkStart w:id="3" w:name="iiannee"/>
      <w:bookmarkEnd w:id="3"/>
      <w:r w:rsidRPr="00F23AA9">
        <w:rPr>
          <w:sz w:val="20"/>
          <w:lang w:val="ru-RU"/>
        </w:rPr>
        <w:t>2024</w:t>
      </w:r>
    </w:p>
    <w:p w14:paraId="5A25B5AD" w14:textId="3FBBDADE" w:rsidR="008968B6" w:rsidRPr="00F23AA9" w:rsidRDefault="00E60A09" w:rsidP="00EA2A26">
      <w:pPr>
        <w:rPr>
          <w:lang w:val="ru-RU"/>
        </w:rPr>
      </w:pPr>
      <w:r w:rsidRPr="00F23AA9">
        <w:rPr>
          <w:sz w:val="20"/>
          <w:lang w:val="ru-RU"/>
        </w:rPr>
        <w:t>Все права сохранены. Ни одна из частей данной публикации не может быть воспроизведена с помощью каких бы то ни было средств без предварительного письменного разрешения МСЭ.</w:t>
      </w:r>
    </w:p>
    <w:p w14:paraId="73B79B51" w14:textId="77777777" w:rsidR="00B73379" w:rsidRPr="00F23AA9" w:rsidRDefault="00B73379" w:rsidP="003374BB">
      <w:pPr>
        <w:pStyle w:val="ResNo"/>
        <w:rPr>
          <w:lang w:val="ru-RU"/>
        </w:rPr>
        <w:sectPr w:rsidR="00B73379" w:rsidRPr="00F23AA9" w:rsidSect="00DE48B4">
          <w:headerReference w:type="even" r:id="rId14"/>
          <w:footerReference w:type="even" r:id="rId15"/>
          <w:footerReference w:type="default" r:id="rId16"/>
          <w:footnotePr>
            <w:numRestart w:val="eachSect"/>
          </w:footnotePr>
          <w:type w:val="evenPage"/>
          <w:pgSz w:w="11907" w:h="16834" w:code="9"/>
          <w:pgMar w:top="1134" w:right="1134" w:bottom="1134" w:left="1134" w:header="567" w:footer="567" w:gutter="0"/>
          <w:paperSrc w:first="15" w:other="15"/>
          <w:pgNumType w:start="1"/>
          <w:cols w:space="720"/>
        </w:sectPr>
      </w:pPr>
    </w:p>
    <w:p w14:paraId="1498123E" w14:textId="0A62C591" w:rsidR="00167CF9" w:rsidRPr="00F23AA9" w:rsidRDefault="00167CF9" w:rsidP="00167CF9">
      <w:pPr>
        <w:pStyle w:val="ResNo"/>
        <w:rPr>
          <w:lang w:val="ru-RU"/>
        </w:rPr>
      </w:pPr>
      <w:bookmarkStart w:id="4" w:name="_Toc112777444"/>
      <w:r w:rsidRPr="00F23AA9">
        <w:rPr>
          <w:lang w:val="ru-RU"/>
        </w:rPr>
        <w:lastRenderedPageBreak/>
        <w:t xml:space="preserve">РЕЗОЛЮЦИЯ </w:t>
      </w:r>
      <w:r w:rsidRPr="00F23AA9">
        <w:rPr>
          <w:rStyle w:val="href"/>
          <w:lang w:val="ru-RU"/>
        </w:rPr>
        <w:t>55</w:t>
      </w:r>
      <w:r w:rsidRPr="00F23AA9">
        <w:rPr>
          <w:lang w:val="ru-RU"/>
        </w:rPr>
        <w:t xml:space="preserve"> </w:t>
      </w:r>
      <w:r w:rsidR="00704CEE" w:rsidRPr="00F23AA9">
        <w:rPr>
          <w:caps w:val="0"/>
          <w:lang w:val="ru-RU"/>
        </w:rPr>
        <w:t>(</w:t>
      </w:r>
      <w:proofErr w:type="spellStart"/>
      <w:r w:rsidR="00704CEE" w:rsidRPr="00F23AA9">
        <w:rPr>
          <w:caps w:val="0"/>
          <w:lang w:val="ru-RU"/>
        </w:rPr>
        <w:t>Пересм</w:t>
      </w:r>
      <w:proofErr w:type="spellEnd"/>
      <w:r w:rsidR="00704CEE" w:rsidRPr="00F23AA9">
        <w:rPr>
          <w:caps w:val="0"/>
          <w:lang w:val="ru-RU"/>
        </w:rPr>
        <w:t>. Нью-Дели, 2024 г.)</w:t>
      </w:r>
      <w:bookmarkEnd w:id="4"/>
    </w:p>
    <w:p w14:paraId="29009557" w14:textId="77777777" w:rsidR="00167CF9" w:rsidRPr="00F23AA9" w:rsidRDefault="00167CF9" w:rsidP="00167CF9">
      <w:pPr>
        <w:pStyle w:val="Restitle"/>
        <w:rPr>
          <w:lang w:val="ru-RU"/>
        </w:rPr>
      </w:pPr>
      <w:bookmarkStart w:id="5" w:name="_Toc112777445"/>
      <w:r w:rsidRPr="00F23AA9">
        <w:rPr>
          <w:lang w:val="ru-RU"/>
        </w:rPr>
        <w:t>Учет гендерного равенства в деятельности Сектора стандартизации электросвязи МСЭ</w:t>
      </w:r>
      <w:bookmarkEnd w:id="5"/>
    </w:p>
    <w:p w14:paraId="166DE2A8" w14:textId="77777777" w:rsidR="00167CF9" w:rsidRPr="00F23AA9" w:rsidRDefault="00167CF9" w:rsidP="00167CF9">
      <w:pPr>
        <w:pStyle w:val="Resref"/>
        <w:rPr>
          <w:lang w:val="ru-RU"/>
        </w:rPr>
      </w:pPr>
      <w:r w:rsidRPr="00F23AA9">
        <w:rPr>
          <w:lang w:val="ru-RU"/>
        </w:rPr>
        <w:t>(</w:t>
      </w:r>
      <w:proofErr w:type="spellStart"/>
      <w:r w:rsidRPr="00F23AA9">
        <w:rPr>
          <w:lang w:val="ru-RU"/>
        </w:rPr>
        <w:t>Флорианополис</w:t>
      </w:r>
      <w:proofErr w:type="spellEnd"/>
      <w:r w:rsidRPr="00F23AA9">
        <w:rPr>
          <w:lang w:val="ru-RU"/>
        </w:rPr>
        <w:t xml:space="preserve">, 2004 г.; Йоханнесбург, 2008 г.; Дубай, 2012 г.; </w:t>
      </w:r>
      <w:proofErr w:type="spellStart"/>
      <w:r w:rsidRPr="00F23AA9">
        <w:rPr>
          <w:lang w:val="ru-RU"/>
        </w:rPr>
        <w:t>Хаммамет</w:t>
      </w:r>
      <w:proofErr w:type="spellEnd"/>
      <w:r w:rsidRPr="00F23AA9">
        <w:rPr>
          <w:lang w:val="ru-RU"/>
        </w:rPr>
        <w:t xml:space="preserve">, 2016 г.; </w:t>
      </w:r>
      <w:r w:rsidRPr="00F23AA9">
        <w:rPr>
          <w:lang w:val="ru-RU"/>
        </w:rPr>
        <w:br/>
        <w:t>Женева, 2022 г.; Нью-Дели, 2024 г.)</w:t>
      </w:r>
    </w:p>
    <w:p w14:paraId="109CF56A" w14:textId="77777777" w:rsidR="00167CF9" w:rsidRPr="00F23AA9" w:rsidRDefault="00167CF9" w:rsidP="00167CF9">
      <w:pPr>
        <w:pStyle w:val="Normalaftertitle0"/>
        <w:keepNext/>
        <w:keepLines/>
        <w:rPr>
          <w:lang w:val="ru-RU"/>
        </w:rPr>
      </w:pPr>
      <w:r w:rsidRPr="00F23AA9">
        <w:rPr>
          <w:lang w:val="ru-RU"/>
        </w:rPr>
        <w:t>Всемирная ассамблея по стандартизации электросвязи (Нью-Дели, 2024 г.),</w:t>
      </w:r>
    </w:p>
    <w:p w14:paraId="707FA7B1" w14:textId="77777777" w:rsidR="00167CF9" w:rsidRPr="00F23AA9" w:rsidRDefault="00167CF9" w:rsidP="00167CF9">
      <w:pPr>
        <w:pStyle w:val="Call"/>
        <w:rPr>
          <w:i w:val="0"/>
          <w:iCs/>
          <w:lang w:val="ru-RU"/>
        </w:rPr>
      </w:pPr>
      <w:r w:rsidRPr="00F23AA9">
        <w:rPr>
          <w:lang w:val="ru-RU"/>
        </w:rPr>
        <w:t>учитывая</w:t>
      </w:r>
      <w:r w:rsidRPr="00F23AA9">
        <w:rPr>
          <w:i w:val="0"/>
          <w:iCs/>
          <w:lang w:val="ru-RU"/>
        </w:rPr>
        <w:t>,</w:t>
      </w:r>
    </w:p>
    <w:p w14:paraId="6C511660" w14:textId="77777777" w:rsidR="00167CF9" w:rsidRPr="00F23AA9" w:rsidRDefault="00167CF9" w:rsidP="00167CF9">
      <w:pPr>
        <w:rPr>
          <w:lang w:val="ru-RU"/>
        </w:rPr>
      </w:pPr>
      <w:r w:rsidRPr="00F23AA9">
        <w:rPr>
          <w:i/>
          <w:iCs/>
          <w:lang w:val="ru-RU"/>
        </w:rPr>
        <w:t>a)</w:t>
      </w:r>
      <w:r w:rsidRPr="00F23AA9">
        <w:rPr>
          <w:lang w:val="ru-RU"/>
        </w:rPr>
        <w:tab/>
        <w:t>что, хотя стандартизация играет важную роль в глобализации и эффективном развитии информационно-коммуникационных технологий (ИКТ), полное гендерное равенство в участии в процессах международной стандартизации все еще не достигнуто, и что усилия по достижению цели учета гендерного равенства могут внести положительный вклад во все аспекты деятельности и процессов МСЭ, особенно в секторе международной стандартизации;</w:t>
      </w:r>
    </w:p>
    <w:p w14:paraId="7DD4626C" w14:textId="77777777" w:rsidR="00167CF9" w:rsidRPr="00F23AA9" w:rsidRDefault="00167CF9" w:rsidP="00167CF9">
      <w:pPr>
        <w:rPr>
          <w:lang w:val="ru-RU"/>
        </w:rPr>
      </w:pPr>
      <w:r w:rsidRPr="00F23AA9">
        <w:rPr>
          <w:i/>
          <w:iCs/>
          <w:lang w:val="ru-RU"/>
        </w:rPr>
        <w:t>b)</w:t>
      </w:r>
      <w:r w:rsidRPr="00F23AA9">
        <w:rPr>
          <w:lang w:val="ru-RU"/>
        </w:rPr>
        <w:tab/>
        <w:t>что работа Сектора стандартизации электросвязи МСЭ (МСЭ-Т) по стандартизации может наиболее эффективно осуществляться при активном участии женщин, обеспечивая им всю необходимую поддержку, а также признание их усилий и вклада;</w:t>
      </w:r>
    </w:p>
    <w:p w14:paraId="57D0CBAF" w14:textId="77777777" w:rsidR="00167CF9" w:rsidRPr="00F23AA9" w:rsidRDefault="00167CF9" w:rsidP="00167CF9">
      <w:pPr>
        <w:rPr>
          <w:lang w:val="ru-RU"/>
        </w:rPr>
      </w:pPr>
      <w:r w:rsidRPr="00F23AA9">
        <w:rPr>
          <w:i/>
          <w:iCs/>
          <w:lang w:val="ru-RU"/>
        </w:rPr>
        <w:t>c)</w:t>
      </w:r>
      <w:r w:rsidRPr="00F23AA9">
        <w:rPr>
          <w:lang w:val="ru-RU"/>
        </w:rPr>
        <w:tab/>
        <w:t>что необходимо расширять и поощрять активное и содержательное участие женщин во всех видах деятельности МСЭ-Т;</w:t>
      </w:r>
    </w:p>
    <w:p w14:paraId="0022DB8F" w14:textId="77777777" w:rsidR="00167CF9" w:rsidRPr="00F23AA9" w:rsidRDefault="00167CF9" w:rsidP="00167CF9">
      <w:pPr>
        <w:rPr>
          <w:lang w:val="ru-RU"/>
        </w:rPr>
      </w:pPr>
      <w:r w:rsidRPr="00F23AA9">
        <w:rPr>
          <w:i/>
          <w:iCs/>
          <w:lang w:val="ru-RU"/>
        </w:rPr>
        <w:t>d)</w:t>
      </w:r>
      <w:r w:rsidRPr="00F23AA9">
        <w:rPr>
          <w:lang w:val="ru-RU"/>
        </w:rPr>
        <w:tab/>
        <w:t>что Бюро стандартизации электросвязи (БСЭ) создало на собрании Консультативной группы по стандартизации электросвязи (КГСЭ) в феврале 2016 года Группу экспертов МСЭ "Женщины в стандартизации", которая в дальнейшем была переименована в Сеть женщин (</w:t>
      </w:r>
      <w:proofErr w:type="spellStart"/>
      <w:r w:rsidRPr="00F23AA9">
        <w:rPr>
          <w:lang w:val="ru-RU"/>
        </w:rPr>
        <w:t>NoW</w:t>
      </w:r>
      <w:proofErr w:type="spellEnd"/>
      <w:r w:rsidRPr="00F23AA9">
        <w:rPr>
          <w:lang w:val="ru-RU"/>
        </w:rPr>
        <w:t xml:space="preserve">) в МСЭ-T, специально для содействия продвижению женщин в области стандартизации, электросвязи/ИКТ и </w:t>
      </w:r>
      <w:r w:rsidRPr="00F23AA9">
        <w:rPr>
          <w:color w:val="000000"/>
          <w:lang w:val="ru-RU"/>
        </w:rPr>
        <w:t>связанных с ними областях</w:t>
      </w:r>
      <w:r w:rsidRPr="00F23AA9">
        <w:rPr>
          <w:lang w:val="ru-RU"/>
        </w:rPr>
        <w:t>, а также для признания как мужчин, так и женщин, которые внесли заметный вклад в защиту интересов женщин и в поддержку их работы в этих областях,</w:t>
      </w:r>
    </w:p>
    <w:p w14:paraId="544DAE67" w14:textId="77777777" w:rsidR="00167CF9" w:rsidRPr="00F23AA9" w:rsidRDefault="00167CF9" w:rsidP="00167CF9">
      <w:pPr>
        <w:pStyle w:val="Call"/>
        <w:rPr>
          <w:i w:val="0"/>
          <w:iCs/>
          <w:lang w:val="ru-RU"/>
        </w:rPr>
      </w:pPr>
      <w:r w:rsidRPr="00F23AA9">
        <w:rPr>
          <w:lang w:val="ru-RU"/>
        </w:rPr>
        <w:t>отмечая</w:t>
      </w:r>
      <w:r w:rsidRPr="00F23AA9">
        <w:rPr>
          <w:i w:val="0"/>
          <w:iCs/>
          <w:lang w:val="ru-RU"/>
        </w:rPr>
        <w:t>,</w:t>
      </w:r>
    </w:p>
    <w:p w14:paraId="43287AC3" w14:textId="77777777" w:rsidR="00167CF9" w:rsidRPr="00F23AA9" w:rsidRDefault="00167CF9" w:rsidP="00167CF9">
      <w:pPr>
        <w:rPr>
          <w:lang w:val="ru-RU"/>
        </w:rPr>
      </w:pPr>
      <w:r w:rsidRPr="00F23AA9">
        <w:rPr>
          <w:i/>
          <w:iCs/>
          <w:lang w:val="ru-RU"/>
        </w:rPr>
        <w:t>a)</w:t>
      </w:r>
      <w:r w:rsidRPr="00F23AA9">
        <w:rPr>
          <w:lang w:val="ru-RU"/>
        </w:rPr>
        <w:tab/>
        <w:t>что МСЭ принял политику в области гендерного равенства и учета гендерных аспектов (GEM), стремясь стать образцовой в отношении гендерного равенства организацией, которая использует потенциал электросвязи/ИКТ для расширения прав и возможностей как женщин, так и мужчин;</w:t>
      </w:r>
    </w:p>
    <w:p w14:paraId="02FA6ECC" w14:textId="77777777" w:rsidR="00167CF9" w:rsidRPr="00F23AA9" w:rsidRDefault="00167CF9" w:rsidP="00167CF9">
      <w:pPr>
        <w:rPr>
          <w:lang w:val="ru-RU"/>
        </w:rPr>
      </w:pPr>
      <w:r w:rsidRPr="00F23AA9">
        <w:rPr>
          <w:i/>
          <w:iCs/>
          <w:lang w:val="ru-RU"/>
        </w:rPr>
        <w:t>b)</w:t>
      </w:r>
      <w:r w:rsidRPr="00F23AA9">
        <w:rPr>
          <w:lang w:val="ru-RU"/>
        </w:rPr>
        <w:tab/>
        <w:t xml:space="preserve">прогресс, достигнутый МСЭ в повышении осведомленности по гендерным вопросам, в особенности за последнее десятилетие, применительно к расширению участия женщин и представления ими вкладов на международных форумах, в исследованиях, проектах и профессиональной подготовке, как и в создании внутренней Целевой группы по гендерным вопросам, а также </w:t>
      </w:r>
      <w:r w:rsidRPr="00F23AA9">
        <w:rPr>
          <w:lang w:val="ru-RU" w:eastAsia="ja-JP"/>
        </w:rPr>
        <w:t>успешное учреждение МСЭ международного дня "Девушки в ИКТ", который проводится ежегодно в четвертый четверг апреля</w:t>
      </w:r>
      <w:r w:rsidRPr="00F23AA9">
        <w:rPr>
          <w:lang w:val="ru-RU"/>
        </w:rPr>
        <w:t>;</w:t>
      </w:r>
    </w:p>
    <w:p w14:paraId="5C79476C" w14:textId="77777777" w:rsidR="00167CF9" w:rsidRPr="00F23AA9" w:rsidRDefault="00167CF9" w:rsidP="00167CF9">
      <w:pPr>
        <w:rPr>
          <w:lang w:val="ru-RU"/>
        </w:rPr>
      </w:pPr>
      <w:r w:rsidRPr="00F23AA9">
        <w:rPr>
          <w:lang w:val="ru-RU"/>
        </w:rPr>
        <w:br w:type="page"/>
      </w:r>
    </w:p>
    <w:p w14:paraId="33B5E6BC" w14:textId="77777777" w:rsidR="00167CF9" w:rsidRPr="00F23AA9" w:rsidRDefault="00167CF9" w:rsidP="00167CF9">
      <w:pPr>
        <w:rPr>
          <w:lang w:val="ru-RU"/>
        </w:rPr>
      </w:pPr>
      <w:r w:rsidRPr="00F23AA9">
        <w:rPr>
          <w:i/>
          <w:iCs/>
          <w:lang w:val="ru-RU"/>
        </w:rPr>
        <w:lastRenderedPageBreak/>
        <w:t>с)</w:t>
      </w:r>
      <w:r w:rsidRPr="00F23AA9">
        <w:rPr>
          <w:lang w:val="ru-RU"/>
        </w:rPr>
        <w:tab/>
        <w:t>Резолюцию 1187 Совета МСЭ, принятую на его сессии 2001 года о включении принципа равноправия полов в управление, политику и практику МСЭ в области людских ресурсов, в которой содержится просьба к Генеральному секретарю выделить соответствующие ресурсы в рамках существующих бюджетных ограничений для создания подразделения, занимающегося вопросами равноправия полов и имеющего штат специально выделенных сотрудников, работающих полный рабочий день;</w:t>
      </w:r>
    </w:p>
    <w:p w14:paraId="64618560" w14:textId="77777777" w:rsidR="00167CF9" w:rsidRPr="00F23AA9" w:rsidRDefault="00167CF9" w:rsidP="00167CF9">
      <w:pPr>
        <w:rPr>
          <w:lang w:val="ru-RU"/>
        </w:rPr>
      </w:pPr>
      <w:r w:rsidRPr="00F23AA9">
        <w:rPr>
          <w:i/>
          <w:iCs/>
          <w:lang w:val="ru-RU"/>
        </w:rPr>
        <w:t>d)</w:t>
      </w:r>
      <w:r w:rsidRPr="00F23AA9">
        <w:rPr>
          <w:lang w:val="ru-RU"/>
        </w:rPr>
        <w:tab/>
        <w:t>Резолюцию 1327 Совета, принятую на его сессии 2011 года, о роли МСЭ в области ИКТ и расширении прав и возможностей женщин и девушек;</w:t>
      </w:r>
    </w:p>
    <w:p w14:paraId="0C468DDE" w14:textId="77777777" w:rsidR="00167CF9" w:rsidRPr="00F23AA9" w:rsidRDefault="00167CF9" w:rsidP="00167CF9">
      <w:pPr>
        <w:rPr>
          <w:lang w:val="ru-RU"/>
        </w:rPr>
      </w:pPr>
      <w:r w:rsidRPr="00F23AA9">
        <w:rPr>
          <w:i/>
          <w:iCs/>
          <w:lang w:val="ru-RU"/>
        </w:rPr>
        <w:t>e)</w:t>
      </w:r>
      <w:r w:rsidRPr="00F23AA9">
        <w:rPr>
          <w:lang w:val="ru-RU"/>
        </w:rPr>
        <w:tab/>
        <w:t>что Генеральным секретарем было выпущено обновленное Руководство по стилю английского языка МСЭ, в котором рассматриваются вопросы использования формулировок, не носящих дискриминационный характер;</w:t>
      </w:r>
    </w:p>
    <w:p w14:paraId="09BD36E6" w14:textId="77777777" w:rsidR="00167CF9" w:rsidRPr="00F23AA9" w:rsidRDefault="00167CF9" w:rsidP="00167CF9">
      <w:pPr>
        <w:rPr>
          <w:lang w:val="ru-RU"/>
        </w:rPr>
      </w:pPr>
      <w:r w:rsidRPr="00F23AA9">
        <w:rPr>
          <w:i/>
          <w:iCs/>
          <w:lang w:val="ru-RU"/>
        </w:rPr>
        <w:t>f)</w:t>
      </w:r>
      <w:r w:rsidRPr="00F23AA9">
        <w:rPr>
          <w:lang w:val="ru-RU"/>
        </w:rPr>
        <w:tab/>
        <w:t>рекомендацию доклада Объединенной инспекционной группы (ОИГ) Организации Объединенных Наций 2016 года, согласно которой Генеральному секретарю следует представить Совету для одобрения на его сессии 2017 года план действий, который дополнял бы политику GEM, с конкретными целевыми показателями, ориентировочными сроками и мерами мониторинга, направленными на совершенствование гендерного баланса, в особенности на уровне руководства высшего звена, в каждом подразделении Союза, а также ежегодно отчитываться перед Советом о его реализации;</w:t>
      </w:r>
    </w:p>
    <w:p w14:paraId="3AEFC057" w14:textId="77777777" w:rsidR="00167CF9" w:rsidRPr="00F23AA9" w:rsidRDefault="00167CF9" w:rsidP="00167CF9">
      <w:pPr>
        <w:rPr>
          <w:szCs w:val="24"/>
          <w:lang w:val="ru-RU"/>
        </w:rPr>
      </w:pPr>
      <w:r w:rsidRPr="00F23AA9">
        <w:rPr>
          <w:i/>
          <w:iCs/>
          <w:szCs w:val="24"/>
          <w:lang w:val="ru-RU"/>
        </w:rPr>
        <w:t>g)</w:t>
      </w:r>
      <w:r w:rsidRPr="00F23AA9">
        <w:rPr>
          <w:i/>
          <w:iCs/>
          <w:szCs w:val="24"/>
          <w:lang w:val="ru-RU"/>
        </w:rPr>
        <w:tab/>
      </w:r>
      <w:r w:rsidRPr="00F23AA9">
        <w:rPr>
          <w:szCs w:val="24"/>
          <w:lang w:val="ru-RU"/>
        </w:rPr>
        <w:t>приоритетные меры по ускорению прогресса в достижении Цели в области устойчивого развития (ЦУР) 5, содержащиеся в докладе "Прогресс в достижении целей устойчивого развития с акцентом на гендерное равенство, 2023 год", подготовленном совместно Структурой Организации Объединенных Наций по вопросам гендерного равенства и расширения прав и возможностей женщин ("ООН</w:t>
      </w:r>
      <w:r w:rsidRPr="00F23AA9">
        <w:rPr>
          <w:szCs w:val="24"/>
          <w:lang w:val="ru-RU"/>
        </w:rPr>
        <w:noBreakHyphen/>
        <w:t>Женщины") и Департаментом ООН по экономическим и социальным вопросам;</w:t>
      </w:r>
    </w:p>
    <w:p w14:paraId="1AB29895" w14:textId="77777777" w:rsidR="00167CF9" w:rsidRPr="00F23AA9" w:rsidRDefault="00167CF9" w:rsidP="00167CF9">
      <w:pPr>
        <w:rPr>
          <w:szCs w:val="24"/>
          <w:lang w:val="ru-RU"/>
        </w:rPr>
      </w:pPr>
      <w:r w:rsidRPr="00F23AA9">
        <w:rPr>
          <w:i/>
          <w:iCs/>
          <w:szCs w:val="24"/>
          <w:lang w:val="ru-RU"/>
        </w:rPr>
        <w:t>h)</w:t>
      </w:r>
      <w:r w:rsidRPr="00F23AA9">
        <w:rPr>
          <w:i/>
          <w:iCs/>
          <w:szCs w:val="24"/>
          <w:lang w:val="ru-RU"/>
        </w:rPr>
        <w:tab/>
      </w:r>
      <w:r w:rsidRPr="00F23AA9">
        <w:rPr>
          <w:szCs w:val="24"/>
          <w:lang w:val="ru-RU"/>
        </w:rPr>
        <w:t>рекомендации Комиссии МСЭ/Организации Объединенных Наций по вопросам образования, науки и культуры (ЮНЕСКО) по широкополосной связи для устойчивого развития по ЦУР5 в отношении гендерного равенства;</w:t>
      </w:r>
    </w:p>
    <w:p w14:paraId="509450D6" w14:textId="38405F6A" w:rsidR="00167CF9" w:rsidRPr="00F23AA9" w:rsidRDefault="00167CF9" w:rsidP="00167CF9">
      <w:pPr>
        <w:rPr>
          <w:lang w:val="ru-RU"/>
        </w:rPr>
      </w:pPr>
      <w:r w:rsidRPr="00F23AA9">
        <w:rPr>
          <w:i/>
          <w:iCs/>
          <w:lang w:val="ru-RU"/>
        </w:rPr>
        <w:t>i)</w:t>
      </w:r>
      <w:r w:rsidRPr="00F23AA9">
        <w:rPr>
          <w:lang w:val="ru-RU"/>
        </w:rPr>
        <w:tab/>
        <w:t>что в январе 2024 года КГСЭ начала кампанию "Сеть женщин в интересах ВАСЭ-24" NOW4WTSA24, направленную на содействие гендерному равенству на настоящей Ассамблее (ВАСЭ</w:t>
      </w:r>
      <w:r w:rsidR="00DB0FA7">
        <w:rPr>
          <w:lang w:val="ru-RU"/>
        </w:rPr>
        <w:t>‑</w:t>
      </w:r>
      <w:r w:rsidRPr="00F23AA9">
        <w:rPr>
          <w:lang w:val="ru-RU"/>
        </w:rPr>
        <w:t>24),</w:t>
      </w:r>
    </w:p>
    <w:p w14:paraId="64EE113C" w14:textId="77777777" w:rsidR="00167CF9" w:rsidRPr="00F23AA9" w:rsidRDefault="00167CF9" w:rsidP="00167CF9">
      <w:pPr>
        <w:pStyle w:val="Call"/>
        <w:rPr>
          <w:i w:val="0"/>
          <w:iCs/>
          <w:lang w:val="ru-RU"/>
        </w:rPr>
      </w:pPr>
      <w:r w:rsidRPr="00F23AA9">
        <w:rPr>
          <w:lang w:val="ru-RU"/>
        </w:rPr>
        <w:t>напоминая</w:t>
      </w:r>
      <w:r w:rsidRPr="00F23AA9">
        <w:rPr>
          <w:i w:val="0"/>
          <w:iCs/>
          <w:lang w:val="ru-RU"/>
        </w:rPr>
        <w:t>,</w:t>
      </w:r>
    </w:p>
    <w:p w14:paraId="1C180F6E" w14:textId="77777777" w:rsidR="00167CF9" w:rsidRPr="00F23AA9" w:rsidRDefault="00167CF9" w:rsidP="00167CF9">
      <w:pPr>
        <w:rPr>
          <w:lang w:val="ru-RU"/>
        </w:rPr>
      </w:pPr>
      <w:r w:rsidRPr="00F23AA9">
        <w:rPr>
          <w:i/>
          <w:iCs/>
          <w:lang w:val="ru-RU"/>
        </w:rPr>
        <w:t>a)</w:t>
      </w:r>
      <w:r w:rsidRPr="00F23AA9">
        <w:rPr>
          <w:lang w:val="ru-RU"/>
        </w:rPr>
        <w:tab/>
        <w:t>что одним из основополагающих принципов Устава Организации Объединенных Наций, принятого мировыми лидерами в 1945 году, является "равноправие мужчин и женщин";</w:t>
      </w:r>
    </w:p>
    <w:p w14:paraId="6214A043" w14:textId="77777777" w:rsidR="00167CF9" w:rsidRPr="00F23AA9" w:rsidRDefault="00167CF9" w:rsidP="00167CF9">
      <w:pPr>
        <w:rPr>
          <w:lang w:val="ru-RU"/>
        </w:rPr>
      </w:pPr>
      <w:r w:rsidRPr="00F23AA9">
        <w:rPr>
          <w:i/>
          <w:iCs/>
          <w:lang w:val="ru-RU"/>
        </w:rPr>
        <w:t>b)</w:t>
      </w:r>
      <w:r w:rsidRPr="00F23AA9">
        <w:rPr>
          <w:lang w:val="ru-RU"/>
        </w:rPr>
        <w:tab/>
        <w:t xml:space="preserve">о резолюции 2012/24 Экономического и Социального Совета об учете гендерных аспектов во всех стратегиях и программах системы Организации Объединенных Наций, в которой приветствуется разработка Общесистемного плана действий Организации Объединенных Наций по обеспечению гендерного равенства и расширению прав и возможностей женщин (UNSWAP), и о соответствующем отчете о деятельности МСЭ по показателям UN-SWAP 2.0 за 2021 год; </w:t>
      </w:r>
    </w:p>
    <w:p w14:paraId="4C55181C" w14:textId="77777777" w:rsidR="00167CF9" w:rsidRPr="00F23AA9" w:rsidRDefault="00167CF9" w:rsidP="00167CF9">
      <w:pPr>
        <w:rPr>
          <w:lang w:val="ru-RU"/>
        </w:rPr>
      </w:pPr>
      <w:r w:rsidRPr="00F23AA9">
        <w:rPr>
          <w:i/>
          <w:iCs/>
          <w:lang w:val="ru-RU"/>
        </w:rPr>
        <w:t>c)</w:t>
      </w:r>
      <w:r w:rsidRPr="00F23AA9">
        <w:rPr>
          <w:lang w:val="ru-RU"/>
        </w:rPr>
        <w:tab/>
        <w:t>о соответствующих выводах сессий Комиссии Организации Объединенных Наций по положению женщин;</w:t>
      </w:r>
    </w:p>
    <w:p w14:paraId="778AC7FB" w14:textId="77777777" w:rsidR="00167CF9" w:rsidRPr="00F23AA9" w:rsidRDefault="00167CF9" w:rsidP="00167CF9">
      <w:pPr>
        <w:rPr>
          <w:lang w:val="ru-RU"/>
        </w:rPr>
      </w:pPr>
      <w:r w:rsidRPr="00F23AA9">
        <w:rPr>
          <w:i/>
          <w:iCs/>
          <w:lang w:val="ru-RU"/>
        </w:rPr>
        <w:t>d)</w:t>
      </w:r>
      <w:r w:rsidRPr="00F23AA9">
        <w:rPr>
          <w:lang w:val="ru-RU"/>
        </w:rPr>
        <w:tab/>
        <w:t>о Глобальном партнерстве за гендерное равенство в цифровую эпоху "РАВНЫЕ", одним из основателей которого является МСЭ и в которое вошли другие учреждения Организации Объединенных Наций, представители государственных органов, частного сектора, академических организаций и организаций гражданского общества, чтобы сократить гендерный цифровой разрыв во всем мире;</w:t>
      </w:r>
    </w:p>
    <w:p w14:paraId="02FFC81B" w14:textId="77777777" w:rsidR="00885AD2" w:rsidRPr="00F23AA9" w:rsidRDefault="00885AD2" w:rsidP="00885AD2">
      <w:pPr>
        <w:rPr>
          <w:lang w:val="ru-RU"/>
        </w:rPr>
      </w:pPr>
      <w:r w:rsidRPr="00F23AA9">
        <w:rPr>
          <w:lang w:val="ru-RU"/>
        </w:rPr>
        <w:br w:type="page"/>
      </w:r>
    </w:p>
    <w:p w14:paraId="2226D1E9" w14:textId="77777777" w:rsidR="00167CF9" w:rsidRPr="00F23AA9" w:rsidRDefault="00167CF9" w:rsidP="00167CF9">
      <w:pPr>
        <w:rPr>
          <w:lang w:val="ru-RU"/>
        </w:rPr>
      </w:pPr>
      <w:r w:rsidRPr="00F23AA9">
        <w:rPr>
          <w:i/>
          <w:iCs/>
          <w:lang w:val="ru-RU"/>
        </w:rPr>
        <w:lastRenderedPageBreak/>
        <w:t>e)</w:t>
      </w:r>
      <w:r w:rsidRPr="00F23AA9">
        <w:rPr>
          <w:lang w:val="ru-RU"/>
        </w:rPr>
        <w:tab/>
        <w:t>об инициативе Организации Объединенных Наций "Международная сеть борцов за гендерное равенство" (IGC) и обязательстве Генерального секретаря МСЭ в рамках IGC содействовать гендерному равенству в групповых обсуждениях;</w:t>
      </w:r>
    </w:p>
    <w:p w14:paraId="764DE246" w14:textId="77777777" w:rsidR="00167CF9" w:rsidRPr="00F23AA9" w:rsidRDefault="00167CF9" w:rsidP="00167CF9">
      <w:pPr>
        <w:rPr>
          <w:lang w:val="ru-RU"/>
        </w:rPr>
      </w:pPr>
      <w:r w:rsidRPr="00F23AA9">
        <w:rPr>
          <w:i/>
          <w:iCs/>
          <w:lang w:val="ru-RU"/>
        </w:rPr>
        <w:t>f)</w:t>
      </w:r>
      <w:r w:rsidRPr="00F23AA9">
        <w:rPr>
          <w:lang w:val="ru-RU"/>
        </w:rPr>
        <w:tab/>
        <w:t>о наградах МСЭ/структуры "ООН-Женщины" за научно-технические достижения в области гендерного равенства и учета гендерных аспектов (GEM-TECH), присуждаемых в знак признания исключительных личных достижений, достижений организаций и инновационных стратегий, в которых ИКТ используются для расширения прав и возможностей женщин;</w:t>
      </w:r>
    </w:p>
    <w:p w14:paraId="24EE8A99" w14:textId="77777777" w:rsidR="00167CF9" w:rsidRPr="00F23AA9" w:rsidRDefault="00167CF9" w:rsidP="00167CF9">
      <w:pPr>
        <w:rPr>
          <w:lang w:val="ru-RU"/>
        </w:rPr>
      </w:pPr>
      <w:r w:rsidRPr="00F23AA9">
        <w:rPr>
          <w:i/>
          <w:iCs/>
          <w:lang w:val="ru-RU"/>
        </w:rPr>
        <w:t>g)</w:t>
      </w:r>
      <w:r w:rsidRPr="00F23AA9">
        <w:rPr>
          <w:lang w:val="ru-RU"/>
        </w:rPr>
        <w:tab/>
        <w:t>о Резолюции 70 (</w:t>
      </w:r>
      <w:proofErr w:type="spellStart"/>
      <w:r w:rsidRPr="00F23AA9">
        <w:rPr>
          <w:lang w:val="ru-RU"/>
        </w:rPr>
        <w:t>Пересм</w:t>
      </w:r>
      <w:proofErr w:type="spellEnd"/>
      <w:r w:rsidRPr="00F23AA9">
        <w:rPr>
          <w:lang w:val="ru-RU"/>
        </w:rPr>
        <w:t>. Бухарест, 2022 г.) Полномочной конференции (ПК) об учете гендерных аспектов в деятельности МСЭ и содействии обеспечению гендерного равенства и расширению прав и возможностей женщин и девушек посредством электросвязи/ИКТ;</w:t>
      </w:r>
    </w:p>
    <w:p w14:paraId="6E47CA19" w14:textId="77777777" w:rsidR="00167CF9" w:rsidRPr="00F23AA9" w:rsidRDefault="00167CF9" w:rsidP="00167CF9">
      <w:pPr>
        <w:rPr>
          <w:lang w:val="ru-RU"/>
        </w:rPr>
      </w:pPr>
      <w:r w:rsidRPr="00F23AA9">
        <w:rPr>
          <w:i/>
          <w:iCs/>
          <w:lang w:val="ru-RU"/>
        </w:rPr>
        <w:t>h)</w:t>
      </w:r>
      <w:r w:rsidRPr="00F23AA9">
        <w:rPr>
          <w:lang w:val="ru-RU"/>
        </w:rPr>
        <w:tab/>
        <w:t>о Резолюции 48 (</w:t>
      </w:r>
      <w:proofErr w:type="spellStart"/>
      <w:r w:rsidRPr="00F23AA9">
        <w:rPr>
          <w:lang w:val="ru-RU"/>
        </w:rPr>
        <w:t>Пересм</w:t>
      </w:r>
      <w:proofErr w:type="spellEnd"/>
      <w:r w:rsidRPr="00F23AA9">
        <w:rPr>
          <w:lang w:val="ru-RU"/>
        </w:rPr>
        <w:t>. Бухарест, 2022 г.) ПК об управлении людскими ресурсами и их развитии;</w:t>
      </w:r>
    </w:p>
    <w:p w14:paraId="53211BF7" w14:textId="77777777" w:rsidR="00167CF9" w:rsidRPr="00F23AA9" w:rsidRDefault="00167CF9" w:rsidP="00167CF9">
      <w:pPr>
        <w:rPr>
          <w:lang w:val="ru-RU"/>
        </w:rPr>
      </w:pPr>
      <w:r w:rsidRPr="00F23AA9">
        <w:rPr>
          <w:i/>
          <w:iCs/>
          <w:lang w:val="ru-RU"/>
        </w:rPr>
        <w:t>i)</w:t>
      </w:r>
      <w:r w:rsidRPr="00F23AA9">
        <w:rPr>
          <w:lang w:val="ru-RU"/>
        </w:rPr>
        <w:tab/>
        <w:t>о Резолюции 55 (</w:t>
      </w:r>
      <w:proofErr w:type="spellStart"/>
      <w:r w:rsidRPr="00F23AA9">
        <w:rPr>
          <w:lang w:val="ru-RU"/>
        </w:rPr>
        <w:t>Пересм</w:t>
      </w:r>
      <w:proofErr w:type="spellEnd"/>
      <w:r w:rsidRPr="00F23AA9">
        <w:rPr>
          <w:lang w:val="ru-RU"/>
        </w:rPr>
        <w:t>. Кигали, 2022 г.) Всемирной конференции по развитию электросвязи об учете гендерных аспектов в деятельности МСЭ для расширения прав и возможностей женщин при помощи электросвязи/ИКТ;</w:t>
      </w:r>
    </w:p>
    <w:p w14:paraId="383AA860" w14:textId="77777777" w:rsidR="00167CF9" w:rsidRPr="00F23AA9" w:rsidRDefault="00167CF9" w:rsidP="00167CF9">
      <w:pPr>
        <w:rPr>
          <w:lang w:val="ru-RU"/>
        </w:rPr>
      </w:pPr>
      <w:r w:rsidRPr="00F23AA9">
        <w:rPr>
          <w:i/>
          <w:iCs/>
          <w:lang w:val="ru-RU"/>
        </w:rPr>
        <w:t>j)</w:t>
      </w:r>
      <w:r w:rsidRPr="00F23AA9">
        <w:rPr>
          <w:lang w:val="ru-RU"/>
        </w:rPr>
        <w:tab/>
        <w:t>о Резолюции 72 (Дубай, 2023 г.) Ассамблеи радиосвязи о поощрении гендерного равенства и равноправия и преодолении разрыва в том, что касается участия и вклада женщин и мужчин в деятельность Сектора радиосвязи МСЭ (МСЭ</w:t>
      </w:r>
      <w:r w:rsidRPr="00F23AA9">
        <w:rPr>
          <w:lang w:val="ru-RU"/>
        </w:rPr>
        <w:noBreakHyphen/>
        <w:t>R),</w:t>
      </w:r>
    </w:p>
    <w:p w14:paraId="3D5A35F4" w14:textId="77777777" w:rsidR="00167CF9" w:rsidRPr="00F23AA9" w:rsidRDefault="00167CF9" w:rsidP="00167CF9">
      <w:pPr>
        <w:pStyle w:val="Call"/>
        <w:rPr>
          <w:lang w:val="ru-RU"/>
        </w:rPr>
      </w:pPr>
      <w:r w:rsidRPr="00F23AA9">
        <w:rPr>
          <w:lang w:val="ru-RU"/>
        </w:rPr>
        <w:t>признавая</w:t>
      </w:r>
      <w:r w:rsidRPr="00F23AA9">
        <w:rPr>
          <w:i w:val="0"/>
          <w:iCs/>
          <w:lang w:val="ru-RU"/>
        </w:rPr>
        <w:t>,</w:t>
      </w:r>
    </w:p>
    <w:p w14:paraId="48D4ABA1" w14:textId="77777777" w:rsidR="00167CF9" w:rsidRPr="00F23AA9" w:rsidRDefault="00167CF9" w:rsidP="00167CF9">
      <w:pPr>
        <w:rPr>
          <w:lang w:val="ru-RU"/>
        </w:rPr>
      </w:pPr>
      <w:r w:rsidRPr="00F23AA9">
        <w:rPr>
          <w:i/>
          <w:iCs/>
          <w:lang w:val="ru-RU"/>
        </w:rPr>
        <w:t>a)</w:t>
      </w:r>
      <w:r w:rsidRPr="00F23AA9">
        <w:rPr>
          <w:lang w:val="ru-RU"/>
        </w:rPr>
        <w:tab/>
        <w:t xml:space="preserve">что общество в целом, особенно в контексте общества, основанного на информации и знаниях, получит преимущества от равноправного участия женщин и мужчин в разработке политики и принятии решений, а также от равного доступа как женщин, так и мужчин к услугам связи; </w:t>
      </w:r>
    </w:p>
    <w:p w14:paraId="21C91F19" w14:textId="77777777" w:rsidR="00167CF9" w:rsidRPr="00F23AA9" w:rsidRDefault="00167CF9" w:rsidP="00167CF9">
      <w:pPr>
        <w:rPr>
          <w:lang w:val="ru-RU"/>
        </w:rPr>
      </w:pPr>
      <w:r w:rsidRPr="00F23AA9">
        <w:rPr>
          <w:i/>
          <w:iCs/>
          <w:lang w:val="ru-RU"/>
        </w:rPr>
        <w:t>b)</w:t>
      </w:r>
      <w:r w:rsidRPr="00F23AA9">
        <w:rPr>
          <w:lang w:val="ru-RU"/>
        </w:rPr>
        <w:tab/>
        <w:t>что в итоговых документах Всемирной встречи на высшем уровне по вопросам информационного общества, а именно в Женевской декларации принципов, Женевском плане действий, Тунисском обязательстве и Тунисской программе для информационного общества, излагается концепция информационного общества, и что необходимо продолжить усилия в этом направлении в целях устранения гендерного цифрового разрыва;</w:t>
      </w:r>
    </w:p>
    <w:p w14:paraId="3BBAD33B" w14:textId="77777777" w:rsidR="00167CF9" w:rsidRPr="00F23AA9" w:rsidRDefault="00167CF9" w:rsidP="00167CF9">
      <w:pPr>
        <w:rPr>
          <w:lang w:val="ru-RU"/>
        </w:rPr>
      </w:pPr>
      <w:r w:rsidRPr="00F23AA9">
        <w:rPr>
          <w:i/>
          <w:iCs/>
          <w:lang w:val="ru-RU"/>
        </w:rPr>
        <w:t>c)</w:t>
      </w:r>
      <w:r w:rsidRPr="00F23AA9">
        <w:rPr>
          <w:lang w:val="ru-RU"/>
        </w:rPr>
        <w:tab/>
        <w:t>что повышение уровня образования женщин и девушек и расширение их участия в ИКТ также способствует достижению ЦУР5 ООН (Обеспечение гендерного равенства и расширение прав и возможностей всех женщин и девочек);</w:t>
      </w:r>
    </w:p>
    <w:p w14:paraId="09464D69" w14:textId="77777777" w:rsidR="00167CF9" w:rsidRPr="00F23AA9" w:rsidRDefault="00167CF9" w:rsidP="00167CF9">
      <w:pPr>
        <w:rPr>
          <w:lang w:val="ru-RU"/>
        </w:rPr>
      </w:pPr>
      <w:r w:rsidRPr="00F23AA9">
        <w:rPr>
          <w:i/>
          <w:iCs/>
          <w:lang w:val="ru-RU"/>
        </w:rPr>
        <w:t>d)</w:t>
      </w:r>
      <w:r w:rsidRPr="00F23AA9">
        <w:rPr>
          <w:lang w:val="ru-RU"/>
        </w:rPr>
        <w:tab/>
        <w:t>отчет Рабочей группы по широкополосной связи и гендерным вопросам Комиссии по широкополосной связи в интересах устойчивого развития за 2013 год "Удвоение цифровых возможностей: расширение интеграции женщин и девушек в информационное общество",</w:t>
      </w:r>
    </w:p>
    <w:p w14:paraId="5201F92F" w14:textId="77777777" w:rsidR="00885AD2" w:rsidRPr="00F23AA9" w:rsidRDefault="00885AD2" w:rsidP="00885AD2">
      <w:pPr>
        <w:rPr>
          <w:lang w:val="ru-RU"/>
        </w:rPr>
      </w:pPr>
      <w:r w:rsidRPr="00F23AA9">
        <w:rPr>
          <w:lang w:val="ru-RU"/>
        </w:rPr>
        <w:br w:type="page"/>
      </w:r>
    </w:p>
    <w:p w14:paraId="691479DA" w14:textId="77777777" w:rsidR="00167CF9" w:rsidRPr="00F23AA9" w:rsidRDefault="00167CF9" w:rsidP="00167CF9">
      <w:pPr>
        <w:pStyle w:val="Call"/>
        <w:rPr>
          <w:i w:val="0"/>
          <w:iCs/>
          <w:lang w:val="ru-RU"/>
        </w:rPr>
      </w:pPr>
      <w:r w:rsidRPr="00F23AA9">
        <w:rPr>
          <w:lang w:val="ru-RU"/>
        </w:rPr>
        <w:lastRenderedPageBreak/>
        <w:t>решает</w:t>
      </w:r>
      <w:r w:rsidRPr="00F23AA9">
        <w:rPr>
          <w:i w:val="0"/>
          <w:iCs/>
          <w:lang w:val="ru-RU"/>
        </w:rPr>
        <w:t>,</w:t>
      </w:r>
    </w:p>
    <w:p w14:paraId="51938FB0" w14:textId="77777777" w:rsidR="00167CF9" w:rsidRPr="00F23AA9" w:rsidRDefault="00167CF9" w:rsidP="00167CF9">
      <w:pPr>
        <w:rPr>
          <w:lang w:val="ru-RU"/>
        </w:rPr>
      </w:pPr>
      <w:r w:rsidRPr="00F23AA9">
        <w:rPr>
          <w:lang w:val="ru-RU"/>
        </w:rPr>
        <w:t>1</w:t>
      </w:r>
      <w:r w:rsidRPr="00F23AA9">
        <w:rPr>
          <w:lang w:val="ru-RU"/>
        </w:rPr>
        <w:tab/>
        <w:t>что МСЭ-Т продолжит усилия для обеспечения того, чтобы все его стратегии, программы работы, деятельность по распространению информации, публикации, исследовательские комиссии, семинары, курсы, ассамблеи и конференции отражали стремление обеспечить гендерное равенство и содействовали гендерному балансу:</w:t>
      </w:r>
    </w:p>
    <w:p w14:paraId="24FC3791" w14:textId="77777777" w:rsidR="00167CF9" w:rsidRPr="00F23AA9" w:rsidRDefault="00167CF9" w:rsidP="00167CF9">
      <w:pPr>
        <w:pStyle w:val="enumlev1"/>
        <w:rPr>
          <w:lang w:val="ru-RU"/>
        </w:rPr>
      </w:pPr>
      <w:r w:rsidRPr="00F23AA9">
        <w:rPr>
          <w:lang w:val="ru-RU"/>
        </w:rPr>
        <w:t>i)</w:t>
      </w:r>
      <w:r w:rsidRPr="00F23AA9">
        <w:rPr>
          <w:lang w:val="ru-RU"/>
        </w:rPr>
        <w:tab/>
        <w:t>по должностям, включая должности категории специалистов и выше, в БСЭ; и</w:t>
      </w:r>
    </w:p>
    <w:p w14:paraId="7AEC8D57" w14:textId="77777777" w:rsidR="00167CF9" w:rsidRPr="00F23AA9" w:rsidRDefault="00167CF9" w:rsidP="00167CF9">
      <w:pPr>
        <w:pStyle w:val="enumlev1"/>
        <w:rPr>
          <w:lang w:val="ru-RU"/>
        </w:rPr>
      </w:pPr>
      <w:proofErr w:type="spellStart"/>
      <w:r w:rsidRPr="00F23AA9">
        <w:rPr>
          <w:lang w:val="ru-RU"/>
        </w:rPr>
        <w:t>ii</w:t>
      </w:r>
      <w:proofErr w:type="spellEnd"/>
      <w:r w:rsidRPr="00F23AA9">
        <w:rPr>
          <w:lang w:val="ru-RU"/>
        </w:rPr>
        <w:t>)</w:t>
      </w:r>
      <w:r w:rsidRPr="00F23AA9">
        <w:rPr>
          <w:lang w:val="ru-RU"/>
        </w:rPr>
        <w:tab/>
        <w:t xml:space="preserve">при выборе председателей, заместителей председателей и докладчиков исследовательских комиссий МСЭ-Т и КГСЭ, включая также председателей и заместителей председателей Комитетов Всемирной </w:t>
      </w:r>
      <w:r w:rsidRPr="00F23AA9">
        <w:rPr>
          <w:iCs/>
          <w:lang w:val="ru-RU"/>
        </w:rPr>
        <w:t>ассамблеи по стандартизации электросвязи (</w:t>
      </w:r>
      <w:r w:rsidRPr="00F23AA9">
        <w:rPr>
          <w:lang w:val="ru-RU"/>
        </w:rPr>
        <w:t>ВАСЭ);</w:t>
      </w:r>
    </w:p>
    <w:p w14:paraId="2907B0C3" w14:textId="77777777" w:rsidR="00167CF9" w:rsidRPr="00F23AA9" w:rsidRDefault="00167CF9" w:rsidP="00167CF9">
      <w:pPr>
        <w:rPr>
          <w:lang w:val="ru-RU"/>
        </w:rPr>
      </w:pPr>
      <w:r w:rsidRPr="00F23AA9">
        <w:rPr>
          <w:lang w:val="ru-RU"/>
        </w:rPr>
        <w:t>2</w:t>
      </w:r>
      <w:r w:rsidRPr="00F23AA9">
        <w:rPr>
          <w:lang w:val="ru-RU"/>
        </w:rPr>
        <w:tab/>
        <w:t>что следует уделять первоочередное внимание учету гендерных аспектов в сферах управления, подбора кадров и деятельности МСЭ-T, учитывая географическое представительство;</w:t>
      </w:r>
    </w:p>
    <w:p w14:paraId="2714F32C" w14:textId="77777777" w:rsidR="00167CF9" w:rsidRPr="00F23AA9" w:rsidRDefault="00167CF9" w:rsidP="00167CF9">
      <w:pPr>
        <w:rPr>
          <w:lang w:val="ru-RU"/>
        </w:rPr>
      </w:pPr>
      <w:r w:rsidRPr="00F23AA9">
        <w:rPr>
          <w:lang w:val="ru-RU"/>
        </w:rPr>
        <w:t>3</w:t>
      </w:r>
      <w:r w:rsidRPr="00F23AA9">
        <w:rPr>
          <w:lang w:val="ru-RU"/>
        </w:rPr>
        <w:tab/>
        <w:t xml:space="preserve">что МСЭ-Т продолжит поддерживать сеть </w:t>
      </w:r>
      <w:proofErr w:type="spellStart"/>
      <w:r w:rsidRPr="00F23AA9">
        <w:rPr>
          <w:lang w:val="ru-RU"/>
        </w:rPr>
        <w:t>NoW</w:t>
      </w:r>
      <w:proofErr w:type="spellEnd"/>
      <w:r w:rsidRPr="00F23AA9">
        <w:rPr>
          <w:lang w:val="ru-RU"/>
        </w:rPr>
        <w:t xml:space="preserve"> в МСЭ-T, </w:t>
      </w:r>
    </w:p>
    <w:p w14:paraId="69C199A7" w14:textId="77777777" w:rsidR="00167CF9" w:rsidRPr="00F23AA9" w:rsidRDefault="00167CF9" w:rsidP="00167CF9">
      <w:pPr>
        <w:pStyle w:val="Call"/>
        <w:rPr>
          <w:lang w:val="ru-RU"/>
        </w:rPr>
      </w:pPr>
      <w:r w:rsidRPr="00F23AA9">
        <w:rPr>
          <w:lang w:val="ru-RU"/>
        </w:rPr>
        <w:t>поручает Директору Бюро стандартизации электросвязи</w:t>
      </w:r>
    </w:p>
    <w:p w14:paraId="43307E20" w14:textId="77777777" w:rsidR="00167CF9" w:rsidRPr="00F23AA9" w:rsidRDefault="00167CF9" w:rsidP="00167CF9">
      <w:pPr>
        <w:rPr>
          <w:lang w:val="ru-RU"/>
        </w:rPr>
      </w:pPr>
      <w:r w:rsidRPr="00F23AA9">
        <w:rPr>
          <w:lang w:val="ru-RU"/>
        </w:rPr>
        <w:t>1</w:t>
      </w:r>
      <w:r w:rsidRPr="00F23AA9">
        <w:rPr>
          <w:lang w:val="ru-RU"/>
        </w:rPr>
        <w:tab/>
        <w:t>принять необходимые меры для продолжения реализации политики МСЭ в области GEM, включая содействие в выполнении рекомендаций ОИГ, касающихся учета гендерных аспектов, оказание поддержки координаторам по гендерным вопросам для МСЭ-Т и поощрение персонала БСЭ к прохождению соответствующей профессиональной подготовки;</w:t>
      </w:r>
    </w:p>
    <w:p w14:paraId="36635F07" w14:textId="77777777" w:rsidR="00167CF9" w:rsidRPr="00F23AA9" w:rsidRDefault="00167CF9" w:rsidP="00167CF9">
      <w:pPr>
        <w:rPr>
          <w:lang w:val="ru-RU"/>
        </w:rPr>
      </w:pPr>
      <w:r w:rsidRPr="00F23AA9">
        <w:rPr>
          <w:lang w:val="ru-RU"/>
        </w:rPr>
        <w:t>2</w:t>
      </w:r>
      <w:r w:rsidRPr="00F23AA9">
        <w:rPr>
          <w:lang w:val="ru-RU"/>
        </w:rPr>
        <w:tab/>
        <w:t>ускорять интеграцию гендерной проблематики в работу БСЭ в соответствии с принципами, которые уже применяются в МСЭ;</w:t>
      </w:r>
    </w:p>
    <w:p w14:paraId="1D415B5F" w14:textId="77777777" w:rsidR="00167CF9" w:rsidRPr="00F23AA9" w:rsidRDefault="00167CF9" w:rsidP="00167CF9">
      <w:pPr>
        <w:rPr>
          <w:lang w:val="ru-RU"/>
        </w:rPr>
      </w:pPr>
      <w:r w:rsidRPr="00F23AA9">
        <w:rPr>
          <w:lang w:val="ru-RU"/>
        </w:rPr>
        <w:t>3</w:t>
      </w:r>
      <w:r w:rsidRPr="00F23AA9">
        <w:rPr>
          <w:lang w:val="ru-RU"/>
        </w:rPr>
        <w:tab/>
        <w:t>уделять первоочередное внимание учету гендерных аспектов в сферах управления, оказания финансовой помощи, подбора кадров и деятельности МСЭ-T;</w:t>
      </w:r>
    </w:p>
    <w:p w14:paraId="6F5B1E74" w14:textId="77777777" w:rsidR="00167CF9" w:rsidRPr="00F23AA9" w:rsidRDefault="00167CF9" w:rsidP="00167CF9">
      <w:pPr>
        <w:rPr>
          <w:lang w:val="ru-RU"/>
        </w:rPr>
      </w:pPr>
      <w:r w:rsidRPr="00F23AA9">
        <w:rPr>
          <w:lang w:val="ru-RU"/>
        </w:rPr>
        <w:t>4</w:t>
      </w:r>
      <w:r w:rsidRPr="00F23AA9">
        <w:rPr>
          <w:lang w:val="ru-RU"/>
        </w:rPr>
        <w:tab/>
        <w:t>ежегодно проводить обзор достижений Сектора в обеспечении учета гендерных аспектов, в том числе путем распространения вопросников, а также путем сбора и анализа статистических данных о деятельности МСЭ-T по стандартизации с разбивкой по гендерному признаку и регионам, для того чтобы выявлять проблемы, препятствующие участию женщин, и вырабатывать соответствующие решения, а также сообщать свои выводы относительно осуществления настоящей Резолюции КГСЭ и следующей ВАСЭ;</w:t>
      </w:r>
    </w:p>
    <w:p w14:paraId="15AC4B45" w14:textId="77777777" w:rsidR="00167CF9" w:rsidRPr="00F23AA9" w:rsidRDefault="00167CF9" w:rsidP="00167CF9">
      <w:pPr>
        <w:rPr>
          <w:lang w:val="ru-RU"/>
        </w:rPr>
      </w:pPr>
      <w:r w:rsidRPr="00F23AA9">
        <w:rPr>
          <w:lang w:val="ru-RU"/>
        </w:rPr>
        <w:t>5</w:t>
      </w:r>
      <w:r w:rsidRPr="00F23AA9">
        <w:rPr>
          <w:lang w:val="ru-RU"/>
        </w:rPr>
        <w:tab/>
        <w:t>поощрять участие женщин во всех аспектах деятельности МСЭ-Т и, в частности, возможность участия в собраниях, а также поддерживать и увеличивать число женщин из всех регионов на руководящих должностях в МСЭ-Т посредством:</w:t>
      </w:r>
    </w:p>
    <w:p w14:paraId="0DD044C0" w14:textId="77777777" w:rsidR="00167CF9" w:rsidRPr="00F23AA9" w:rsidRDefault="00167CF9" w:rsidP="00167CF9">
      <w:pPr>
        <w:pStyle w:val="enumlev1"/>
        <w:rPr>
          <w:lang w:val="ru-RU"/>
        </w:rPr>
      </w:pPr>
      <w:r w:rsidRPr="00F23AA9">
        <w:rPr>
          <w:lang w:val="ru-RU"/>
        </w:rPr>
        <w:t>i)</w:t>
      </w:r>
      <w:r w:rsidRPr="00F23AA9">
        <w:rPr>
          <w:lang w:val="ru-RU"/>
        </w:rPr>
        <w:tab/>
        <w:t>рекомендации членам МСЭ включать в свои делегации женщин, в том числе путем использования во всех циркулярных письмах заявления: "Членам МСЭ предлагается по мере возможности включать в свои делегации женщин";</w:t>
      </w:r>
    </w:p>
    <w:p w14:paraId="09EA3373" w14:textId="77777777" w:rsidR="00167CF9" w:rsidRPr="00F23AA9" w:rsidRDefault="00167CF9" w:rsidP="00167CF9">
      <w:pPr>
        <w:pStyle w:val="enumlev1"/>
        <w:rPr>
          <w:lang w:val="ru-RU"/>
        </w:rPr>
      </w:pPr>
      <w:proofErr w:type="spellStart"/>
      <w:r w:rsidRPr="00F23AA9">
        <w:rPr>
          <w:lang w:val="ru-RU"/>
        </w:rPr>
        <w:t>ii</w:t>
      </w:r>
      <w:proofErr w:type="spellEnd"/>
      <w:r w:rsidRPr="00F23AA9">
        <w:rPr>
          <w:lang w:val="ru-RU"/>
        </w:rPr>
        <w:t>)</w:t>
      </w:r>
      <w:r w:rsidRPr="00F23AA9">
        <w:rPr>
          <w:lang w:val="ru-RU"/>
        </w:rPr>
        <w:tab/>
        <w:t>уделения первостепенного внимания отбору женщин на должности категорий специалистов и выше в БСЭ;</w:t>
      </w:r>
    </w:p>
    <w:p w14:paraId="78C47101" w14:textId="77777777" w:rsidR="00167CF9" w:rsidRPr="00F23AA9" w:rsidRDefault="00167CF9" w:rsidP="00167CF9">
      <w:pPr>
        <w:pStyle w:val="enumlev1"/>
        <w:rPr>
          <w:lang w:val="ru-RU"/>
        </w:rPr>
      </w:pPr>
      <w:proofErr w:type="spellStart"/>
      <w:r w:rsidRPr="00F23AA9">
        <w:rPr>
          <w:lang w:val="ru-RU"/>
        </w:rPr>
        <w:t>iii</w:t>
      </w:r>
      <w:proofErr w:type="spellEnd"/>
      <w:r w:rsidRPr="00F23AA9">
        <w:rPr>
          <w:lang w:val="ru-RU"/>
        </w:rPr>
        <w:t>)</w:t>
      </w:r>
      <w:r w:rsidRPr="00F23AA9">
        <w:rPr>
          <w:lang w:val="ru-RU"/>
        </w:rPr>
        <w:tab/>
        <w:t>проведения учебных занятий по участию в собраниях, составлению вкладов и председательству на собраниях;</w:t>
      </w:r>
    </w:p>
    <w:p w14:paraId="09522F42" w14:textId="77777777" w:rsidR="00885AD2" w:rsidRPr="00F23AA9" w:rsidRDefault="00885AD2" w:rsidP="00885AD2">
      <w:pPr>
        <w:rPr>
          <w:lang w:val="ru-RU"/>
        </w:rPr>
      </w:pPr>
      <w:r w:rsidRPr="00F23AA9">
        <w:rPr>
          <w:lang w:val="ru-RU"/>
        </w:rPr>
        <w:br w:type="page"/>
      </w:r>
    </w:p>
    <w:p w14:paraId="23303657" w14:textId="77777777" w:rsidR="00167CF9" w:rsidRPr="00F23AA9" w:rsidRDefault="00167CF9" w:rsidP="00167CF9">
      <w:pPr>
        <w:pStyle w:val="enumlev1"/>
        <w:rPr>
          <w:lang w:val="ru-RU"/>
        </w:rPr>
      </w:pPr>
      <w:proofErr w:type="spellStart"/>
      <w:r w:rsidRPr="00F23AA9">
        <w:rPr>
          <w:lang w:val="ru-RU"/>
        </w:rPr>
        <w:lastRenderedPageBreak/>
        <w:t>iv</w:t>
      </w:r>
      <w:proofErr w:type="spellEnd"/>
      <w:r w:rsidRPr="00F23AA9">
        <w:rPr>
          <w:lang w:val="ru-RU"/>
        </w:rPr>
        <w:t>)</w:t>
      </w:r>
      <w:r w:rsidRPr="00F23AA9">
        <w:rPr>
          <w:lang w:val="ru-RU"/>
        </w:rPr>
        <w:tab/>
        <w:t>развертывания целенаправленного комплекса мероприятий в рамках NoW4WTSA перед каждой ВАСЭ, которые направлены на поощрение участия и выдвижения женщин на руководящие должности в следующем исследовательском периоде, а также на Ассамблее, с учетом Резолюции 208 (</w:t>
      </w:r>
      <w:proofErr w:type="spellStart"/>
      <w:r w:rsidRPr="00F23AA9">
        <w:rPr>
          <w:lang w:val="ru-RU"/>
        </w:rPr>
        <w:t>Пересм</w:t>
      </w:r>
      <w:proofErr w:type="spellEnd"/>
      <w:r w:rsidRPr="00F23AA9">
        <w:rPr>
          <w:lang w:val="ru-RU"/>
        </w:rPr>
        <w:t>. Бухарест, 2022 г.) ПК;</w:t>
      </w:r>
    </w:p>
    <w:p w14:paraId="0BA16E91" w14:textId="77777777" w:rsidR="00167CF9" w:rsidRPr="00F23AA9" w:rsidRDefault="00167CF9" w:rsidP="00167CF9">
      <w:pPr>
        <w:rPr>
          <w:lang w:val="ru-RU"/>
        </w:rPr>
      </w:pPr>
      <w:r w:rsidRPr="00F23AA9">
        <w:rPr>
          <w:lang w:val="ru-RU"/>
        </w:rPr>
        <w:t>6</w:t>
      </w:r>
      <w:r w:rsidRPr="00F23AA9">
        <w:rPr>
          <w:lang w:val="ru-RU"/>
        </w:rPr>
        <w:tab/>
        <w:t xml:space="preserve">активизировать текущую работу </w:t>
      </w:r>
      <w:proofErr w:type="spellStart"/>
      <w:r w:rsidRPr="00F23AA9">
        <w:rPr>
          <w:lang w:val="ru-RU"/>
        </w:rPr>
        <w:t>NoW</w:t>
      </w:r>
      <w:proofErr w:type="spellEnd"/>
      <w:r w:rsidRPr="00F23AA9">
        <w:rPr>
          <w:lang w:val="ru-RU"/>
        </w:rPr>
        <w:t xml:space="preserve"> в МСЭ-T, с тем чтобы обеспечивать всем женщинам возможность сформироваться как руководители МСЭ-Т;</w:t>
      </w:r>
    </w:p>
    <w:p w14:paraId="4B1B64AD" w14:textId="77777777" w:rsidR="00167CF9" w:rsidRPr="00F23AA9" w:rsidRDefault="00167CF9" w:rsidP="00167CF9">
      <w:pPr>
        <w:rPr>
          <w:lang w:val="ru-RU"/>
        </w:rPr>
      </w:pPr>
      <w:r w:rsidRPr="00F23AA9">
        <w:rPr>
          <w:lang w:val="ru-RU"/>
        </w:rPr>
        <w:t>7</w:t>
      </w:r>
      <w:r w:rsidRPr="00F23AA9">
        <w:rPr>
          <w:lang w:val="ru-RU"/>
        </w:rPr>
        <w:tab/>
        <w:t xml:space="preserve">продолжать размещать в открытом доступе на веб-странице </w:t>
      </w:r>
      <w:proofErr w:type="spellStart"/>
      <w:r w:rsidRPr="00F23AA9">
        <w:rPr>
          <w:lang w:val="ru-RU"/>
        </w:rPr>
        <w:t>NoW</w:t>
      </w:r>
      <w:proofErr w:type="spellEnd"/>
      <w:r w:rsidRPr="00F23AA9">
        <w:rPr>
          <w:lang w:val="ru-RU"/>
        </w:rPr>
        <w:t xml:space="preserve"> в МСЭ-T текущую информацию о числе женщин, участвующих в мероприятиях Сектора, в том числе принадлежность к администрации или Члену Сектора, распределение по исследовательским комиссиям и определение исследовательских комиссий, в которых женщины занимают руководящие должности;</w:t>
      </w:r>
    </w:p>
    <w:p w14:paraId="074CDFBC" w14:textId="77777777" w:rsidR="00167CF9" w:rsidRPr="00F23AA9" w:rsidRDefault="00167CF9" w:rsidP="00167CF9">
      <w:pPr>
        <w:rPr>
          <w:lang w:val="ru-RU"/>
        </w:rPr>
      </w:pPr>
      <w:r w:rsidRPr="00F23AA9">
        <w:rPr>
          <w:lang w:val="ru-RU"/>
        </w:rPr>
        <w:t>8</w:t>
      </w:r>
      <w:r w:rsidRPr="00F23AA9">
        <w:rPr>
          <w:lang w:val="ru-RU"/>
        </w:rPr>
        <w:tab/>
        <w:t>учитывать гендерный баланс как фактор при распределении финансовой помощи, оказываемой для участия в собраниях МСЭ-Т, при наличии ресурсов;</w:t>
      </w:r>
    </w:p>
    <w:p w14:paraId="2B2FD9C8" w14:textId="77777777" w:rsidR="00167CF9" w:rsidRPr="00F23AA9" w:rsidRDefault="00167CF9" w:rsidP="00167CF9">
      <w:pPr>
        <w:rPr>
          <w:lang w:val="ru-RU"/>
        </w:rPr>
      </w:pPr>
      <w:r w:rsidRPr="00F23AA9">
        <w:rPr>
          <w:lang w:val="ru-RU"/>
        </w:rPr>
        <w:t>9</w:t>
      </w:r>
      <w:r w:rsidRPr="00F23AA9">
        <w:rPr>
          <w:lang w:val="ru-RU"/>
        </w:rPr>
        <w:tab/>
        <w:t>участвовать от имени МСЭ-Т, совместно с Генеральным секретарем МСЭ как участником Женевской сети участников IGC, в выдвинутой Структурой "ООН-Женщины" инициативе "Планета 50‑50", чтобы бороться с незримым гендерным перекосом;</w:t>
      </w:r>
    </w:p>
    <w:p w14:paraId="65C2A71E" w14:textId="77777777" w:rsidR="00167CF9" w:rsidRPr="00F23AA9" w:rsidRDefault="00167CF9" w:rsidP="00167CF9">
      <w:pPr>
        <w:rPr>
          <w:lang w:val="ru-RU"/>
        </w:rPr>
      </w:pPr>
      <w:r w:rsidRPr="00F23AA9">
        <w:rPr>
          <w:rFonts w:eastAsia="Malgun Gothic"/>
          <w:lang w:val="ru-RU" w:eastAsia="ko-KR"/>
        </w:rPr>
        <w:t>10</w:t>
      </w:r>
      <w:r w:rsidRPr="00F23AA9">
        <w:rPr>
          <w:lang w:val="ru-RU"/>
        </w:rPr>
        <w:tab/>
        <w:t xml:space="preserve">информировать КГСЭ о назначении региональных представителей и деятельности </w:t>
      </w:r>
      <w:proofErr w:type="spellStart"/>
      <w:r w:rsidRPr="00F23AA9">
        <w:rPr>
          <w:lang w:val="ru-RU"/>
        </w:rPr>
        <w:t>NoW</w:t>
      </w:r>
      <w:proofErr w:type="spellEnd"/>
      <w:r w:rsidRPr="00F23AA9">
        <w:rPr>
          <w:lang w:val="ru-RU"/>
        </w:rPr>
        <w:t xml:space="preserve"> в МСЭ-T,</w:t>
      </w:r>
    </w:p>
    <w:p w14:paraId="77922574" w14:textId="77777777" w:rsidR="00167CF9" w:rsidRPr="00F23AA9" w:rsidRDefault="00167CF9" w:rsidP="00167CF9">
      <w:pPr>
        <w:pStyle w:val="Call"/>
        <w:rPr>
          <w:lang w:val="ru-RU"/>
        </w:rPr>
      </w:pPr>
      <w:r w:rsidRPr="00F23AA9">
        <w:rPr>
          <w:lang w:val="ru-RU"/>
        </w:rPr>
        <w:t>предлагает Генеральному секретарю</w:t>
      </w:r>
    </w:p>
    <w:p w14:paraId="3CB3C123" w14:textId="77777777" w:rsidR="00167CF9" w:rsidRPr="00F23AA9" w:rsidRDefault="00167CF9" w:rsidP="00167CF9">
      <w:pPr>
        <w:rPr>
          <w:lang w:val="ru-RU"/>
        </w:rPr>
      </w:pPr>
      <w:r w:rsidRPr="00F23AA9">
        <w:rPr>
          <w:lang w:val="ru-RU"/>
        </w:rPr>
        <w:t>1</w:t>
      </w:r>
      <w:r w:rsidRPr="00F23AA9">
        <w:rPr>
          <w:lang w:val="ru-RU"/>
        </w:rPr>
        <w:tab/>
      </w:r>
      <w:r w:rsidRPr="00F23AA9">
        <w:rPr>
          <w:lang w:val="ru-RU" w:eastAsia="ja-JP"/>
        </w:rPr>
        <w:t>соблюдать обязательства по представлению отчетов, согласно требованиям UNSWAP, о деятельности МСЭ-T, направленной на содействие обеспечению гендерного равенства и расширению прав и возможностей женщин</w:t>
      </w:r>
      <w:r w:rsidRPr="00F23AA9">
        <w:rPr>
          <w:lang w:val="ru-RU"/>
        </w:rPr>
        <w:t>;</w:t>
      </w:r>
    </w:p>
    <w:p w14:paraId="57052811" w14:textId="77777777" w:rsidR="00167CF9" w:rsidRPr="00F23AA9" w:rsidRDefault="00167CF9" w:rsidP="00167CF9">
      <w:pPr>
        <w:rPr>
          <w:lang w:val="ru-RU"/>
        </w:rPr>
      </w:pPr>
      <w:r w:rsidRPr="00F23AA9">
        <w:rPr>
          <w:lang w:val="ru-RU"/>
        </w:rPr>
        <w:t>2</w:t>
      </w:r>
      <w:r w:rsidRPr="00F23AA9">
        <w:rPr>
          <w:lang w:val="ru-RU"/>
        </w:rPr>
        <w:tab/>
        <w:t>продолжать поощрять персонал МСЭ учитывать руководящие принципы в отношении нейтральных с гендерной точки зрения формулировок, содержащиеся в Руководстве по стилю английского языка МСЭ, и в максимальной степени избегать использования терминов, имеющих специфический гендерный характер,</w:t>
      </w:r>
    </w:p>
    <w:p w14:paraId="7BDEF188" w14:textId="77777777" w:rsidR="00167CF9" w:rsidRPr="00F23AA9" w:rsidRDefault="00167CF9" w:rsidP="00167CF9">
      <w:pPr>
        <w:pStyle w:val="Call"/>
        <w:rPr>
          <w:lang w:val="ru-RU"/>
        </w:rPr>
      </w:pPr>
      <w:r w:rsidRPr="00F23AA9">
        <w:rPr>
          <w:lang w:val="ru-RU"/>
        </w:rPr>
        <w:t>предлагает Государствам-Членам и Членам Сектора</w:t>
      </w:r>
    </w:p>
    <w:p w14:paraId="32E4FB0C" w14:textId="77777777" w:rsidR="00167CF9" w:rsidRPr="00F23AA9" w:rsidRDefault="00167CF9" w:rsidP="00167CF9">
      <w:pPr>
        <w:rPr>
          <w:lang w:val="ru-RU"/>
        </w:rPr>
      </w:pPr>
      <w:r w:rsidRPr="00F23AA9">
        <w:rPr>
          <w:lang w:val="ru-RU"/>
        </w:rPr>
        <w:t>1</w:t>
      </w:r>
      <w:r w:rsidRPr="00F23AA9">
        <w:rPr>
          <w:lang w:val="ru-RU"/>
        </w:rPr>
        <w:tab/>
        <w:t>представлять кандидатуры на посты председателей/заместителей председателей, которые могли бы поддерживать активное участие женщин, а также мужчин в комиссиях и направлениях деятельности в области стандартизации и в своих собственных администрациях и делегациях, в соответствии с Резолюцией 208 (</w:t>
      </w:r>
      <w:proofErr w:type="spellStart"/>
      <w:r w:rsidRPr="00F23AA9">
        <w:rPr>
          <w:lang w:val="ru-RU"/>
        </w:rPr>
        <w:t>Пересм</w:t>
      </w:r>
      <w:proofErr w:type="spellEnd"/>
      <w:r w:rsidRPr="00F23AA9">
        <w:rPr>
          <w:lang w:val="ru-RU"/>
        </w:rPr>
        <w:t>. Бухарест, 2022 г.);</w:t>
      </w:r>
    </w:p>
    <w:p w14:paraId="157FD2F4" w14:textId="77777777" w:rsidR="00167CF9" w:rsidRPr="00F23AA9" w:rsidRDefault="00167CF9" w:rsidP="00167CF9">
      <w:pPr>
        <w:rPr>
          <w:lang w:val="ru-RU"/>
        </w:rPr>
      </w:pPr>
      <w:r w:rsidRPr="00F23AA9">
        <w:rPr>
          <w:lang w:val="ru-RU"/>
        </w:rPr>
        <w:t>2</w:t>
      </w:r>
      <w:r w:rsidRPr="00F23AA9">
        <w:rPr>
          <w:lang w:val="ru-RU"/>
        </w:rPr>
        <w:tab/>
        <w:t>активно поддерживать деятельность БСЭ и принимать участие в этой деятельности, включая выдвижение экспертов и региональных представителей в </w:t>
      </w:r>
      <w:proofErr w:type="spellStart"/>
      <w:r w:rsidRPr="00F23AA9">
        <w:rPr>
          <w:lang w:val="ru-RU"/>
        </w:rPr>
        <w:t>NoW</w:t>
      </w:r>
      <w:proofErr w:type="spellEnd"/>
      <w:r w:rsidRPr="00F23AA9">
        <w:rPr>
          <w:lang w:val="ru-RU"/>
        </w:rPr>
        <w:t xml:space="preserve"> в МСЭ-T в рамках сотрудничества с региональными организациями электросвязи, а также и впредь содействовать использованию ИКТ для расширения социально-экономических прав и возможностей женщин и девушек;</w:t>
      </w:r>
    </w:p>
    <w:p w14:paraId="63CC9B14" w14:textId="77777777" w:rsidR="00167CF9" w:rsidRPr="00F23AA9" w:rsidRDefault="00167CF9" w:rsidP="00167CF9">
      <w:pPr>
        <w:rPr>
          <w:lang w:val="ru-RU" w:eastAsia="ja-JP"/>
        </w:rPr>
      </w:pPr>
      <w:r w:rsidRPr="00F23AA9">
        <w:rPr>
          <w:lang w:val="ru-RU" w:eastAsia="ja-JP"/>
        </w:rPr>
        <w:t>3</w:t>
      </w:r>
      <w:r w:rsidRPr="00F23AA9">
        <w:rPr>
          <w:lang w:val="ru-RU" w:eastAsia="ja-JP"/>
        </w:rPr>
        <w:tab/>
        <w:t>содействовать и оказывать активную поддержку образованию в области ИКТ, которое поощряет участие девушек и женщин, и обеспечивать все меры, способствующие повышению интереса женщин и девушек и расширению их возможностей в плане профессиональной деятельности в сфере стандартизации ИКТ, а также продвигать инициативы, которые будут способствовать облегчению доступа девушек к сферам профессиональной деятельности, относящимся к ИКТ;</w:t>
      </w:r>
    </w:p>
    <w:p w14:paraId="1336F5CF" w14:textId="77777777" w:rsidR="00885AD2" w:rsidRDefault="00885AD2">
      <w:pPr>
        <w:tabs>
          <w:tab w:val="clear" w:pos="794"/>
          <w:tab w:val="clear" w:pos="1191"/>
          <w:tab w:val="clear" w:pos="1588"/>
          <w:tab w:val="clear" w:pos="1985"/>
        </w:tabs>
        <w:overflowPunct/>
        <w:autoSpaceDE/>
        <w:autoSpaceDN/>
        <w:adjustRightInd/>
        <w:spacing w:before="0"/>
        <w:jc w:val="left"/>
        <w:textAlignment w:val="auto"/>
        <w:rPr>
          <w:lang w:val="ru-RU" w:eastAsia="ja-JP"/>
        </w:rPr>
      </w:pPr>
      <w:r>
        <w:rPr>
          <w:lang w:val="ru-RU" w:eastAsia="ja-JP"/>
        </w:rPr>
        <w:br w:type="page"/>
      </w:r>
    </w:p>
    <w:p w14:paraId="3B663033" w14:textId="34B4B2AA" w:rsidR="00167CF9" w:rsidRPr="00F23AA9" w:rsidRDefault="00167CF9" w:rsidP="00167CF9">
      <w:pPr>
        <w:rPr>
          <w:lang w:val="ru-RU" w:eastAsia="ja-JP"/>
        </w:rPr>
      </w:pPr>
      <w:r w:rsidRPr="00F23AA9">
        <w:rPr>
          <w:lang w:val="ru-RU" w:eastAsia="ja-JP"/>
        </w:rPr>
        <w:lastRenderedPageBreak/>
        <w:t>4</w:t>
      </w:r>
      <w:r w:rsidRPr="00F23AA9">
        <w:rPr>
          <w:lang w:val="ru-RU" w:eastAsia="ja-JP"/>
        </w:rPr>
        <w:tab/>
        <w:t>поощрять более широкое участие делегатов-женщин и содействовать наращиванию их опыта;</w:t>
      </w:r>
    </w:p>
    <w:p w14:paraId="5A53D783" w14:textId="77777777" w:rsidR="00167CF9" w:rsidRPr="00F23AA9" w:rsidRDefault="00167CF9" w:rsidP="00167CF9">
      <w:pPr>
        <w:rPr>
          <w:lang w:val="ru-RU" w:eastAsia="ja-JP"/>
        </w:rPr>
      </w:pPr>
      <w:r w:rsidRPr="00F23AA9">
        <w:rPr>
          <w:lang w:val="ru-RU" w:eastAsia="ja-JP"/>
        </w:rPr>
        <w:t>5</w:t>
      </w:r>
      <w:r w:rsidRPr="00F23AA9">
        <w:rPr>
          <w:lang w:val="ru-RU" w:eastAsia="ja-JP"/>
        </w:rPr>
        <w:tab/>
        <w:t>поощрять принятие отработанных мер по расширению в глобальном масштабе числа женщин, получающих ученые степени всех уровней в областях STEM, в особенности связанных со сферой стандартизации электросвязи/ИКТ;</w:t>
      </w:r>
    </w:p>
    <w:p w14:paraId="5D7FA543" w14:textId="77777777" w:rsidR="00167CF9" w:rsidRPr="00F23AA9" w:rsidRDefault="00167CF9" w:rsidP="00167CF9">
      <w:pPr>
        <w:rPr>
          <w:lang w:val="ru-RU" w:eastAsia="ja-JP"/>
        </w:rPr>
      </w:pPr>
      <w:r w:rsidRPr="00F23AA9">
        <w:rPr>
          <w:lang w:val="ru-RU" w:eastAsia="ja-JP"/>
        </w:rPr>
        <w:t>6</w:t>
      </w:r>
      <w:r w:rsidRPr="00F23AA9">
        <w:rPr>
          <w:lang w:val="ru-RU" w:eastAsia="ja-JP"/>
        </w:rPr>
        <w:tab/>
        <w:t xml:space="preserve">пользоваться преимуществами инициатив и мероприятий </w:t>
      </w:r>
      <w:proofErr w:type="spellStart"/>
      <w:r w:rsidRPr="00F23AA9">
        <w:rPr>
          <w:lang w:val="ru-RU" w:eastAsia="ja-JP"/>
        </w:rPr>
        <w:t>NoW</w:t>
      </w:r>
      <w:proofErr w:type="spellEnd"/>
      <w:r w:rsidRPr="00F23AA9">
        <w:rPr>
          <w:lang w:val="ru-RU" w:eastAsia="ja-JP"/>
        </w:rPr>
        <w:t xml:space="preserve"> в МСЭ-T для содействия созданию потенциала женщин в области стандартизации электросвязи/ИКТ, особенно в развивающихся странах</w:t>
      </w:r>
      <w:r w:rsidRPr="00F23AA9">
        <w:rPr>
          <w:rStyle w:val="FootnoteReference"/>
          <w:lang w:val="ru-RU"/>
        </w:rPr>
        <w:footnoteReference w:customMarkFollows="1" w:id="1"/>
        <w:t>1</w:t>
      </w:r>
      <w:r w:rsidRPr="00F23AA9">
        <w:rPr>
          <w:lang w:val="ru-RU" w:eastAsia="ja-JP"/>
        </w:rPr>
        <w:t>;</w:t>
      </w:r>
    </w:p>
    <w:p w14:paraId="04F3F208" w14:textId="77777777" w:rsidR="00167CF9" w:rsidRPr="00F23AA9" w:rsidRDefault="00167CF9" w:rsidP="00167CF9">
      <w:pPr>
        <w:rPr>
          <w:lang w:val="ru-RU" w:eastAsia="ja-JP"/>
        </w:rPr>
      </w:pPr>
      <w:r w:rsidRPr="00F23AA9">
        <w:rPr>
          <w:lang w:val="ru-RU" w:eastAsia="ja-JP"/>
        </w:rPr>
        <w:t>7</w:t>
      </w:r>
      <w:r w:rsidRPr="00F23AA9">
        <w:rPr>
          <w:lang w:val="ru-RU" w:eastAsia="ja-JP"/>
        </w:rPr>
        <w:tab/>
        <w:t>рассмотреть вопрос об интеграции стратегий гендерного равенства в национальные структуры устойчивого развития в области развития электросвязи/ИКТ для ускорения достижения гендерного равенства</w:t>
      </w:r>
      <w:r w:rsidRPr="00F23AA9">
        <w:rPr>
          <w:lang w:val="ru-RU"/>
        </w:rPr>
        <w:t>;</w:t>
      </w:r>
    </w:p>
    <w:p w14:paraId="1D98C598" w14:textId="77777777" w:rsidR="00167CF9" w:rsidRPr="00F23AA9" w:rsidRDefault="00167CF9" w:rsidP="00167CF9">
      <w:pPr>
        <w:rPr>
          <w:rFonts w:asciiTheme="majorBidi" w:hAnsiTheme="majorBidi" w:cstheme="majorBidi"/>
          <w:szCs w:val="24"/>
          <w:lang w:val="ru-RU"/>
        </w:rPr>
      </w:pPr>
      <w:r w:rsidRPr="00F23AA9">
        <w:rPr>
          <w:lang w:val="ru-RU" w:eastAsia="ja-JP"/>
        </w:rPr>
        <w:t>8</w:t>
      </w:r>
      <w:r w:rsidRPr="00F23AA9">
        <w:rPr>
          <w:lang w:val="ru-RU" w:eastAsia="ja-JP"/>
        </w:rPr>
        <w:tab/>
        <w:t>оценить проблемы, которые могут препятствовать участию женщин в деятельности МСЭ-Т</w:t>
      </w:r>
      <w:r w:rsidRPr="00F23AA9">
        <w:rPr>
          <w:rFonts w:asciiTheme="majorBidi" w:hAnsiTheme="majorBidi" w:cstheme="majorBidi"/>
          <w:szCs w:val="24"/>
          <w:lang w:val="ru-RU"/>
        </w:rPr>
        <w:t>;</w:t>
      </w:r>
    </w:p>
    <w:p w14:paraId="402AF390" w14:textId="77777777" w:rsidR="00167CF9" w:rsidRPr="00F23AA9" w:rsidRDefault="00167CF9" w:rsidP="00167CF9">
      <w:pPr>
        <w:rPr>
          <w:lang w:val="ru-RU" w:eastAsia="ja-JP"/>
        </w:rPr>
      </w:pPr>
      <w:r w:rsidRPr="00F23AA9">
        <w:rPr>
          <w:lang w:val="ru-RU"/>
        </w:rPr>
        <w:t>9</w:t>
      </w:r>
      <w:r w:rsidRPr="00F23AA9">
        <w:rPr>
          <w:lang w:val="ru-RU"/>
        </w:rPr>
        <w:tab/>
        <w:t>выступать за участие большего числа женщин в работе МСЭ-Т, содействуя созданию для них потенциала в целях оснащения их необходимыми знаниями и навыками;</w:t>
      </w:r>
    </w:p>
    <w:p w14:paraId="4ACEC051" w14:textId="77777777" w:rsidR="00167CF9" w:rsidRPr="00F23AA9" w:rsidRDefault="00167CF9" w:rsidP="00167CF9">
      <w:pPr>
        <w:rPr>
          <w:lang w:val="ru-RU" w:eastAsia="ja-JP"/>
        </w:rPr>
      </w:pPr>
      <w:r w:rsidRPr="00F23AA9">
        <w:rPr>
          <w:rFonts w:asciiTheme="majorBidi" w:eastAsia="Calibri" w:hAnsiTheme="majorBidi" w:cstheme="majorBidi"/>
          <w:color w:val="000000"/>
          <w:szCs w:val="24"/>
          <w:lang w:val="ru-RU"/>
        </w:rPr>
        <w:t>10</w:t>
      </w:r>
      <w:r w:rsidRPr="00F23AA9">
        <w:rPr>
          <w:rFonts w:asciiTheme="majorBidi" w:eastAsia="Calibri" w:hAnsiTheme="majorBidi" w:cstheme="majorBidi"/>
          <w:color w:val="000000"/>
          <w:szCs w:val="24"/>
          <w:lang w:val="ru-RU"/>
        </w:rPr>
        <w:tab/>
      </w:r>
      <w:r w:rsidRPr="00F23AA9">
        <w:rPr>
          <w:lang w:val="ru-RU"/>
        </w:rPr>
        <w:t>продолжать поддерживать программы добровольного наставничества в рамках МСЭ-Т</w:t>
      </w:r>
      <w:r w:rsidRPr="00F23AA9">
        <w:rPr>
          <w:rFonts w:asciiTheme="majorBidi" w:eastAsia="Calibri" w:hAnsiTheme="majorBidi" w:cstheme="majorBidi"/>
          <w:color w:val="000000"/>
          <w:szCs w:val="24"/>
          <w:lang w:val="ru-RU"/>
        </w:rPr>
        <w:t>.</w:t>
      </w:r>
    </w:p>
    <w:p w14:paraId="250F1BCA" w14:textId="77777777" w:rsidR="006545B8" w:rsidRDefault="006545B8" w:rsidP="00885AD2">
      <w:pPr>
        <w:rPr>
          <w:lang w:val="ru-RU"/>
        </w:rPr>
      </w:pPr>
    </w:p>
    <w:p w14:paraId="60E2D000" w14:textId="77777777" w:rsidR="00885AD2" w:rsidRDefault="00885AD2" w:rsidP="00885AD2">
      <w:pPr>
        <w:rPr>
          <w:lang w:val="ru-RU"/>
        </w:rPr>
      </w:pPr>
    </w:p>
    <w:p w14:paraId="73B138D4" w14:textId="77777777" w:rsidR="00885AD2" w:rsidRDefault="00885AD2" w:rsidP="00885AD2">
      <w:pPr>
        <w:rPr>
          <w:lang w:val="ru-RU"/>
        </w:rPr>
      </w:pPr>
    </w:p>
    <w:p w14:paraId="08488100" w14:textId="77777777" w:rsidR="00885AD2" w:rsidRDefault="00885AD2" w:rsidP="00885AD2">
      <w:pPr>
        <w:rPr>
          <w:lang w:val="ru-RU"/>
        </w:rPr>
      </w:pPr>
    </w:p>
    <w:p w14:paraId="2F97D85D" w14:textId="77777777" w:rsidR="00885AD2" w:rsidRDefault="00885AD2" w:rsidP="00885AD2">
      <w:pPr>
        <w:rPr>
          <w:lang w:val="ru-RU"/>
        </w:rPr>
      </w:pPr>
    </w:p>
    <w:p w14:paraId="479DBA36" w14:textId="77777777" w:rsidR="00885AD2" w:rsidRDefault="00885AD2" w:rsidP="00885AD2">
      <w:pPr>
        <w:rPr>
          <w:lang w:val="ru-RU"/>
        </w:rPr>
      </w:pPr>
    </w:p>
    <w:p w14:paraId="3A2C0933" w14:textId="77777777" w:rsidR="00885AD2" w:rsidRDefault="00885AD2" w:rsidP="00885AD2">
      <w:pPr>
        <w:rPr>
          <w:lang w:val="ru-RU"/>
        </w:rPr>
      </w:pPr>
    </w:p>
    <w:p w14:paraId="6F995729" w14:textId="77777777" w:rsidR="00885AD2" w:rsidRDefault="00885AD2" w:rsidP="00885AD2">
      <w:pPr>
        <w:rPr>
          <w:lang w:val="ru-RU"/>
        </w:rPr>
      </w:pPr>
    </w:p>
    <w:p w14:paraId="4F961002" w14:textId="77777777" w:rsidR="00885AD2" w:rsidRDefault="00885AD2" w:rsidP="00885AD2">
      <w:pPr>
        <w:rPr>
          <w:lang w:val="ru-RU"/>
        </w:rPr>
      </w:pPr>
    </w:p>
    <w:p w14:paraId="41FE27D8" w14:textId="77777777" w:rsidR="00885AD2" w:rsidRDefault="00885AD2" w:rsidP="00885AD2">
      <w:pPr>
        <w:rPr>
          <w:lang w:val="ru-RU"/>
        </w:rPr>
      </w:pPr>
    </w:p>
    <w:p w14:paraId="05A8E826" w14:textId="77777777" w:rsidR="00885AD2" w:rsidRDefault="00885AD2" w:rsidP="00885AD2">
      <w:pPr>
        <w:rPr>
          <w:lang w:val="ru-RU"/>
        </w:rPr>
      </w:pPr>
    </w:p>
    <w:p w14:paraId="37FB1F93" w14:textId="77777777" w:rsidR="00885AD2" w:rsidRDefault="00885AD2" w:rsidP="00885AD2">
      <w:pPr>
        <w:rPr>
          <w:lang w:val="ru-RU"/>
        </w:rPr>
      </w:pPr>
    </w:p>
    <w:p w14:paraId="01A7ECED" w14:textId="77777777" w:rsidR="00885AD2" w:rsidRDefault="00885AD2" w:rsidP="00885AD2">
      <w:pPr>
        <w:rPr>
          <w:lang w:val="ru-RU"/>
        </w:rPr>
      </w:pPr>
    </w:p>
    <w:p w14:paraId="5E47F549" w14:textId="77777777" w:rsidR="00885AD2" w:rsidRDefault="00885AD2" w:rsidP="00885AD2">
      <w:pPr>
        <w:rPr>
          <w:lang w:val="ru-RU"/>
        </w:rPr>
      </w:pPr>
    </w:p>
    <w:p w14:paraId="1A2BDAFB" w14:textId="77777777" w:rsidR="00885AD2" w:rsidRPr="00F23AA9" w:rsidRDefault="00885AD2" w:rsidP="00885AD2">
      <w:pPr>
        <w:rPr>
          <w:lang w:val="ru-RU"/>
        </w:rPr>
      </w:pPr>
    </w:p>
    <w:sectPr w:rsidR="00885AD2" w:rsidRPr="00F23AA9" w:rsidSect="0072674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97A37" w14:textId="77777777" w:rsidR="00647B88" w:rsidRDefault="00647B88">
      <w:r>
        <w:separator/>
      </w:r>
    </w:p>
  </w:endnote>
  <w:endnote w:type="continuationSeparator" w:id="0">
    <w:p w14:paraId="09619B91" w14:textId="77777777" w:rsidR="00647B88" w:rsidRDefault="0064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E6EBB" w14:textId="77777777" w:rsidR="008B6349" w:rsidRDefault="008B6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74305" w14:textId="77777777" w:rsidR="008B6349" w:rsidRDefault="008B6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15402" w14:textId="77777777" w:rsidR="008B6349" w:rsidRDefault="008B63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2672672B"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8B6349" w:rsidRPr="00E95096">
      <w:rPr>
        <w:bCs/>
        <w:szCs w:val="22"/>
      </w:rPr>
      <w:t>ВАСЭ-</w:t>
    </w:r>
    <w:r w:rsidR="008B6349">
      <w:rPr>
        <w:bCs/>
        <w:szCs w:val="22"/>
        <w:lang w:val="ru-RU"/>
      </w:rPr>
      <w:t>24</w:t>
    </w:r>
    <w:r w:rsidR="008B6349" w:rsidRPr="00E95096">
      <w:rPr>
        <w:bCs/>
        <w:szCs w:val="22"/>
      </w:rPr>
      <w:t xml:space="preserve"> </w:t>
    </w:r>
    <w:r w:rsidR="008B6349" w:rsidRPr="00E95096">
      <w:rPr>
        <w:bCs/>
        <w:szCs w:val="22"/>
      </w:rPr>
      <w:sym w:font="Symbol" w:char="F02D"/>
    </w:r>
    <w:r w:rsidR="008B6349" w:rsidRPr="00E95096">
      <w:rPr>
        <w:bCs/>
        <w:szCs w:val="22"/>
      </w:rPr>
      <w:t xml:space="preserve"> </w:t>
    </w:r>
    <w:r w:rsidR="008B6349" w:rsidRPr="00E95096">
      <w:rPr>
        <w:bCs/>
        <w:szCs w:val="22"/>
        <w:lang w:val="ru-RU"/>
      </w:rPr>
      <w:t xml:space="preserve">Резолюция </w:t>
    </w:r>
    <w:r w:rsidR="008B6349" w:rsidRPr="00E95096">
      <w:rPr>
        <w:b w:val="0"/>
        <w:bCs/>
        <w:szCs w:val="22"/>
      </w:rPr>
      <w:fldChar w:fldCharType="begin"/>
    </w:r>
    <w:r w:rsidR="008B6349" w:rsidRPr="00E95096">
      <w:rPr>
        <w:bCs/>
        <w:szCs w:val="22"/>
      </w:rPr>
      <w:instrText xml:space="preserve"> STYLEREF  href  \* MERGEFORMAT </w:instrText>
    </w:r>
    <w:r w:rsidR="008B6349" w:rsidRPr="00E95096">
      <w:rPr>
        <w:b w:val="0"/>
        <w:bCs/>
        <w:szCs w:val="22"/>
      </w:rPr>
      <w:fldChar w:fldCharType="separate"/>
    </w:r>
    <w:r w:rsidR="00D47B0F" w:rsidRPr="00D47B0F">
      <w:rPr>
        <w:noProof/>
        <w:szCs w:val="22"/>
        <w:lang w:val="en-US"/>
      </w:rPr>
      <w:t>55</w:t>
    </w:r>
    <w:r w:rsidR="008B6349" w:rsidRPr="00E95096">
      <w:rPr>
        <w:b w:val="0"/>
        <w:bCs/>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3494A5D1" w:rsidR="00AA1264" w:rsidRPr="00D50046" w:rsidRDefault="00D50046" w:rsidP="00D50046">
    <w:pPr>
      <w:pStyle w:val="FooterQP"/>
      <w:rPr>
        <w:lang w:val="en-US"/>
      </w:rPr>
    </w:pPr>
    <w:r>
      <w:rPr>
        <w:lang w:val="en-US"/>
      </w:rPr>
      <w:tab/>
    </w:r>
    <w:r>
      <w:rPr>
        <w:lang w:val="en-US"/>
      </w:rPr>
      <w:tab/>
    </w:r>
    <w:r w:rsidR="008B6349" w:rsidRPr="00E95096">
      <w:rPr>
        <w:bCs/>
        <w:szCs w:val="22"/>
      </w:rPr>
      <w:t>ВАСЭ-</w:t>
    </w:r>
    <w:r w:rsidR="008B6349">
      <w:rPr>
        <w:bCs/>
        <w:szCs w:val="22"/>
        <w:lang w:val="ru-RU"/>
      </w:rPr>
      <w:t>24</w:t>
    </w:r>
    <w:r w:rsidR="008B6349" w:rsidRPr="00E95096">
      <w:rPr>
        <w:bCs/>
        <w:szCs w:val="22"/>
      </w:rPr>
      <w:t xml:space="preserve"> </w:t>
    </w:r>
    <w:r w:rsidR="008B6349" w:rsidRPr="00E95096">
      <w:rPr>
        <w:bCs/>
        <w:szCs w:val="22"/>
      </w:rPr>
      <w:sym w:font="Symbol" w:char="F02D"/>
    </w:r>
    <w:r w:rsidR="008B6349" w:rsidRPr="00E95096">
      <w:rPr>
        <w:bCs/>
        <w:szCs w:val="22"/>
      </w:rPr>
      <w:t xml:space="preserve"> </w:t>
    </w:r>
    <w:r w:rsidR="008B6349" w:rsidRPr="00E95096">
      <w:rPr>
        <w:bCs/>
        <w:szCs w:val="22"/>
        <w:lang w:val="ru-RU"/>
      </w:rPr>
      <w:t xml:space="preserve">Резолюция </w:t>
    </w:r>
    <w:r w:rsidR="008B6349" w:rsidRPr="00E95096">
      <w:rPr>
        <w:b w:val="0"/>
        <w:bCs/>
        <w:szCs w:val="22"/>
      </w:rPr>
      <w:fldChar w:fldCharType="begin"/>
    </w:r>
    <w:r w:rsidR="008B6349" w:rsidRPr="00E95096">
      <w:rPr>
        <w:bCs/>
        <w:szCs w:val="22"/>
      </w:rPr>
      <w:instrText xml:space="preserve"> STYLEREF  href  \* MERGEFORMAT </w:instrText>
    </w:r>
    <w:r w:rsidR="008B6349" w:rsidRPr="00E95096">
      <w:rPr>
        <w:b w:val="0"/>
        <w:bCs/>
        <w:szCs w:val="22"/>
      </w:rPr>
      <w:fldChar w:fldCharType="separate"/>
    </w:r>
    <w:r w:rsidR="00D47B0F" w:rsidRPr="00D47B0F">
      <w:rPr>
        <w:noProof/>
        <w:szCs w:val="22"/>
        <w:lang w:val="en-US"/>
      </w:rPr>
      <w:t>55</w:t>
    </w:r>
    <w:r w:rsidR="008B6349" w:rsidRPr="00E95096">
      <w:rPr>
        <w:b w:val="0"/>
        <w:bCs/>
        <w:szCs w:val="22"/>
      </w:rP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6381065B" w:rsidR="00A4766C" w:rsidRPr="00A4766C" w:rsidRDefault="00A4766C" w:rsidP="00D50046">
    <w:pPr>
      <w:pStyle w:val="FooterQP"/>
      <w:rPr>
        <w:lang w:val="en-US"/>
      </w:rPr>
    </w:pPr>
    <w:r>
      <w:rPr>
        <w:lang w:val="en-US"/>
      </w:rPr>
      <w:tab/>
    </w:r>
    <w:r>
      <w:rPr>
        <w:lang w:val="en-US"/>
      </w:rPr>
      <w:tab/>
    </w:r>
    <w:r w:rsidR="00E60A09" w:rsidRPr="00E95096">
      <w:rPr>
        <w:bCs/>
        <w:szCs w:val="22"/>
      </w:rPr>
      <w:t>ВАСЭ-</w:t>
    </w:r>
    <w:r w:rsidR="00E60A09">
      <w:rPr>
        <w:bCs/>
        <w:szCs w:val="22"/>
        <w:lang w:val="ru-RU"/>
      </w:rPr>
      <w:t>24</w:t>
    </w:r>
    <w:r w:rsidR="00E60A09" w:rsidRPr="00E95096">
      <w:rPr>
        <w:bCs/>
        <w:szCs w:val="22"/>
      </w:rPr>
      <w:t xml:space="preserve"> </w:t>
    </w:r>
    <w:r w:rsidR="00E60A09" w:rsidRPr="00E95096">
      <w:rPr>
        <w:bCs/>
        <w:szCs w:val="22"/>
      </w:rPr>
      <w:sym w:font="Symbol" w:char="F02D"/>
    </w:r>
    <w:r w:rsidR="00E60A09" w:rsidRPr="00E95096">
      <w:rPr>
        <w:bCs/>
        <w:szCs w:val="22"/>
      </w:rPr>
      <w:t xml:space="preserve"> </w:t>
    </w:r>
    <w:r w:rsidR="00E60A09" w:rsidRPr="00E95096">
      <w:rPr>
        <w:bCs/>
        <w:szCs w:val="22"/>
        <w:lang w:val="ru-RU"/>
      </w:rPr>
      <w:t xml:space="preserve">Резолюция </w:t>
    </w:r>
    <w:r w:rsidR="00E60A09" w:rsidRPr="00E95096">
      <w:rPr>
        <w:b w:val="0"/>
        <w:bCs/>
        <w:szCs w:val="22"/>
      </w:rPr>
      <w:fldChar w:fldCharType="begin"/>
    </w:r>
    <w:r w:rsidR="00E60A09" w:rsidRPr="00E95096">
      <w:rPr>
        <w:bCs/>
        <w:szCs w:val="22"/>
      </w:rPr>
      <w:instrText xml:space="preserve"> STYLEREF  href  \* MERGEFORMAT </w:instrText>
    </w:r>
    <w:r w:rsidR="00E60A09" w:rsidRPr="00E95096">
      <w:rPr>
        <w:b w:val="0"/>
        <w:bCs/>
        <w:szCs w:val="22"/>
      </w:rPr>
      <w:fldChar w:fldCharType="separate"/>
    </w:r>
    <w:r w:rsidR="00D47B0F" w:rsidRPr="00D47B0F">
      <w:rPr>
        <w:noProof/>
        <w:szCs w:val="22"/>
        <w:lang w:val="en-US"/>
      </w:rPr>
      <w:t>55</w:t>
    </w:r>
    <w:r w:rsidR="00E60A09" w:rsidRPr="00E95096">
      <w:rPr>
        <w:b w:val="0"/>
        <w:bCs/>
        <w:szCs w:val="22"/>
      </w:rPr>
      <w:fldChar w:fldCharType="end"/>
    </w:r>
    <w:r w:rsidR="00E60A09" w:rsidRPr="00E95096">
      <w:rPr>
        <w:bCs/>
        <w:szCs w:val="22"/>
      </w:rPr>
      <w:tab/>
    </w:r>
    <w:r w:rsidR="00E60A09" w:rsidRPr="00E60A09">
      <w:rPr>
        <w:b w:val="0"/>
        <w:bCs/>
        <w:szCs w:val="22"/>
      </w:rPr>
      <w:fldChar w:fldCharType="begin"/>
    </w:r>
    <w:r w:rsidR="00E60A09" w:rsidRPr="00E60A09">
      <w:rPr>
        <w:b w:val="0"/>
        <w:bCs/>
        <w:szCs w:val="22"/>
      </w:rPr>
      <w:instrText xml:space="preserve"> PAGE </w:instrText>
    </w:r>
    <w:r w:rsidR="00E60A09" w:rsidRPr="00E60A09">
      <w:rPr>
        <w:b w:val="0"/>
        <w:bCs/>
        <w:szCs w:val="22"/>
      </w:rPr>
      <w:fldChar w:fldCharType="separate"/>
    </w:r>
    <w:r w:rsidR="00E60A09" w:rsidRPr="00E60A09">
      <w:rPr>
        <w:b w:val="0"/>
        <w:bCs/>
        <w:szCs w:val="22"/>
      </w:rPr>
      <w:t>1</w:t>
    </w:r>
    <w:r w:rsidR="00E60A09" w:rsidRPr="00E60A09">
      <w:rPr>
        <w:b w:val="0"/>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0A8F7" w14:textId="77777777" w:rsidR="00647B88" w:rsidRDefault="00647B88">
      <w:r>
        <w:t>____________________</w:t>
      </w:r>
    </w:p>
  </w:footnote>
  <w:footnote w:type="continuationSeparator" w:id="0">
    <w:p w14:paraId="5D31EBFC" w14:textId="77777777" w:rsidR="00647B88" w:rsidRDefault="00647B88">
      <w:r>
        <w:continuationSeparator/>
      </w:r>
    </w:p>
  </w:footnote>
  <w:footnote w:id="1">
    <w:p w14:paraId="78B4B791" w14:textId="77777777" w:rsidR="00167CF9" w:rsidRPr="00885AD2" w:rsidRDefault="00167CF9" w:rsidP="00167CF9">
      <w:pPr>
        <w:pStyle w:val="FootnoteText"/>
        <w:rPr>
          <w:lang w:val="ru-RU"/>
        </w:rPr>
      </w:pPr>
      <w:r w:rsidRPr="00885AD2">
        <w:rPr>
          <w:rStyle w:val="FootnoteReference"/>
          <w:lang w:val="ru-RU"/>
        </w:rPr>
        <w:t>1</w:t>
      </w:r>
      <w:r w:rsidRPr="00885AD2">
        <w:rPr>
          <w:lang w:val="ru-RU"/>
        </w:rPr>
        <w:t xml:space="preserve"> </w:t>
      </w:r>
      <w:r w:rsidRPr="00885AD2">
        <w:rPr>
          <w:lang w:val="ru-RU"/>
        </w:rPr>
        <w:tab/>
        <w:t>К таковым относятся наименее развитые страны, малые островные развивающиеся государства, развивающиеся страны, не имеющие выхода к морю, а также страны с переходной экономикой.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93D13" w14:textId="77777777" w:rsidR="008B6349" w:rsidRDefault="008B63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5A60"/>
    <w:rsid w:val="00017B45"/>
    <w:rsid w:val="00023463"/>
    <w:rsid w:val="0003503D"/>
    <w:rsid w:val="00057CA3"/>
    <w:rsid w:val="00060974"/>
    <w:rsid w:val="000B071B"/>
    <w:rsid w:val="000B47CD"/>
    <w:rsid w:val="000B5A36"/>
    <w:rsid w:val="000C22AE"/>
    <w:rsid w:val="000D378F"/>
    <w:rsid w:val="000D3CE4"/>
    <w:rsid w:val="000D5219"/>
    <w:rsid w:val="000D6DAE"/>
    <w:rsid w:val="000E4393"/>
    <w:rsid w:val="00117D80"/>
    <w:rsid w:val="001309FB"/>
    <w:rsid w:val="00167CF9"/>
    <w:rsid w:val="001762A1"/>
    <w:rsid w:val="001B4A76"/>
    <w:rsid w:val="001B5C6B"/>
    <w:rsid w:val="001C5240"/>
    <w:rsid w:val="001C604C"/>
    <w:rsid w:val="001D71B9"/>
    <w:rsid w:val="001F3813"/>
    <w:rsid w:val="002178BA"/>
    <w:rsid w:val="002204D5"/>
    <w:rsid w:val="002210D5"/>
    <w:rsid w:val="00227040"/>
    <w:rsid w:val="00237B40"/>
    <w:rsid w:val="002462EF"/>
    <w:rsid w:val="00246C17"/>
    <w:rsid w:val="00264852"/>
    <w:rsid w:val="002742C3"/>
    <w:rsid w:val="00281FC7"/>
    <w:rsid w:val="002C182C"/>
    <w:rsid w:val="002D336F"/>
    <w:rsid w:val="002D5607"/>
    <w:rsid w:val="002E1B7B"/>
    <w:rsid w:val="002E6A20"/>
    <w:rsid w:val="00331B2F"/>
    <w:rsid w:val="003374BB"/>
    <w:rsid w:val="0035222D"/>
    <w:rsid w:val="0038237B"/>
    <w:rsid w:val="003C3FD9"/>
    <w:rsid w:val="003D116F"/>
    <w:rsid w:val="003D7A8C"/>
    <w:rsid w:val="003F293E"/>
    <w:rsid w:val="00420F50"/>
    <w:rsid w:val="004568D2"/>
    <w:rsid w:val="004612A7"/>
    <w:rsid w:val="00462F6A"/>
    <w:rsid w:val="00467305"/>
    <w:rsid w:val="0048772A"/>
    <w:rsid w:val="004A58A4"/>
    <w:rsid w:val="004B7CB1"/>
    <w:rsid w:val="004E5019"/>
    <w:rsid w:val="004F2E56"/>
    <w:rsid w:val="00501F47"/>
    <w:rsid w:val="00504D1F"/>
    <w:rsid w:val="00524FB2"/>
    <w:rsid w:val="0053765D"/>
    <w:rsid w:val="00555B61"/>
    <w:rsid w:val="005569CA"/>
    <w:rsid w:val="00562EF2"/>
    <w:rsid w:val="00574CFF"/>
    <w:rsid w:val="005D19E5"/>
    <w:rsid w:val="005D1D45"/>
    <w:rsid w:val="005D4393"/>
    <w:rsid w:val="00601999"/>
    <w:rsid w:val="00611CD0"/>
    <w:rsid w:val="00631549"/>
    <w:rsid w:val="006425B4"/>
    <w:rsid w:val="00647B88"/>
    <w:rsid w:val="00653C1B"/>
    <w:rsid w:val="006545B8"/>
    <w:rsid w:val="00665F6E"/>
    <w:rsid w:val="006678D7"/>
    <w:rsid w:val="00673459"/>
    <w:rsid w:val="006747A4"/>
    <w:rsid w:val="006824D9"/>
    <w:rsid w:val="00684F2B"/>
    <w:rsid w:val="00693D4F"/>
    <w:rsid w:val="00697D23"/>
    <w:rsid w:val="006B0459"/>
    <w:rsid w:val="006B5987"/>
    <w:rsid w:val="006E13C5"/>
    <w:rsid w:val="00704CEE"/>
    <w:rsid w:val="00706D36"/>
    <w:rsid w:val="00707551"/>
    <w:rsid w:val="007116DC"/>
    <w:rsid w:val="0071403C"/>
    <w:rsid w:val="00717E4B"/>
    <w:rsid w:val="00720F3C"/>
    <w:rsid w:val="00726747"/>
    <w:rsid w:val="0073220E"/>
    <w:rsid w:val="0074102F"/>
    <w:rsid w:val="007550BF"/>
    <w:rsid w:val="00780423"/>
    <w:rsid w:val="00781E25"/>
    <w:rsid w:val="007828CF"/>
    <w:rsid w:val="00783EB8"/>
    <w:rsid w:val="007958DD"/>
    <w:rsid w:val="007C00E3"/>
    <w:rsid w:val="007E0240"/>
    <w:rsid w:val="007F32A3"/>
    <w:rsid w:val="008075CD"/>
    <w:rsid w:val="00837339"/>
    <w:rsid w:val="00845E8E"/>
    <w:rsid w:val="00851E30"/>
    <w:rsid w:val="00885AD2"/>
    <w:rsid w:val="0088751E"/>
    <w:rsid w:val="008968B6"/>
    <w:rsid w:val="008B4CF6"/>
    <w:rsid w:val="008B6349"/>
    <w:rsid w:val="008C7FC3"/>
    <w:rsid w:val="008D6D8D"/>
    <w:rsid w:val="00901958"/>
    <w:rsid w:val="009055E3"/>
    <w:rsid w:val="00905B41"/>
    <w:rsid w:val="00916468"/>
    <w:rsid w:val="0092650E"/>
    <w:rsid w:val="00931C08"/>
    <w:rsid w:val="00931EE1"/>
    <w:rsid w:val="009330E7"/>
    <w:rsid w:val="00934946"/>
    <w:rsid w:val="009423EF"/>
    <w:rsid w:val="0095090C"/>
    <w:rsid w:val="00974C0C"/>
    <w:rsid w:val="009755D7"/>
    <w:rsid w:val="009C2357"/>
    <w:rsid w:val="009D10A5"/>
    <w:rsid w:val="009D26AE"/>
    <w:rsid w:val="009D3A40"/>
    <w:rsid w:val="009D7132"/>
    <w:rsid w:val="009E1DCF"/>
    <w:rsid w:val="009F7009"/>
    <w:rsid w:val="00A01A91"/>
    <w:rsid w:val="00A24E9A"/>
    <w:rsid w:val="00A26B1A"/>
    <w:rsid w:val="00A3085D"/>
    <w:rsid w:val="00A4766C"/>
    <w:rsid w:val="00A65D98"/>
    <w:rsid w:val="00A83D3D"/>
    <w:rsid w:val="00AA1264"/>
    <w:rsid w:val="00AA2D89"/>
    <w:rsid w:val="00AC4AF1"/>
    <w:rsid w:val="00AE4C26"/>
    <w:rsid w:val="00B150A9"/>
    <w:rsid w:val="00B23929"/>
    <w:rsid w:val="00B241C9"/>
    <w:rsid w:val="00B3059C"/>
    <w:rsid w:val="00B33CAA"/>
    <w:rsid w:val="00B50CB4"/>
    <w:rsid w:val="00B50D4E"/>
    <w:rsid w:val="00B50F17"/>
    <w:rsid w:val="00B56BC0"/>
    <w:rsid w:val="00B67290"/>
    <w:rsid w:val="00B73379"/>
    <w:rsid w:val="00B73B62"/>
    <w:rsid w:val="00B91053"/>
    <w:rsid w:val="00B92804"/>
    <w:rsid w:val="00BB34EA"/>
    <w:rsid w:val="00BE58E6"/>
    <w:rsid w:val="00BF610E"/>
    <w:rsid w:val="00C12E70"/>
    <w:rsid w:val="00C32F69"/>
    <w:rsid w:val="00C42785"/>
    <w:rsid w:val="00C437DF"/>
    <w:rsid w:val="00C63087"/>
    <w:rsid w:val="00C64078"/>
    <w:rsid w:val="00C706FC"/>
    <w:rsid w:val="00C72AF4"/>
    <w:rsid w:val="00CB6046"/>
    <w:rsid w:val="00CD10C2"/>
    <w:rsid w:val="00CD3865"/>
    <w:rsid w:val="00CE767E"/>
    <w:rsid w:val="00CF024D"/>
    <w:rsid w:val="00D20887"/>
    <w:rsid w:val="00D26ECC"/>
    <w:rsid w:val="00D324F1"/>
    <w:rsid w:val="00D4292A"/>
    <w:rsid w:val="00D44731"/>
    <w:rsid w:val="00D457B6"/>
    <w:rsid w:val="00D47B0F"/>
    <w:rsid w:val="00D50046"/>
    <w:rsid w:val="00D54881"/>
    <w:rsid w:val="00D66950"/>
    <w:rsid w:val="00D76D88"/>
    <w:rsid w:val="00D8497D"/>
    <w:rsid w:val="00D94D9E"/>
    <w:rsid w:val="00DA7D60"/>
    <w:rsid w:val="00DB0FA7"/>
    <w:rsid w:val="00DB2AF8"/>
    <w:rsid w:val="00DB5592"/>
    <w:rsid w:val="00DE48B4"/>
    <w:rsid w:val="00E03ABC"/>
    <w:rsid w:val="00E154E2"/>
    <w:rsid w:val="00E20918"/>
    <w:rsid w:val="00E300EC"/>
    <w:rsid w:val="00E51820"/>
    <w:rsid w:val="00E56BAB"/>
    <w:rsid w:val="00E60A09"/>
    <w:rsid w:val="00E67297"/>
    <w:rsid w:val="00E758D6"/>
    <w:rsid w:val="00E82452"/>
    <w:rsid w:val="00E83C1C"/>
    <w:rsid w:val="00E84CE6"/>
    <w:rsid w:val="00E96B11"/>
    <w:rsid w:val="00E96C27"/>
    <w:rsid w:val="00E976D9"/>
    <w:rsid w:val="00EA12A2"/>
    <w:rsid w:val="00EA2A26"/>
    <w:rsid w:val="00EB3556"/>
    <w:rsid w:val="00EE1126"/>
    <w:rsid w:val="00EE2FE2"/>
    <w:rsid w:val="00EE4B7A"/>
    <w:rsid w:val="00F0099E"/>
    <w:rsid w:val="00F12607"/>
    <w:rsid w:val="00F15F98"/>
    <w:rsid w:val="00F23AA9"/>
    <w:rsid w:val="00F251B6"/>
    <w:rsid w:val="00F34748"/>
    <w:rsid w:val="00F4281C"/>
    <w:rsid w:val="00F4544A"/>
    <w:rsid w:val="00F576B9"/>
    <w:rsid w:val="00F67E96"/>
    <w:rsid w:val="00F9579B"/>
    <w:rsid w:val="00FA70B7"/>
    <w:rsid w:val="00FD23A9"/>
    <w:rsid w:val="00FD7F88"/>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349"/>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rsid w:val="00D47B0F"/>
    <w:pPr>
      <w:tabs>
        <w:tab w:val="clear" w:pos="794"/>
        <w:tab w:val="clear" w:pos="1191"/>
        <w:tab w:val="clear" w:pos="1588"/>
        <w:tab w:val="clear" w:pos="1985"/>
      </w:tabs>
      <w:jc w:val="center"/>
      <w:outlineLvl w:val="0"/>
    </w:pPr>
    <w:rPr>
      <w:b w:val="0"/>
      <w:caps/>
      <w:sz w:val="26"/>
    </w:rPr>
  </w:style>
  <w:style w:type="paragraph" w:customStyle="1" w:styleId="Restitle">
    <w:name w:val="Res_title"/>
    <w:basedOn w:val="Rectitle"/>
    <w:next w:val="Resref"/>
    <w:link w:val="RestitleChar"/>
    <w:uiPriority w:val="99"/>
    <w:rsid w:val="00D47B0F"/>
    <w:pPr>
      <w:outlineLvl w:val="0"/>
    </w:pPr>
    <w:rPr>
      <w:sz w:val="26"/>
    </w:rPr>
  </w:style>
  <w:style w:type="paragraph" w:customStyle="1" w:styleId="Resref">
    <w:name w:val="Res_ref"/>
    <w:basedOn w:val="Recref"/>
    <w:next w:val="Resdate"/>
    <w:uiPriority w:val="99"/>
    <w:qFormat/>
  </w:style>
  <w:style w:type="character" w:customStyle="1" w:styleId="RestitleChar">
    <w:name w:val="Res_title Char"/>
    <w:link w:val="Restitle"/>
    <w:uiPriority w:val="99"/>
    <w:rsid w:val="00D47B0F"/>
    <w:rPr>
      <w:rFonts w:ascii="Times New Roman" w:hAnsi="Times New Roman"/>
      <w:b/>
      <w:sz w:val="26"/>
      <w:lang w:val="fr-FR" w:eastAsia="en-US"/>
    </w:rPr>
  </w:style>
  <w:style w:type="character" w:customStyle="1" w:styleId="ResNoChar">
    <w:name w:val="Res_No Char"/>
    <w:link w:val="ResNo"/>
    <w:rsid w:val="00D47B0F"/>
    <w:rPr>
      <w:rFonts w:ascii="Times New Roman" w:hAnsi="Times New Roman"/>
      <w:caps/>
      <w:sz w:val="26"/>
      <w:lang w:val="fr-FR" w:eastAsia="en-US"/>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C437DF"/>
    <w:pPr>
      <w:keepNext/>
      <w:keepLines/>
      <w:spacing w:before="480" w:after="80"/>
      <w:jc w:val="center"/>
    </w:pPr>
    <w:rPr>
      <w:caps/>
      <w:sz w:val="26"/>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rsid w:val="00C437DF"/>
    <w:pPr>
      <w:keepNext/>
      <w:keepLines/>
      <w:spacing w:before="480" w:after="80"/>
      <w:jc w:val="center"/>
    </w:pPr>
    <w:rPr>
      <w:caps/>
      <w:sz w:val="26"/>
      <w:lang w:val="en-GB"/>
    </w:rPr>
  </w:style>
  <w:style w:type="paragraph" w:customStyle="1" w:styleId="Appendixtitle">
    <w:name w:val="Appendix_title"/>
    <w:basedOn w:val="Normal"/>
    <w:next w:val="Normal"/>
    <w:rsid w:val="00C437DF"/>
    <w:pPr>
      <w:keepNext/>
      <w:keepLines/>
      <w:spacing w:before="240" w:after="280"/>
      <w:jc w:val="center"/>
    </w:pPr>
    <w:rPr>
      <w:rFonts w:ascii="Times New Roman Bold" w:hAnsi="Times New Roman Bold"/>
      <w:b/>
      <w:sz w:val="26"/>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character" w:styleId="Strong">
    <w:name w:val="Strong"/>
    <w:basedOn w:val="DefaultParagraphFont"/>
    <w:uiPriority w:val="22"/>
    <w:qFormat/>
    <w:rsid w:val="002D336F"/>
    <w:rPr>
      <w:b/>
      <w:bCs/>
    </w:rPr>
  </w:style>
  <w:style w:type="paragraph" w:styleId="CommentSubject">
    <w:name w:val="annotation subject"/>
    <w:basedOn w:val="CommentText"/>
    <w:next w:val="CommentText"/>
    <w:link w:val="CommentSubjectChar"/>
    <w:semiHidden/>
    <w:unhideWhenUsed/>
    <w:rsid w:val="005D19E5"/>
    <w:rPr>
      <w:b/>
      <w:bCs/>
    </w:rPr>
  </w:style>
  <w:style w:type="character" w:customStyle="1" w:styleId="CommentTextChar">
    <w:name w:val="Comment Text Char"/>
    <w:basedOn w:val="DefaultParagraphFont"/>
    <w:link w:val="CommentText"/>
    <w:semiHidden/>
    <w:rsid w:val="005D19E5"/>
    <w:rPr>
      <w:rFonts w:ascii="Times New Roman" w:hAnsi="Times New Roman"/>
      <w:lang w:val="fr-FR" w:eastAsia="en-US"/>
    </w:rPr>
  </w:style>
  <w:style w:type="character" w:customStyle="1" w:styleId="CommentSubjectChar">
    <w:name w:val="Comment Subject Char"/>
    <w:basedOn w:val="CommentTextChar"/>
    <w:link w:val="CommentSubject"/>
    <w:semiHidden/>
    <w:rsid w:val="005D19E5"/>
    <w:rPr>
      <w:rFonts w:ascii="Times New Roman" w:hAnsi="Times New Roman"/>
      <w:b/>
      <w:bCs/>
      <w:lang w:val="fr-FR" w:eastAsia="en-US"/>
    </w:rPr>
  </w:style>
  <w:style w:type="paragraph" w:customStyle="1" w:styleId="Reasons">
    <w:name w:val="Reasons"/>
    <w:basedOn w:val="Normal"/>
    <w:uiPriority w:val="99"/>
    <w:rsid w:val="008B6349"/>
    <w:pPr>
      <w:tabs>
        <w:tab w:val="clear" w:pos="794"/>
        <w:tab w:val="clear" w:pos="1191"/>
        <w:tab w:val="left" w:pos="1134"/>
      </w:tabs>
      <w:jc w:val="left"/>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dyeva\AppData\Roaming\Microsoft\Templates\TSB%20PUB\T-REC-FINAL-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T-REC-FINAL-R.dotm</Template>
  <TotalTime>56</TotalTime>
  <Pages>8</Pages>
  <Words>2050</Words>
  <Characters>13956</Characters>
  <Application>Microsoft Office Word</Application>
  <DocSecurity>0</DocSecurity>
  <Lines>290</Lines>
  <Paragraphs>94</Paragraphs>
  <ScaleCrop>false</ScaleCrop>
  <HeadingPairs>
    <vt:vector size="2" baseType="variant">
      <vt:variant>
        <vt:lpstr>Title</vt:lpstr>
      </vt:variant>
      <vt:variant>
        <vt:i4>1</vt:i4>
      </vt:variant>
    </vt:vector>
  </HeadingPairs>
  <TitlesOfParts>
    <vt:vector size="1" baseType="lpstr">
      <vt:lpstr>РЕЗОЛЮЦИЯ 7 (Пересм. Нью-Дели, 2024 г.) Сотрудничество с Международной организацией по стандартизации и Международной электротехнической комиссией</vt:lpstr>
    </vt:vector>
  </TitlesOfParts>
  <Company>ITU</Company>
  <LinksUpToDate>false</LinksUpToDate>
  <CharactersWithSpaces>15912</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РЕЗОЛЮЦИЯ 55 (Пересм. Нью-Дели, 2024 г.) Учет гендерного равенства в деятельности Сектора стандартизации электросвязи МСЭ</dc:title>
  <dc:subject>WORLD TELECOMMUNICATION STANDARDIZATION ASSEMBLY - Florianópolis, 5-14 October 2004</dc:subject>
  <dc:creator>ITU-T</dc:creator>
  <cp:keywords/>
  <dc:description/>
  <cp:lastModifiedBy>Berdyeva, Elena</cp:lastModifiedBy>
  <cp:revision>36</cp:revision>
  <cp:lastPrinted>2024-11-26T13:58:00Z</cp:lastPrinted>
  <dcterms:created xsi:type="dcterms:W3CDTF">2024-09-24T12:18:00Z</dcterms:created>
  <dcterms:modified xsi:type="dcterms:W3CDTF">2024-11-26T14:00:00Z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