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B65AD5" w:rsidP="00223031">
            <w:pPr>
              <w:pStyle w:val="Note"/>
            </w:pPr>
            <w:r>
              <w:rPr>
                <w:noProof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79.5pt;margin-top:-53.65pt;width:127pt;height:852.65pt;z-index:251657216" o:allowincell="f">
                  <v:imagedata r:id="rId7" o:title=""/>
                </v:shape>
              </w:pict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bookmarkStart w:id="0" w:name="_GoBack"/>
            <w:bookmarkEnd w:id="0"/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1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2" w:name="ddates" w:colFirst="1" w:colLast="1"/>
            <w:bookmarkEnd w:id="1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dsecs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A922AD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A922AD">
              <w:rPr>
                <w:rFonts w:ascii="Arial" w:hAnsi="Arial" w:cs="Arial"/>
                <w:sz w:val="32"/>
                <w:lang w:val="es-ES"/>
              </w:rPr>
              <w:t>Hammamet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 xml:space="preserve">5 de octubre </w:t>
            </w:r>
            <w:r w:rsidR="00D5161F">
              <w:rPr>
                <w:rFonts w:ascii="Arial" w:hAnsi="Arial" w:cs="Arial"/>
                <w:sz w:val="32"/>
                <w:lang w:val="es-ES"/>
              </w:rPr>
              <w:t>–</w:t>
            </w:r>
            <w:r>
              <w:rPr>
                <w:rFonts w:ascii="Arial" w:hAnsi="Arial" w:cs="Arial"/>
                <w:sz w:val="32"/>
                <w:lang w:val="es-ES"/>
              </w:rPr>
              <w:t xml:space="preserve"> 3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 w:rsidR="006C62D4">
              <w:rPr>
                <w:rFonts w:ascii="Arial" w:hAnsi="Arial" w:cs="Arial"/>
                <w:sz w:val="32"/>
                <w:lang w:val="es-ES"/>
              </w:rPr>
              <w:t>noviembre de 201</w:t>
            </w:r>
            <w:r>
              <w:rPr>
                <w:rFonts w:ascii="Arial" w:hAnsi="Arial" w:cs="Arial"/>
                <w:sz w:val="32"/>
                <w:lang w:val="es-ES"/>
              </w:rPr>
              <w:t>6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4" w:name="c1tits" w:colFirst="1" w:colLast="1"/>
            <w:bookmarkEnd w:id="3"/>
          </w:p>
        </w:tc>
        <w:tc>
          <w:tcPr>
            <w:tcW w:w="8530" w:type="dxa"/>
            <w:gridSpan w:val="4"/>
          </w:tcPr>
          <w:p w:rsidR="00FB6D55" w:rsidRPr="003518D5" w:rsidRDefault="004F1EA7" w:rsidP="00630D3F">
            <w:pPr>
              <w:tabs>
                <w:tab w:val="center" w:pos="4157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1D1F48">
              <w:rPr>
                <w:rFonts w:ascii="Arial" w:hAnsi="Arial" w:cs="Arial"/>
                <w:b/>
                <w:bCs/>
                <w:sz w:val="36"/>
                <w:szCs w:val="36"/>
              </w:rPr>
              <w:t>4</w:t>
            </w:r>
            <w:r w:rsidR="00630D3F">
              <w:rPr>
                <w:rFonts w:ascii="Arial" w:hAnsi="Arial" w:cs="Arial"/>
                <w:b/>
                <w:bCs/>
                <w:sz w:val="36"/>
                <w:szCs w:val="36"/>
              </w:rPr>
              <w:t>9</w:t>
            </w:r>
            <w:r w:rsidR="00AC2B2D" w:rsidRPr="00E604AC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–</w:t>
            </w:r>
            <w:r w:rsidR="00CD778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630D3F" w:rsidRPr="00630D3F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ENUM</w:t>
            </w:r>
          </w:p>
        </w:tc>
      </w:tr>
      <w:bookmarkEnd w:id="4"/>
      <w:tr w:rsidR="008028AE" w:rsidRPr="00F4281C" w:rsidTr="00F431E4">
        <w:trPr>
          <w:cantSplit/>
          <w:trHeight w:hRule="exact" w:val="1418"/>
        </w:trPr>
        <w:tc>
          <w:tcPr>
            <w:tcW w:w="1418" w:type="dxa"/>
          </w:tcPr>
          <w:p w:rsidR="008028AE" w:rsidRPr="001D1F48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D6CCF" w:rsidRPr="001D1F48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</w:rPr>
            </w:pPr>
            <w:bookmarkStart w:id="5" w:name="dnum2e"/>
            <w:bookmarkEnd w:id="5"/>
          </w:p>
        </w:tc>
      </w:tr>
    </w:tbl>
    <w:p w:rsidR="00FD6CCF" w:rsidRPr="001D1F48" w:rsidRDefault="00B65AD5" w:rsidP="008028AE">
      <w:pPr>
        <w:tabs>
          <w:tab w:val="right" w:pos="9639"/>
        </w:tabs>
        <w:spacing w:before="240"/>
        <w:jc w:val="right"/>
        <w:rPr>
          <w:noProof/>
          <w:lang w:eastAsia="zh-CN"/>
        </w:rPr>
      </w:pPr>
      <w:bookmarkStart w:id="6" w:name="c2tope"/>
      <w:bookmarkEnd w:id="6"/>
      <w:r>
        <w:rPr>
          <w:noProof/>
        </w:rPr>
        <w:pict>
          <v:shape id="_x0000_s1446" type="#_x0000_t75" alt="sigleITU_large" style="position:absolute;left:0;text-align:left;margin-left:432.3pt;margin-top:1.6pt;width:52.5pt;height:59.5pt;z-index:251658240;visibility:visible;mso-wrap-style:square;mso-position-horizontal-relative:text;mso-position-vertical-relative:text">
            <v:imagedata r:id="rId8" o:title="sigleITU_large"/>
            <w10:wrap type="square"/>
          </v:shape>
        </w:pict>
      </w:r>
    </w:p>
    <w:p w:rsidR="008028AE" w:rsidRPr="001D1F48" w:rsidRDefault="008028AE" w:rsidP="008028AE">
      <w:pPr>
        <w:tabs>
          <w:tab w:val="right" w:pos="9639"/>
        </w:tabs>
        <w:spacing w:before="240"/>
        <w:jc w:val="right"/>
        <w:rPr>
          <w:sz w:val="20"/>
        </w:rPr>
      </w:pPr>
    </w:p>
    <w:p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A1158B">
          <w:pgSz w:w="11907" w:h="16840" w:code="9"/>
          <w:pgMar w:top="1089" w:right="1089" w:bottom="284" w:left="1089" w:header="284" w:footer="567" w:gutter="0"/>
          <w:paperSrc w:first="15" w:other="15"/>
          <w:pgNumType w:start="1"/>
          <w:cols w:space="720"/>
        </w:sectPr>
      </w:pPr>
      <w:bookmarkStart w:id="7" w:name="c2tops"/>
      <w:bookmarkEnd w:id="7"/>
    </w:p>
    <w:p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bookmarkStart w:id="8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8"/>
      <w:r w:rsidRPr="00D976F2">
        <w:rPr>
          <w:sz w:val="20"/>
        </w:rPr>
        <w:t>.</w:t>
      </w:r>
    </w:p>
    <w:p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30D3F"/>
    <w:p w:rsidR="00A5430F" w:rsidRDefault="00A5430F" w:rsidP="00630D3F">
      <w:pPr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85482" w:rsidRDefault="0088548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630D3F" w:rsidRDefault="00630D3F" w:rsidP="00630D3F">
      <w:pPr>
        <w:spacing w:before="0" w:after="80"/>
        <w:jc w:val="left"/>
        <w:rPr>
          <w:sz w:val="18"/>
        </w:rPr>
      </w:pPr>
    </w:p>
    <w:p w:rsidR="00630D3F" w:rsidRDefault="00630D3F" w:rsidP="00630D3F">
      <w:pPr>
        <w:spacing w:before="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8028AE" w:rsidRDefault="00C2286E" w:rsidP="00A922AD">
      <w:pPr>
        <w:jc w:val="center"/>
        <w:rPr>
          <w:sz w:val="20"/>
        </w:rPr>
      </w:pPr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  </w:t>
      </w:r>
      <w:bookmarkStart w:id="9" w:name="iiannes"/>
      <w:bookmarkEnd w:id="9"/>
      <w:r w:rsidR="006C62D4" w:rsidRPr="008028AE">
        <w:rPr>
          <w:sz w:val="20"/>
        </w:rPr>
        <w:t>201</w:t>
      </w:r>
      <w:r w:rsidR="00A922AD" w:rsidRPr="008028AE">
        <w:rPr>
          <w:sz w:val="20"/>
        </w:rPr>
        <w:t>6</w:t>
      </w:r>
    </w:p>
    <w:p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pacing w:before="80"/>
        <w:jc w:val="left"/>
        <w:rPr>
          <w:i/>
          <w:sz w:val="20"/>
        </w:rPr>
      </w:pPr>
    </w:p>
    <w:p w:rsidR="00FB6D55" w:rsidRPr="003518D5" w:rsidRDefault="00FB6D55">
      <w:pPr>
        <w:sectPr w:rsidR="00FB6D55" w:rsidRPr="003518D5" w:rsidSect="008028AE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6F5455" w:rsidRPr="00A922AD" w:rsidRDefault="006F5455" w:rsidP="00630D3F">
      <w:pPr>
        <w:pStyle w:val="ResNo"/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jc w:val="center"/>
        <w:rPr>
          <w:b w:val="0"/>
          <w:caps/>
        </w:rPr>
      </w:pPr>
      <w:bookmarkStart w:id="10" w:name="irecnos"/>
      <w:bookmarkEnd w:id="10"/>
      <w:r w:rsidRPr="00A922AD">
        <w:rPr>
          <w:b w:val="0"/>
          <w:caps/>
        </w:rPr>
        <w:t xml:space="preserve">RESOLUCIÓN </w:t>
      </w:r>
      <w:r w:rsidR="001D1F48" w:rsidRPr="001D1F48">
        <w:rPr>
          <w:rStyle w:val="href"/>
          <w:b w:val="0"/>
          <w:bCs/>
        </w:rPr>
        <w:t>4</w:t>
      </w:r>
      <w:r w:rsidR="00630D3F">
        <w:rPr>
          <w:rStyle w:val="href"/>
          <w:b w:val="0"/>
          <w:bCs/>
        </w:rPr>
        <w:t>9</w:t>
      </w:r>
      <w:r w:rsidR="00735E06" w:rsidRPr="00735E06">
        <w:t xml:space="preserve"> </w:t>
      </w:r>
      <w:r w:rsidR="00735E06" w:rsidRPr="005D5911">
        <w:rPr>
          <w:b w:val="0"/>
          <w:bCs/>
        </w:rPr>
        <w:t>(Rev. Hammamet, 2016)</w:t>
      </w:r>
    </w:p>
    <w:p w:rsidR="00630D3F" w:rsidRPr="00894D7E" w:rsidRDefault="00630D3F" w:rsidP="00630D3F">
      <w:pPr>
        <w:pStyle w:val="Restitle"/>
      </w:pPr>
      <w:r w:rsidRPr="00894D7E">
        <w:t>ENUM</w:t>
      </w:r>
    </w:p>
    <w:p w:rsidR="00630D3F" w:rsidRPr="00894D7E" w:rsidRDefault="00630D3F" w:rsidP="00630D3F">
      <w:pPr>
        <w:pStyle w:val="Resref"/>
      </w:pPr>
      <w:r w:rsidRPr="00894D7E">
        <w:t>(Florianópolis, 2004; Johannesburgo, 2008; Dubái, 2012; Hammamet, 2016)</w:t>
      </w:r>
    </w:p>
    <w:p w:rsidR="00630D3F" w:rsidRPr="00630D3F" w:rsidRDefault="00630D3F" w:rsidP="00630D3F">
      <w:pPr>
        <w:pStyle w:val="Normalaftertitle0"/>
        <w:rPr>
          <w:lang w:val="es-ES_tradnl"/>
        </w:rPr>
      </w:pPr>
      <w:r w:rsidRPr="00630D3F">
        <w:rPr>
          <w:lang w:val="es-ES_tradnl"/>
        </w:rPr>
        <w:t>La Asamblea Mundial de Normalización de las Telecomunicaciones (Hammamet, 2016),</w:t>
      </w:r>
    </w:p>
    <w:p w:rsidR="00630D3F" w:rsidRPr="002126A0" w:rsidRDefault="00630D3F" w:rsidP="00630D3F">
      <w:pPr>
        <w:pStyle w:val="Call"/>
      </w:pPr>
      <w:r w:rsidRPr="002126A0">
        <w:t>reconociendo</w:t>
      </w:r>
    </w:p>
    <w:p w:rsidR="00630D3F" w:rsidRPr="002126A0" w:rsidRDefault="00630D3F" w:rsidP="00630D3F">
      <w:r w:rsidRPr="002126A0">
        <w:rPr>
          <w:i/>
          <w:iCs/>
        </w:rPr>
        <w:t>a)</w:t>
      </w:r>
      <w:r w:rsidRPr="002126A0">
        <w:tab/>
        <w:t>la Resolución 133 (Rev. Busán 2014) de la Conferencia de Plenipotenciarios, y en particular:</w:t>
      </w:r>
    </w:p>
    <w:p w:rsidR="00630D3F" w:rsidRPr="002126A0" w:rsidRDefault="00630D3F" w:rsidP="00630D3F">
      <w:pPr>
        <w:pStyle w:val="enumlev1"/>
      </w:pPr>
      <w:r w:rsidRPr="002126A0">
        <w:t>i)</w:t>
      </w:r>
      <w:r w:rsidRPr="002126A0">
        <w:tab/>
        <w:t>el avance continuo hacia la integración de las telecomunicaciones e Internet;</w:t>
      </w:r>
    </w:p>
    <w:p w:rsidR="00630D3F" w:rsidRPr="002126A0" w:rsidRDefault="00630D3F" w:rsidP="00630D3F">
      <w:pPr>
        <w:pStyle w:val="enumlev1"/>
      </w:pPr>
      <w:r w:rsidRPr="002126A0">
        <w:t>ii)</w:t>
      </w:r>
      <w:r w:rsidRPr="002126A0">
        <w:tab/>
        <w:t>la función y la soberanía actuales de los Estados Miembros de la UIT en lo que atañe a la asignación y gestión de sus recursos de numeración para el código de país, tal como se recoge en la Recomendación UIT-T E.164;</w:t>
      </w:r>
    </w:p>
    <w:p w:rsidR="00630D3F" w:rsidRPr="002126A0" w:rsidRDefault="00630D3F" w:rsidP="00B30CF5">
      <w:pPr>
        <w:pStyle w:val="enumlev1"/>
      </w:pPr>
      <w:r w:rsidRPr="002126A0">
        <w:t>iii)</w:t>
      </w:r>
      <w:r w:rsidRPr="002126A0">
        <w:tab/>
        <w:t xml:space="preserve">el párrafo </w:t>
      </w:r>
      <w:r>
        <w:t xml:space="preserve">dispositivo </w:t>
      </w:r>
      <w:r w:rsidRPr="002126A0">
        <w:t>en el que se encarga al Secretario General y a los Directores de las Oficinas que tomen todas las medidas necesarias para garantizar la soberanía de los Estados Miembros de la</w:t>
      </w:r>
      <w:r w:rsidR="00B30CF5">
        <w:t> </w:t>
      </w:r>
      <w:r w:rsidRPr="002126A0">
        <w:t>UIT respecto a los planes de numeración de la Recomendación</w:t>
      </w:r>
      <w:r>
        <w:t xml:space="preserve"> </w:t>
      </w:r>
      <w:r w:rsidRPr="002126A0">
        <w:t>UIT</w:t>
      </w:r>
      <w:r w:rsidRPr="002126A0">
        <w:noBreakHyphen/>
        <w:t>T E.164, cualquiera sea la aplicación en la que se utilicen;</w:t>
      </w:r>
    </w:p>
    <w:p w:rsidR="00630D3F" w:rsidRPr="002126A0" w:rsidRDefault="00630D3F" w:rsidP="00630D3F">
      <w:r w:rsidRPr="002126A0">
        <w:rPr>
          <w:i/>
          <w:iCs/>
        </w:rPr>
        <w:t>b)</w:t>
      </w:r>
      <w:r w:rsidRPr="002126A0">
        <w:tab/>
        <w:t>la evolución del papel de la Asamblea Mundial de Normalización de las Telecomunicaciones a la que se refiere la Resolución 122 (Rev. Guadalajara, 2010) de la Conferencia de Plenipotenciarios,</w:t>
      </w:r>
    </w:p>
    <w:p w:rsidR="00630D3F" w:rsidRPr="002126A0" w:rsidRDefault="00630D3F" w:rsidP="00630D3F">
      <w:pPr>
        <w:pStyle w:val="Call"/>
      </w:pPr>
      <w:r w:rsidRPr="002126A0">
        <w:t>observando</w:t>
      </w:r>
    </w:p>
    <w:p w:rsidR="00630D3F" w:rsidRPr="002126A0" w:rsidRDefault="00630D3F" w:rsidP="00630D3F">
      <w:r w:rsidRPr="002126A0">
        <w:rPr>
          <w:i/>
          <w:iCs/>
        </w:rPr>
        <w:t>a)</w:t>
      </w:r>
      <w:r w:rsidRPr="002126A0">
        <w:tab/>
        <w:t>la labor de la Comisión de Estudio 2 del Sector de Normalización de las Telecomunicaciones de la UIT (UIT</w:t>
      </w:r>
      <w:r w:rsidRPr="002126A0">
        <w:noBreakHyphen/>
        <w:t>T) en lo que respecta a la ENUM (numeración electrónica);</w:t>
      </w:r>
    </w:p>
    <w:p w:rsidR="00630D3F" w:rsidRPr="002126A0" w:rsidRDefault="00630D3F" w:rsidP="00630D3F">
      <w:r w:rsidRPr="002126A0">
        <w:rPr>
          <w:i/>
          <w:iCs/>
        </w:rPr>
        <w:t>b)</w:t>
      </w:r>
      <w:r w:rsidRPr="002126A0">
        <w:tab/>
        <w:t>las cuestiones que siguen pendientes en lo que respecta al control administrativo del dominio de Internet más elevado que se utilizará para la ENUM,</w:t>
      </w:r>
    </w:p>
    <w:p w:rsidR="00630D3F" w:rsidRPr="002126A0" w:rsidRDefault="00630D3F" w:rsidP="00630D3F">
      <w:pPr>
        <w:pStyle w:val="Call"/>
      </w:pPr>
      <w:r w:rsidRPr="002126A0">
        <w:t xml:space="preserve">resuelve encargar a la Comisión de Estudio 2 del </w:t>
      </w:r>
      <w:r>
        <w:t xml:space="preserve">Sector de Normalización de las Telecomunicaciones de la </w:t>
      </w:r>
      <w:r w:rsidRPr="002126A0">
        <w:t>UIT</w:t>
      </w:r>
    </w:p>
    <w:p w:rsidR="00630D3F" w:rsidRPr="002126A0" w:rsidRDefault="00630D3F" w:rsidP="00630D3F">
      <w:r w:rsidRPr="002126A0">
        <w:t>1</w:t>
      </w:r>
      <w:r w:rsidRPr="002126A0">
        <w:rPr>
          <w:i/>
          <w:iCs/>
        </w:rPr>
        <w:tab/>
      </w:r>
      <w:r w:rsidRPr="002126A0">
        <w:t>que estudie cómo podría la UIT ejercer el control administrativo sobre los cambios relacionados con los recursos internacionales de telecomunicación (los de denominación, numeración, direccionamiento y encaminamiento) utilizados por la ENUM;</w:t>
      </w:r>
    </w:p>
    <w:p w:rsidR="00630D3F" w:rsidRPr="002126A0" w:rsidRDefault="00630D3F" w:rsidP="00630D3F">
      <w:r w:rsidRPr="002126A0">
        <w:t>2</w:t>
      </w:r>
      <w:r w:rsidRPr="002126A0">
        <w:rPr>
          <w:i/>
          <w:iCs/>
        </w:rPr>
        <w:tab/>
      </w:r>
      <w:r w:rsidRPr="002126A0">
        <w:t>que evalúe el actual procedimiento provisional para la delegación de ENUM e informe al respecto al Director de la Oficina de Normalización de las Telecomunicaciones,</w:t>
      </w:r>
    </w:p>
    <w:p w:rsidR="00630D3F" w:rsidRPr="002126A0" w:rsidRDefault="00630D3F" w:rsidP="00630D3F">
      <w:pPr>
        <w:pStyle w:val="Call"/>
      </w:pPr>
      <w:r w:rsidRPr="002126A0">
        <w:t>encarga al Director de la Oficina de Normalización de las Telecomunicaciones</w:t>
      </w:r>
    </w:p>
    <w:p w:rsidR="00630D3F" w:rsidRPr="002126A0" w:rsidRDefault="00630D3F" w:rsidP="00630D3F">
      <w:r w:rsidRPr="002126A0">
        <w:t>que tome las medidas adecuadas para facilitar lo que antecede y presente un informe anual al Consejo de la</w:t>
      </w:r>
      <w:r>
        <w:t> </w:t>
      </w:r>
      <w:r w:rsidRPr="002126A0">
        <w:t>UIT sobre los progresos logrados en este ámbito, en particular la continuación de estudios relacionados con el proyecto de Recomendación UIT-T E.A-ENUM (nueva versión), relativa a los principios y procedimientos para la administración de indicativos de países E.164 para registro en el sistema de nombres de dominio y el proyecto de Recomendación UIT-T E.A-N/GoC (nueva versión), relativa a los procedimientos administrativos ENUM para los indicativos de país E.164</w:t>
      </w:r>
      <w:r>
        <w:t xml:space="preserve"> y los CI asociados para redes y CIG para grupos de países</w:t>
      </w:r>
      <w:r w:rsidRPr="002126A0">
        <w:t>,</w:t>
      </w:r>
    </w:p>
    <w:p w:rsidR="00630D3F" w:rsidRPr="002126A0" w:rsidRDefault="00630D3F" w:rsidP="00630D3F">
      <w:pPr>
        <w:pStyle w:val="Call"/>
      </w:pPr>
      <w:r w:rsidRPr="002126A0">
        <w:t>invita a los Estados Miembros</w:t>
      </w:r>
    </w:p>
    <w:p w:rsidR="00630D3F" w:rsidRPr="002126A0" w:rsidRDefault="00630D3F" w:rsidP="00630D3F">
      <w:r w:rsidRPr="002126A0">
        <w:t>a aportar su contribución a estas actividades,</w:t>
      </w:r>
    </w:p>
    <w:p w:rsidR="00630D3F" w:rsidRPr="002126A0" w:rsidRDefault="00630D3F" w:rsidP="00630D3F">
      <w:pPr>
        <w:pStyle w:val="Call"/>
      </w:pPr>
      <w:r w:rsidRPr="002126A0">
        <w:t>invita asimismo a los Estados Miembros</w:t>
      </w:r>
    </w:p>
    <w:p w:rsidR="00630D3F" w:rsidRPr="002126A0" w:rsidRDefault="00630D3F" w:rsidP="00630D3F">
      <w:r w:rsidRPr="002126A0">
        <w:t>a tomar, en a sus marcos jurídicos nacionales, las medidas adecuadas para garantizar la debida aplicación de la presente Resolución.</w:t>
      </w:r>
    </w:p>
    <w:p w:rsidR="006F5455" w:rsidRDefault="006F5455" w:rsidP="00734F4D"/>
    <w:sectPr w:rsidR="006F5455" w:rsidSect="00B30CF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pos w:val="beneathText"/>
      </w:footnotePr>
      <w:pgSz w:w="11907" w:h="16834" w:code="9"/>
      <w:pgMar w:top="1134" w:right="1134" w:bottom="1134" w:left="1134" w:header="567" w:footer="567" w:gutter="0"/>
      <w:pgNumType w:start="1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7C6" w:rsidRDefault="007577C6">
      <w:r>
        <w:separator/>
      </w:r>
    </w:p>
  </w:endnote>
  <w:endnote w:type="continuationSeparator" w:id="0">
    <w:p w:rsidR="007577C6" w:rsidRDefault="0075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Default="00877E7D" w:rsidP="00EE47E4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630D3F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</w:t>
    </w:r>
    <w:r w:rsidR="00885482">
      <w:rPr>
        <w:lang w:val="es-ES"/>
      </w:rPr>
      <w:t>6</w:t>
    </w:r>
    <w:r w:rsidRPr="00877E7D">
      <w:rPr>
        <w:lang w:val="es-ES"/>
      </w:rPr>
      <w:t xml:space="preserve"> –</w:t>
    </w:r>
    <w:r>
      <w:rPr>
        <w:lang w:val="es-ES"/>
      </w:rPr>
      <w:t xml:space="preserve"> </w:t>
    </w:r>
    <w:r w:rsidRPr="00877E7D">
      <w:rPr>
        <w:lang w:val="es-ES"/>
      </w:rPr>
      <w:t>Resolución</w:t>
    </w:r>
    <w:r w:rsidR="00EE47E4">
      <w:rPr>
        <w:lang w:val="es-ES"/>
      </w:rPr>
      <w:t xml:space="preserve"> </w:t>
    </w:r>
    <w:r w:rsidR="00EE47E4">
      <w:fldChar w:fldCharType="begin"/>
    </w:r>
    <w:r w:rsidR="00EE47E4">
      <w:rPr>
        <w:lang w:val="en-US"/>
      </w:rPr>
      <w:instrText>styleref href</w:instrText>
    </w:r>
    <w:r w:rsidR="00EE47E4">
      <w:fldChar w:fldCharType="separate"/>
    </w:r>
    <w:r w:rsidR="00D36D2D">
      <w:rPr>
        <w:noProof/>
      </w:rPr>
      <w:t>49</w:t>
    </w:r>
    <w:r w:rsidR="00EE47E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Pr="00877E7D" w:rsidRDefault="00877E7D" w:rsidP="00EE47E4">
    <w:pPr>
      <w:pStyle w:val="FooterQP"/>
      <w:rPr>
        <w:b w:val="0"/>
        <w:lang w:val="en-US"/>
      </w:rPr>
    </w:pPr>
    <w:r>
      <w:tab/>
    </w:r>
    <w:r>
      <w:tab/>
      <w:t>AMNT</w:t>
    </w:r>
    <w:r w:rsidR="004C5B98">
      <w:rPr>
        <w:lang w:val="en-US"/>
      </w:rPr>
      <w:t>-16</w:t>
    </w:r>
    <w:r>
      <w:rPr>
        <w:lang w:val="en-US"/>
      </w:rPr>
      <w:t xml:space="preserve"> – Resolución</w:t>
    </w:r>
    <w:r w:rsidR="00EE47E4">
      <w:rPr>
        <w:lang w:val="en-US"/>
      </w:rPr>
      <w:t xml:space="preserve"> </w:t>
    </w:r>
    <w:r w:rsidR="00EE47E4">
      <w:fldChar w:fldCharType="begin"/>
    </w:r>
    <w:r w:rsidR="00EE47E4">
      <w:rPr>
        <w:lang w:val="en-US"/>
      </w:rPr>
      <w:instrText>styleref href</w:instrText>
    </w:r>
    <w:r w:rsidR="00EE47E4">
      <w:fldChar w:fldCharType="separate"/>
    </w:r>
    <w:r w:rsidR="00B65AD5">
      <w:rPr>
        <w:noProof/>
      </w:rPr>
      <w:t>49</w:t>
    </w:r>
    <w:r w:rsidR="00EE47E4"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B65AD5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AD" w:rsidRPr="00A922AD" w:rsidRDefault="00A922AD" w:rsidP="00ED006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-16 – Resolución </w:t>
    </w:r>
    <w:r w:rsidR="00ED006D">
      <w:fldChar w:fldCharType="begin"/>
    </w:r>
    <w:r w:rsidR="00ED006D">
      <w:rPr>
        <w:lang w:val="en-US"/>
      </w:rPr>
      <w:instrText>styleref href</w:instrText>
    </w:r>
    <w:r w:rsidR="00ED006D">
      <w:fldChar w:fldCharType="separate"/>
    </w:r>
    <w:r w:rsidR="00D36D2D">
      <w:rPr>
        <w:noProof/>
      </w:rPr>
      <w:t>49</w:t>
    </w:r>
    <w:r w:rsidR="00ED006D"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734F4D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7C6" w:rsidRDefault="007577C6">
      <w:r>
        <w:t>____________________</w:t>
      </w:r>
    </w:p>
  </w:footnote>
  <w:footnote w:type="continuationSeparator" w:id="0">
    <w:p w:rsidR="007577C6" w:rsidRDefault="0075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D55"/>
    <w:rsid w:val="00011D16"/>
    <w:rsid w:val="0001598B"/>
    <w:rsid w:val="00021556"/>
    <w:rsid w:val="00044B4D"/>
    <w:rsid w:val="00065BE4"/>
    <w:rsid w:val="00082EA6"/>
    <w:rsid w:val="00096419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58EC"/>
    <w:rsid w:val="001A5D68"/>
    <w:rsid w:val="001C4D78"/>
    <w:rsid w:val="001D1F4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81F38"/>
    <w:rsid w:val="0029052C"/>
    <w:rsid w:val="00295585"/>
    <w:rsid w:val="002A35AB"/>
    <w:rsid w:val="00315C1E"/>
    <w:rsid w:val="003518D5"/>
    <w:rsid w:val="00372B66"/>
    <w:rsid w:val="00377687"/>
    <w:rsid w:val="003C2D00"/>
    <w:rsid w:val="003E33A8"/>
    <w:rsid w:val="003F0680"/>
    <w:rsid w:val="00400600"/>
    <w:rsid w:val="004442F6"/>
    <w:rsid w:val="00466E41"/>
    <w:rsid w:val="004C5B98"/>
    <w:rsid w:val="004F1EA7"/>
    <w:rsid w:val="0052251F"/>
    <w:rsid w:val="005330B1"/>
    <w:rsid w:val="005428C5"/>
    <w:rsid w:val="005435AA"/>
    <w:rsid w:val="0055021E"/>
    <w:rsid w:val="00585ED1"/>
    <w:rsid w:val="005A4F08"/>
    <w:rsid w:val="00630D3F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F5455"/>
    <w:rsid w:val="007057EE"/>
    <w:rsid w:val="00712378"/>
    <w:rsid w:val="00734F4D"/>
    <w:rsid w:val="00735E06"/>
    <w:rsid w:val="00743611"/>
    <w:rsid w:val="007577C6"/>
    <w:rsid w:val="0079215F"/>
    <w:rsid w:val="007A0BE3"/>
    <w:rsid w:val="007B0D90"/>
    <w:rsid w:val="007C04D8"/>
    <w:rsid w:val="007C64E7"/>
    <w:rsid w:val="007C7F35"/>
    <w:rsid w:val="008028AE"/>
    <w:rsid w:val="00812CE2"/>
    <w:rsid w:val="008222EF"/>
    <w:rsid w:val="00831A21"/>
    <w:rsid w:val="00841271"/>
    <w:rsid w:val="00855B0A"/>
    <w:rsid w:val="00862C3A"/>
    <w:rsid w:val="00865C7D"/>
    <w:rsid w:val="00877E7D"/>
    <w:rsid w:val="00885482"/>
    <w:rsid w:val="00892A35"/>
    <w:rsid w:val="008B09EB"/>
    <w:rsid w:val="008B2002"/>
    <w:rsid w:val="008C357D"/>
    <w:rsid w:val="008C6F85"/>
    <w:rsid w:val="008D5D1B"/>
    <w:rsid w:val="008D6B1E"/>
    <w:rsid w:val="008E70B2"/>
    <w:rsid w:val="008F7079"/>
    <w:rsid w:val="00906FCA"/>
    <w:rsid w:val="00917AD8"/>
    <w:rsid w:val="009215A0"/>
    <w:rsid w:val="009242C6"/>
    <w:rsid w:val="00946DF2"/>
    <w:rsid w:val="009560C3"/>
    <w:rsid w:val="00956FFA"/>
    <w:rsid w:val="00976CDA"/>
    <w:rsid w:val="009B4B48"/>
    <w:rsid w:val="009C06D6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922AD"/>
    <w:rsid w:val="00AC2B2D"/>
    <w:rsid w:val="00AD62D4"/>
    <w:rsid w:val="00B122C8"/>
    <w:rsid w:val="00B24C2D"/>
    <w:rsid w:val="00B30CF5"/>
    <w:rsid w:val="00B31246"/>
    <w:rsid w:val="00B450BE"/>
    <w:rsid w:val="00B57627"/>
    <w:rsid w:val="00B65AD5"/>
    <w:rsid w:val="00B96F52"/>
    <w:rsid w:val="00BD5BF5"/>
    <w:rsid w:val="00BE0A5C"/>
    <w:rsid w:val="00BE14B0"/>
    <w:rsid w:val="00C028FA"/>
    <w:rsid w:val="00C10AF4"/>
    <w:rsid w:val="00C2286E"/>
    <w:rsid w:val="00C307BC"/>
    <w:rsid w:val="00C3111E"/>
    <w:rsid w:val="00C37FA4"/>
    <w:rsid w:val="00C87C51"/>
    <w:rsid w:val="00C92632"/>
    <w:rsid w:val="00C96E9A"/>
    <w:rsid w:val="00C97C18"/>
    <w:rsid w:val="00CC2761"/>
    <w:rsid w:val="00CD1B1B"/>
    <w:rsid w:val="00CD7789"/>
    <w:rsid w:val="00CF15EA"/>
    <w:rsid w:val="00D075E1"/>
    <w:rsid w:val="00D13CDA"/>
    <w:rsid w:val="00D23B4C"/>
    <w:rsid w:val="00D36D2D"/>
    <w:rsid w:val="00D460E6"/>
    <w:rsid w:val="00D5161F"/>
    <w:rsid w:val="00D74EFE"/>
    <w:rsid w:val="00D9465C"/>
    <w:rsid w:val="00D962F2"/>
    <w:rsid w:val="00D976F2"/>
    <w:rsid w:val="00DC4B81"/>
    <w:rsid w:val="00DD71D5"/>
    <w:rsid w:val="00DE2B16"/>
    <w:rsid w:val="00DE4D43"/>
    <w:rsid w:val="00E16169"/>
    <w:rsid w:val="00E26A91"/>
    <w:rsid w:val="00E461D8"/>
    <w:rsid w:val="00E604AC"/>
    <w:rsid w:val="00E654F0"/>
    <w:rsid w:val="00E72AD0"/>
    <w:rsid w:val="00ED006D"/>
    <w:rsid w:val="00ED48FA"/>
    <w:rsid w:val="00ED6590"/>
    <w:rsid w:val="00EE233D"/>
    <w:rsid w:val="00EE47E4"/>
    <w:rsid w:val="00EE5183"/>
    <w:rsid w:val="00F40D91"/>
    <w:rsid w:val="00F46759"/>
    <w:rsid w:val="00F517A1"/>
    <w:rsid w:val="00F547A9"/>
    <w:rsid w:val="00F56432"/>
    <w:rsid w:val="00F64291"/>
    <w:rsid w:val="00F72501"/>
    <w:rsid w:val="00F816C3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qFormat/>
    <w:rsid w:val="008E70B2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3FEF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12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</vt:lpstr>
    </vt:vector>
  </TitlesOfParts>
  <Company>ITU</Company>
  <LinksUpToDate>false</LinksUpToDate>
  <CharactersWithSpaces>4466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ITU-T</dc:creator>
  <cp:keywords>E.802,E,802</cp:keywords>
  <dc:description>Saved by MRG106308 at 10:22:31 on 06.12.2007</dc:description>
  <cp:lastModifiedBy>Angel Martinez Romera</cp:lastModifiedBy>
  <cp:revision>11</cp:revision>
  <cp:lastPrinted>2016-12-15T16:01:00Z</cp:lastPrinted>
  <dcterms:created xsi:type="dcterms:W3CDTF">2016-12-15T15:12:00Z</dcterms:created>
  <dcterms:modified xsi:type="dcterms:W3CDTF">2016-12-15T16:23:00Z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