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8968B6" w:rsidRPr="008968B6" w:rsidTr="005569CA">
        <w:trPr>
          <w:trHeight w:hRule="exact" w:val="1418"/>
        </w:trPr>
        <w:tc>
          <w:tcPr>
            <w:tcW w:w="1428" w:type="dxa"/>
            <w:gridSpan w:val="2"/>
          </w:tcPr>
          <w:p w:rsidR="008968B6" w:rsidRPr="008968B6" w:rsidRDefault="00720F3C" w:rsidP="008968B6">
            <w:pPr>
              <w:spacing w:before="120" w:line="240" w:lineRule="auto"/>
              <w:rPr>
                <w:sz w:val="24"/>
                <w:lang w:val="en-GB"/>
              </w:rPr>
            </w:pPr>
            <w:bookmarkStart w:id="0" w:name="dstart"/>
            <w:bookmarkStart w:id="1" w:name="dbreak"/>
            <w:bookmarkStart w:id="2" w:name="InsertLogo"/>
            <w:bookmarkEnd w:id="0"/>
            <w:bookmarkEnd w:id="1"/>
            <w:bookmarkEnd w:id="2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164" name="Picture 16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68B6" w:rsidRPr="008968B6" w:rsidRDefault="008968B6" w:rsidP="008968B6">
            <w:pPr>
              <w:spacing w:before="0" w:line="240" w:lineRule="auto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8968B6" w:rsidRPr="008968B6" w:rsidRDefault="008968B6" w:rsidP="008968B6">
            <w:pPr>
              <w:spacing w:before="0" w:line="240" w:lineRule="auto"/>
              <w:rPr>
                <w:rFonts w:ascii="Arial" w:hAnsi="Arial" w:cs="Arial"/>
                <w:sz w:val="24"/>
                <w:lang w:val="en-US"/>
              </w:rPr>
            </w:pPr>
          </w:p>
          <w:p w:rsidR="008968B6" w:rsidRPr="008968B6" w:rsidRDefault="008968B6" w:rsidP="008968B6">
            <w:pPr>
              <w:spacing w:before="284" w:line="240" w:lineRule="auto"/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 w:rsidRPr="008968B6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lang w:val="en-GB"/>
              </w:rPr>
              <w:t>International Telecommunication Union</w:t>
            </w:r>
          </w:p>
        </w:tc>
      </w:tr>
      <w:tr w:rsidR="008968B6" w:rsidRPr="008968B6" w:rsidTr="005569CA">
        <w:trPr>
          <w:trHeight w:hRule="exact" w:val="992"/>
        </w:trPr>
        <w:tc>
          <w:tcPr>
            <w:tcW w:w="1428" w:type="dxa"/>
            <w:gridSpan w:val="2"/>
          </w:tcPr>
          <w:p w:rsidR="008968B6" w:rsidRPr="008968B6" w:rsidRDefault="008968B6" w:rsidP="008968B6">
            <w:pPr>
              <w:spacing w:before="0" w:line="240" w:lineRule="auto"/>
              <w:rPr>
                <w:sz w:val="24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8968B6" w:rsidRPr="008968B6" w:rsidRDefault="008968B6" w:rsidP="008968B6">
            <w:pPr>
              <w:spacing w:before="120" w:line="240" w:lineRule="auto"/>
              <w:rPr>
                <w:sz w:val="24"/>
                <w:lang w:val="en-US"/>
              </w:rPr>
            </w:pPr>
          </w:p>
        </w:tc>
      </w:tr>
      <w:tr w:rsidR="008968B6" w:rsidRPr="008968B6" w:rsidTr="005569CA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8968B6" w:rsidRPr="008968B6" w:rsidRDefault="008968B6" w:rsidP="008968B6">
            <w:pPr>
              <w:spacing w:before="120" w:line="240" w:lineRule="auto"/>
              <w:rPr>
                <w:b/>
                <w:sz w:val="18"/>
                <w:lang w:val="en-US"/>
              </w:rPr>
            </w:pPr>
            <w:bookmarkStart w:id="3" w:name="dnume" w:colFirst="1" w:colLast="1"/>
            <w:r w:rsidRPr="008968B6"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8968B6" w:rsidRPr="008968B6" w:rsidRDefault="008968B6" w:rsidP="008968B6">
            <w:pPr>
              <w:spacing w:before="240" w:line="240" w:lineRule="auto"/>
              <w:jc w:val="right"/>
              <w:rPr>
                <w:b/>
                <w:sz w:val="18"/>
                <w:lang w:val="en-US"/>
              </w:rPr>
            </w:pPr>
          </w:p>
        </w:tc>
      </w:tr>
      <w:tr w:rsidR="008968B6" w:rsidRPr="009D1FEB" w:rsidTr="005569CA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8968B6" w:rsidRPr="008968B6" w:rsidRDefault="008968B6" w:rsidP="008968B6">
            <w:pPr>
              <w:spacing w:before="120" w:line="240" w:lineRule="auto"/>
              <w:jc w:val="left"/>
              <w:rPr>
                <w:b/>
                <w:sz w:val="20"/>
                <w:lang w:val="en-US"/>
              </w:rPr>
            </w:pPr>
            <w:bookmarkStart w:id="4" w:name="ddatee" w:colFirst="1" w:colLast="1"/>
            <w:bookmarkEnd w:id="3"/>
            <w:r w:rsidRPr="008968B6">
              <w:rPr>
                <w:rFonts w:ascii="Arial" w:hAnsi="Arial"/>
                <w:sz w:val="20"/>
                <w:lang w:val="en-US"/>
              </w:rPr>
              <w:t>TELECOMMUNICATION</w:t>
            </w:r>
            <w:r w:rsidRPr="008968B6">
              <w:rPr>
                <w:rFonts w:ascii="Arial" w:hAnsi="Arial" w:cs="Arial"/>
                <w:sz w:val="20"/>
                <w:lang w:val="en-US"/>
              </w:rPr>
              <w:br/>
            </w:r>
            <w:r w:rsidRPr="008968B6">
              <w:rPr>
                <w:rFonts w:ascii="Arial" w:hAnsi="Arial"/>
                <w:sz w:val="20"/>
                <w:lang w:val="en-US"/>
              </w:rPr>
              <w:t>STANDARDIZATION  SECTOR</w:t>
            </w:r>
            <w:r w:rsidRPr="008968B6">
              <w:rPr>
                <w:rFonts w:ascii="Arial" w:hAnsi="Arial"/>
                <w:sz w:val="20"/>
                <w:lang w:val="en-US"/>
              </w:rPr>
              <w:br/>
              <w:t>OF  ITU</w:t>
            </w:r>
          </w:p>
        </w:tc>
        <w:tc>
          <w:tcPr>
            <w:tcW w:w="3971" w:type="dxa"/>
          </w:tcPr>
          <w:p w:rsidR="008968B6" w:rsidRPr="008968B6" w:rsidRDefault="008968B6" w:rsidP="008968B6">
            <w:pPr>
              <w:spacing w:before="0" w:line="240" w:lineRule="auto"/>
              <w:jc w:val="right"/>
              <w:rPr>
                <w:b/>
                <w:sz w:val="18"/>
                <w:lang w:val="en-US"/>
              </w:rPr>
            </w:pPr>
          </w:p>
        </w:tc>
      </w:tr>
      <w:tr w:rsidR="008968B6" w:rsidRPr="009D1FEB" w:rsidTr="005569CA">
        <w:trPr>
          <w:cantSplit/>
          <w:trHeight w:hRule="exact" w:val="3402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  <w:bookmarkStart w:id="5" w:name="dsece" w:colFirst="1" w:colLast="1"/>
            <w:bookmarkEnd w:id="4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32"/>
                <w:lang w:val="en-US"/>
              </w:rPr>
            </w:pPr>
            <w:r w:rsidRPr="008968B6">
              <w:rPr>
                <w:rFonts w:ascii="Arial" w:hAnsi="Arial"/>
                <w:sz w:val="32"/>
                <w:lang w:val="en-US"/>
              </w:rPr>
              <w:t xml:space="preserve">WORLD TELECOMMUNICATION STANDARDIZATION ASSEMBLY </w:t>
            </w:r>
            <w:r w:rsidRPr="008968B6">
              <w:rPr>
                <w:rFonts w:ascii="Arial" w:hAnsi="Arial"/>
                <w:sz w:val="32"/>
                <w:lang w:val="en-US"/>
              </w:rPr>
              <w:br/>
            </w:r>
            <w:r w:rsidR="000E4393" w:rsidRPr="00F81B8E">
              <w:rPr>
                <w:rFonts w:ascii="Arial" w:hAnsi="Arial"/>
                <w:sz w:val="32"/>
                <w:lang w:val="en-GB"/>
              </w:rPr>
              <w:t>Dubai, 20-29 November 2012</w:t>
            </w:r>
          </w:p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32"/>
                <w:lang w:val="en-US"/>
              </w:rPr>
            </w:pPr>
          </w:p>
        </w:tc>
      </w:tr>
      <w:tr w:rsidR="008968B6" w:rsidRPr="00113415" w:rsidTr="005569CA">
        <w:trPr>
          <w:cantSplit/>
          <w:trHeight w:hRule="exact" w:val="4536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  <w:bookmarkStart w:id="6" w:name="c1tite" w:colFirst="1" w:colLast="1"/>
            <w:bookmarkEnd w:id="5"/>
          </w:p>
        </w:tc>
        <w:tc>
          <w:tcPr>
            <w:tcW w:w="8530" w:type="dxa"/>
            <w:gridSpan w:val="4"/>
          </w:tcPr>
          <w:p w:rsidR="008968B6" w:rsidRPr="008968B6" w:rsidRDefault="008968B6" w:rsidP="00113415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b/>
                <w:bCs/>
                <w:sz w:val="36"/>
                <w:lang w:val="en-US"/>
              </w:rPr>
            </w:pPr>
            <w:r w:rsidRPr="008968B6">
              <w:rPr>
                <w:rFonts w:ascii="Arial" w:hAnsi="Arial"/>
                <w:b/>
                <w:bCs/>
                <w:sz w:val="36"/>
                <w:lang w:val="en-US"/>
              </w:rPr>
              <w:t xml:space="preserve">Resolution </w:t>
            </w:r>
            <w:r w:rsidR="00E40876">
              <w:rPr>
                <w:rFonts w:ascii="Arial" w:hAnsi="Arial"/>
                <w:b/>
                <w:bCs/>
                <w:sz w:val="36"/>
                <w:lang w:val="en-US"/>
              </w:rPr>
              <w:t>4</w:t>
            </w:r>
            <w:r w:rsidR="00113415">
              <w:rPr>
                <w:rFonts w:ascii="Arial" w:hAnsi="Arial"/>
                <w:b/>
                <w:bCs/>
                <w:sz w:val="36"/>
                <w:lang w:val="en-US"/>
              </w:rPr>
              <w:t>9</w:t>
            </w:r>
            <w:r w:rsidRPr="008968B6">
              <w:rPr>
                <w:rFonts w:ascii="Arial" w:hAnsi="Arial"/>
                <w:b/>
                <w:bCs/>
                <w:sz w:val="36"/>
                <w:lang w:val="en-US"/>
              </w:rPr>
              <w:t xml:space="preserve"> – </w:t>
            </w:r>
            <w:r w:rsidR="00113415" w:rsidRPr="00113415">
              <w:rPr>
                <w:rFonts w:ascii="Arial" w:hAnsi="Arial"/>
                <w:b/>
                <w:bCs/>
                <w:sz w:val="36"/>
                <w:lang w:val="en-US"/>
              </w:rPr>
              <w:t>ENUM</w:t>
            </w:r>
          </w:p>
        </w:tc>
      </w:tr>
      <w:bookmarkEnd w:id="6"/>
      <w:tr w:rsidR="008968B6" w:rsidRPr="00113415" w:rsidTr="005569CA">
        <w:trPr>
          <w:cantSplit/>
          <w:trHeight w:hRule="exact" w:val="1418"/>
        </w:trPr>
        <w:tc>
          <w:tcPr>
            <w:tcW w:w="1418" w:type="dxa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8968B6" w:rsidRPr="008968B6" w:rsidRDefault="008968B6" w:rsidP="008968B6">
            <w:pPr>
              <w:tabs>
                <w:tab w:val="right" w:pos="9639"/>
              </w:tabs>
              <w:spacing w:before="120" w:line="240" w:lineRule="auto"/>
              <w:jc w:val="left"/>
              <w:rPr>
                <w:rFonts w:ascii="Arial" w:hAnsi="Arial"/>
                <w:sz w:val="18"/>
                <w:lang w:val="en-US"/>
              </w:rPr>
            </w:pPr>
            <w:bookmarkStart w:id="7" w:name="dnum2e"/>
            <w:bookmarkEnd w:id="7"/>
          </w:p>
        </w:tc>
      </w:tr>
    </w:tbl>
    <w:p w:rsidR="008968B6" w:rsidRPr="008968B6" w:rsidRDefault="00720F3C" w:rsidP="008968B6">
      <w:pPr>
        <w:tabs>
          <w:tab w:val="right" w:pos="9639"/>
        </w:tabs>
        <w:spacing w:before="240" w:line="240" w:lineRule="auto"/>
        <w:jc w:val="right"/>
        <w:rPr>
          <w:sz w:val="20"/>
          <w:lang w:val="en-US"/>
        </w:rPr>
      </w:pPr>
      <w:bookmarkStart w:id="8" w:name="c2tope"/>
      <w:bookmarkEnd w:id="8"/>
      <w:r>
        <w:rPr>
          <w:noProof/>
          <w:lang w:val="en-US" w:eastAsia="zh-CN"/>
        </w:rPr>
        <w:drawing>
          <wp:inline distT="0" distB="0" distL="0" distR="0">
            <wp:extent cx="666750" cy="752475"/>
            <wp:effectExtent l="0" t="0" r="0" b="9525"/>
            <wp:docPr id="5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8B6" w:rsidRPr="008968B6" w:rsidRDefault="008968B6" w:rsidP="008968B6">
      <w:pPr>
        <w:spacing w:before="80" w:line="240" w:lineRule="auto"/>
        <w:jc w:val="left"/>
        <w:rPr>
          <w:i/>
          <w:sz w:val="20"/>
          <w:lang w:val="en-US"/>
        </w:rPr>
      </w:pPr>
    </w:p>
    <w:p w:rsidR="008968B6" w:rsidRPr="008968B6" w:rsidRDefault="008968B6" w:rsidP="008968B6">
      <w:pPr>
        <w:spacing w:before="120" w:line="240" w:lineRule="auto"/>
        <w:jc w:val="left"/>
        <w:rPr>
          <w:sz w:val="24"/>
          <w:lang w:val="en-US"/>
        </w:rPr>
        <w:sectPr w:rsidR="008968B6" w:rsidRPr="008968B6" w:rsidSect="008968B6">
          <w:headerReference w:type="even" r:id="rId10"/>
          <w:headerReference w:type="default" r:id="rId11"/>
          <w:type w:val="oddPage"/>
          <w:pgSz w:w="11907" w:h="16840" w:code="9"/>
          <w:pgMar w:top="1089" w:right="1089" w:bottom="284" w:left="1089" w:header="567" w:footer="284" w:gutter="0"/>
          <w:pgNumType w:start="1"/>
          <w:cols w:space="720"/>
        </w:sectPr>
      </w:pPr>
    </w:p>
    <w:p w:rsidR="008968B6" w:rsidRPr="008968B6" w:rsidRDefault="008968B6" w:rsidP="008968B6">
      <w:pPr>
        <w:spacing w:before="480" w:line="240" w:lineRule="auto"/>
        <w:jc w:val="center"/>
        <w:rPr>
          <w:lang w:val="en-US"/>
        </w:rPr>
      </w:pPr>
      <w:bookmarkStart w:id="9" w:name="irecnoe"/>
      <w:bookmarkEnd w:id="9"/>
      <w:r w:rsidRPr="008968B6">
        <w:rPr>
          <w:lang w:val="en-US"/>
        </w:rPr>
        <w:lastRenderedPageBreak/>
        <w:t>FOREWORD</w:t>
      </w:r>
    </w:p>
    <w:p w:rsidR="000E4393" w:rsidRPr="00F81B8E" w:rsidRDefault="000E4393" w:rsidP="000E4393">
      <w:pPr>
        <w:pStyle w:val="Normalaftertitle"/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The International Telecommunication Union (ITU) is the United Nations specialized agency in the field of tele</w:t>
      </w:r>
      <w:r w:rsidRPr="00F81B8E">
        <w:rPr>
          <w:sz w:val="20"/>
          <w:lang w:val="en-GB"/>
        </w:rPr>
        <w:softHyphen/>
        <w:t>com</w:t>
      </w:r>
      <w:r w:rsidRPr="00F81B8E">
        <w:rPr>
          <w:sz w:val="20"/>
          <w:lang w:val="en-GB"/>
        </w:rPr>
        <w:softHyphen/>
        <w:t>mu</w:t>
      </w:r>
      <w:r w:rsidRPr="00F81B8E">
        <w:rPr>
          <w:sz w:val="20"/>
          <w:lang w:val="en-GB"/>
        </w:rPr>
        <w:softHyphen/>
        <w:t>ni</w:t>
      </w:r>
      <w:r w:rsidRPr="00F81B8E">
        <w:rPr>
          <w:sz w:val="20"/>
          <w:lang w:val="en-GB"/>
        </w:rPr>
        <w:softHyphen/>
        <w:t>ca</w:t>
      </w:r>
      <w:r w:rsidRPr="00F81B8E">
        <w:rPr>
          <w:sz w:val="20"/>
          <w:lang w:val="en-GB"/>
        </w:rPr>
        <w:softHyphen/>
        <w:t>tions. The ITU Telecommunication Standardization Sector (ITU-T) is a permanent organ of ITU. ITU-T is responsible for studying technical, operating and tariff questions and issuing Recommendations on them with a view to standardizing telecommunications on a worldwide basis.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 xml:space="preserve">The </w:t>
      </w:r>
      <w:bookmarkStart w:id="10" w:name="iitexte"/>
      <w:r w:rsidRPr="00F81B8E">
        <w:rPr>
          <w:sz w:val="20"/>
          <w:lang w:val="en-GB"/>
        </w:rPr>
        <w:t>World Telecommunication Standardization Assembly (WTSA), which meets every four years, establishes the topics for study by the ITU</w:t>
      </w:r>
      <w:r w:rsidRPr="00F81B8E">
        <w:rPr>
          <w:sz w:val="20"/>
          <w:lang w:val="en-GB"/>
        </w:rPr>
        <w:noBreakHyphen/>
        <w:t>T study groups which, in turn, produce Recommendations on these topics.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The approval of ITU-T Recommendations is covered by the procedure laid down in WTSA Resolution 1</w:t>
      </w:r>
      <w:bookmarkEnd w:id="10"/>
      <w:r w:rsidRPr="00F81B8E">
        <w:rPr>
          <w:sz w:val="20"/>
          <w:lang w:val="en-GB"/>
        </w:rPr>
        <w:t>.</w:t>
      </w:r>
    </w:p>
    <w:p w:rsidR="000E4393" w:rsidRPr="00F81B8E" w:rsidRDefault="000E4393" w:rsidP="000E4393">
      <w:pPr>
        <w:spacing w:line="240" w:lineRule="exact"/>
        <w:rPr>
          <w:sz w:val="20"/>
          <w:lang w:val="en-GB"/>
        </w:rPr>
      </w:pPr>
      <w:r w:rsidRPr="00F81B8E">
        <w:rPr>
          <w:sz w:val="20"/>
          <w:lang w:val="en-GB"/>
        </w:rPr>
        <w:t>In some areas of information technology which fall within ITU-T's purview, the necessary standards are prepared on a collaborative basis with ISO and IEC.</w:t>
      </w: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0E4393" w:rsidRDefault="000E4393" w:rsidP="000E4393">
      <w:pPr>
        <w:spacing w:line="240" w:lineRule="exact"/>
        <w:jc w:val="center"/>
        <w:rPr>
          <w:sz w:val="20"/>
          <w:lang w:val="en-GB"/>
        </w:rPr>
      </w:pPr>
    </w:p>
    <w:p w:rsidR="00471930" w:rsidRPr="00F81B8E" w:rsidRDefault="00471930" w:rsidP="000E4393">
      <w:pPr>
        <w:spacing w:line="240" w:lineRule="exact"/>
        <w:jc w:val="center"/>
        <w:rPr>
          <w:sz w:val="20"/>
          <w:lang w:val="en-GB"/>
        </w:rPr>
      </w:pPr>
    </w:p>
    <w:p w:rsidR="000E4393" w:rsidRPr="00F81B8E" w:rsidRDefault="000E4393" w:rsidP="000E4393">
      <w:pPr>
        <w:spacing w:line="240" w:lineRule="exact"/>
        <w:jc w:val="center"/>
        <w:rPr>
          <w:sz w:val="20"/>
          <w:lang w:val="en-GB"/>
        </w:rPr>
      </w:pPr>
      <w:r w:rsidRPr="00F81B8E">
        <w:rPr>
          <w:sz w:val="20"/>
          <w:lang w:val="en-GB"/>
        </w:rPr>
        <w:sym w:font="Symbol" w:char="F0E3"/>
      </w:r>
      <w:r w:rsidRPr="00F81B8E">
        <w:rPr>
          <w:sz w:val="20"/>
          <w:lang w:val="en-GB"/>
        </w:rPr>
        <w:t xml:space="preserve"> ITU </w:t>
      </w:r>
      <w:bookmarkStart w:id="11" w:name="iiannee"/>
      <w:bookmarkEnd w:id="11"/>
      <w:r w:rsidRPr="00F81B8E">
        <w:rPr>
          <w:sz w:val="20"/>
          <w:lang w:val="en-GB"/>
        </w:rPr>
        <w:t>2013</w:t>
      </w:r>
    </w:p>
    <w:p w:rsidR="008968B6" w:rsidRPr="008968B6" w:rsidRDefault="000E4393" w:rsidP="000E4393">
      <w:pPr>
        <w:spacing w:before="120" w:line="240" w:lineRule="auto"/>
        <w:rPr>
          <w:lang w:val="en-US"/>
        </w:rPr>
      </w:pPr>
      <w:r w:rsidRPr="00F81B8E">
        <w:rPr>
          <w:sz w:val="20"/>
          <w:lang w:val="en-GB"/>
        </w:rPr>
        <w:t>All rights reserved. No part of this publication may be reproduced, by any means whatsoever, without the prior written permission of ITU.</w:t>
      </w:r>
    </w:p>
    <w:p w:rsidR="00B73379" w:rsidRPr="000E4393" w:rsidRDefault="00B73379" w:rsidP="003374BB">
      <w:pPr>
        <w:pStyle w:val="ResNo"/>
        <w:rPr>
          <w:lang w:val="en-US"/>
        </w:rPr>
        <w:sectPr w:rsidR="00B73379" w:rsidRPr="000E4393" w:rsidSect="00DE48B4">
          <w:footerReference w:type="even" r:id="rId12"/>
          <w:footerReference w:type="default" r:id="rId13"/>
          <w:footnotePr>
            <w:numRestart w:val="eachSect"/>
          </w:footnotePr>
          <w:type w:val="evenPage"/>
          <w:pgSz w:w="11907" w:h="16834" w:code="9"/>
          <w:pgMar w:top="1134" w:right="1134" w:bottom="1134" w:left="1134" w:header="567" w:footer="567" w:gutter="0"/>
          <w:paperSrc w:first="15" w:other="15"/>
          <w:pgNumType w:start="1"/>
          <w:cols w:space="720"/>
        </w:sectPr>
      </w:pPr>
    </w:p>
    <w:p w:rsidR="003374BB" w:rsidRPr="000E4393" w:rsidRDefault="003374BB" w:rsidP="00113415">
      <w:pPr>
        <w:pStyle w:val="ResNo"/>
        <w:rPr>
          <w:lang w:val="en-US"/>
        </w:rPr>
      </w:pPr>
      <w:r w:rsidRPr="000E4393">
        <w:rPr>
          <w:lang w:val="en-US"/>
        </w:rPr>
        <w:lastRenderedPageBreak/>
        <w:t xml:space="preserve">resolution </w:t>
      </w:r>
      <w:r w:rsidR="00E40876">
        <w:rPr>
          <w:rStyle w:val="href"/>
          <w:lang w:val="en-US"/>
        </w:rPr>
        <w:t>4</w:t>
      </w:r>
      <w:r w:rsidR="00113415">
        <w:rPr>
          <w:rStyle w:val="href"/>
          <w:lang w:val="en-US"/>
        </w:rPr>
        <w:t>9</w:t>
      </w:r>
      <w:r w:rsidR="009D1FEB">
        <w:rPr>
          <w:rStyle w:val="href"/>
          <w:lang w:val="en-US"/>
        </w:rPr>
        <w:t xml:space="preserve"> </w:t>
      </w:r>
      <w:r w:rsidR="009D1FEB" w:rsidRPr="00F81B8E">
        <w:rPr>
          <w:lang w:val="en-GB"/>
        </w:rPr>
        <w:t>(</w:t>
      </w:r>
      <w:r w:rsidR="009D1FEB" w:rsidRPr="00F81B8E">
        <w:rPr>
          <w:caps w:val="0"/>
          <w:lang w:val="en-GB"/>
        </w:rPr>
        <w:t>Rev. Dubai, 2012</w:t>
      </w:r>
      <w:r w:rsidR="009D1FEB" w:rsidRPr="00F81B8E">
        <w:rPr>
          <w:lang w:val="en-GB"/>
        </w:rPr>
        <w:t>)</w:t>
      </w:r>
      <w:bookmarkStart w:id="12" w:name="_GoBack"/>
      <w:bookmarkEnd w:id="12"/>
    </w:p>
    <w:p w:rsidR="006D724B" w:rsidRPr="00F81B8E" w:rsidRDefault="006D724B" w:rsidP="006D724B">
      <w:pPr>
        <w:pStyle w:val="Restitle"/>
        <w:rPr>
          <w:lang w:val="en-GB"/>
        </w:rPr>
      </w:pPr>
      <w:r w:rsidRPr="00F81B8E">
        <w:rPr>
          <w:lang w:val="en-GB"/>
        </w:rPr>
        <w:t>ENUM</w:t>
      </w:r>
    </w:p>
    <w:p w:rsidR="006D724B" w:rsidRPr="00F81B8E" w:rsidRDefault="006D724B" w:rsidP="006D724B">
      <w:pPr>
        <w:pStyle w:val="Resref"/>
        <w:rPr>
          <w:lang w:val="en-GB"/>
        </w:rPr>
      </w:pPr>
      <w:r w:rsidRPr="00F81B8E">
        <w:rPr>
          <w:lang w:val="en-GB"/>
        </w:rPr>
        <w:t>(Florianópolis, 2004; Johannesburg, 2008; Dubai, 2012)</w:t>
      </w:r>
    </w:p>
    <w:p w:rsidR="006D724B" w:rsidRPr="00F81B8E" w:rsidRDefault="006D724B" w:rsidP="006D724B">
      <w:pPr>
        <w:pStyle w:val="Normalaftertitle0"/>
      </w:pPr>
      <w:r w:rsidRPr="00F81B8E">
        <w:t>The World Telecommunication Standardization Assembly (Dubai, 2012),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 xml:space="preserve">recognizing 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Resolution 133 (Rev. Guadalajara, 2010) of the Plenipotentiary Conference, in particular:</w:t>
      </w:r>
    </w:p>
    <w:p w:rsidR="006D724B" w:rsidRPr="00F81B8E" w:rsidRDefault="006D724B" w:rsidP="006D724B">
      <w:pPr>
        <w:pStyle w:val="enumlev1"/>
        <w:rPr>
          <w:lang w:val="en-GB"/>
        </w:rPr>
      </w:pPr>
      <w:r w:rsidRPr="00F81B8E">
        <w:rPr>
          <w:lang w:val="en-GB"/>
        </w:rPr>
        <w:t>i)</w:t>
      </w:r>
      <w:r w:rsidRPr="00F81B8E">
        <w:rPr>
          <w:lang w:val="en-GB"/>
        </w:rPr>
        <w:tab/>
        <w:t>the continuing progress towards integration of telecommunications and the Internet;</w:t>
      </w:r>
    </w:p>
    <w:p w:rsidR="006D724B" w:rsidRPr="00F81B8E" w:rsidRDefault="006D724B" w:rsidP="006D724B">
      <w:pPr>
        <w:pStyle w:val="enumlev1"/>
        <w:rPr>
          <w:lang w:val="en-GB"/>
        </w:rPr>
      </w:pPr>
      <w:r w:rsidRPr="00F81B8E">
        <w:rPr>
          <w:lang w:val="en-GB"/>
        </w:rPr>
        <w:t>ii)</w:t>
      </w:r>
      <w:r w:rsidRPr="00F81B8E">
        <w:rPr>
          <w:lang w:val="en-GB"/>
        </w:rPr>
        <w:tab/>
        <w:t>the existing role and sovereignty of ITU Member States with respect to allocation and management of their country code numbering resources as enshrined in Recommendation ITU</w:t>
      </w:r>
      <w:r w:rsidRPr="00F81B8E">
        <w:rPr>
          <w:lang w:val="en-GB"/>
        </w:rPr>
        <w:noBreakHyphen/>
        <w:t>T E.164;</w:t>
      </w:r>
    </w:p>
    <w:p w:rsidR="006D724B" w:rsidRPr="00F81B8E" w:rsidRDefault="006D724B" w:rsidP="006D724B">
      <w:pPr>
        <w:pStyle w:val="enumlev1"/>
        <w:rPr>
          <w:lang w:val="en-GB"/>
        </w:rPr>
      </w:pPr>
      <w:r w:rsidRPr="00F81B8E">
        <w:rPr>
          <w:lang w:val="en-GB"/>
        </w:rPr>
        <w:t>iii)</w:t>
      </w:r>
      <w:r w:rsidRPr="00F81B8E">
        <w:rPr>
          <w:lang w:val="en-GB"/>
        </w:rPr>
        <w:tab/>
        <w:t>the paragraph instructing the Secretary-General and the Directors of the Bureaux to take any necessary action to ensure the sovereignty of ITU Member States with regard to Recommendation ITU</w:t>
      </w:r>
      <w:r w:rsidRPr="00F81B8E">
        <w:rPr>
          <w:lang w:val="en-GB"/>
        </w:rPr>
        <w:noBreakHyphen/>
        <w:t>T E.164 numbering plans whatever the application in which they are used;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the evolving role of the World Telecommunication Standardization Assembly, as reflected in Resolution 122 (Rev. Guadalajara, 2010) of the Plenipotentiary Conference,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>noting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i/>
          <w:iCs/>
          <w:lang w:val="en-GB"/>
        </w:rPr>
        <w:t>a)</w:t>
      </w:r>
      <w:r w:rsidRPr="00F81B8E">
        <w:rPr>
          <w:lang w:val="en-GB"/>
        </w:rPr>
        <w:tab/>
        <w:t>the work of Study Group 2 of the ITU Telecommunication Standardization Sector (ITU</w:t>
      </w:r>
      <w:r w:rsidRPr="00F81B8E">
        <w:rPr>
          <w:lang w:val="en-GB"/>
        </w:rPr>
        <w:noBreakHyphen/>
        <w:t>T) concerning ENUM;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i/>
          <w:iCs/>
          <w:lang w:val="en-GB"/>
        </w:rPr>
        <w:t>b)</w:t>
      </w:r>
      <w:r w:rsidRPr="00F81B8E">
        <w:rPr>
          <w:lang w:val="en-GB"/>
        </w:rPr>
        <w:tab/>
        <w:t>the current unresolved issues concerning administrative control of the highest level Internet domain which will be used for ENUM,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>resolves to instruct ITU-T Study Group 2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lang w:val="en-GB"/>
        </w:rPr>
        <w:t>1</w:t>
      </w:r>
      <w:r w:rsidRPr="00F81B8E">
        <w:rPr>
          <w:lang w:val="en-GB"/>
        </w:rPr>
        <w:tab/>
        <w:t>to study how ITU could have administrative control over changes that could relate to the international telecommunication resources (including naming, numbering, addressing, and routing) used for ENUM;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lang w:val="en-GB"/>
        </w:rPr>
        <w:t>2</w:t>
      </w:r>
      <w:r w:rsidRPr="00F81B8E">
        <w:rPr>
          <w:lang w:val="en-GB"/>
        </w:rPr>
        <w:tab/>
        <w:t xml:space="preserve">to evaluate the current interim procedure for ENUM delegation, and report back to the Director of the Telecommunication Standardization Bureau, 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>instructs the Director of the Telecommunication Standardization Bureau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lang w:val="en-GB"/>
        </w:rPr>
        <w:t>to take appropriate action to facilitate the above and to report to the ITU Council annually regarding the progress achieved in this area,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>invites Member States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lang w:val="en-GB"/>
        </w:rPr>
        <w:t>to contribute to these activities,</w:t>
      </w:r>
    </w:p>
    <w:p w:rsidR="006D724B" w:rsidRPr="00F81B8E" w:rsidRDefault="006D724B" w:rsidP="006D724B">
      <w:pPr>
        <w:pStyle w:val="Call"/>
        <w:rPr>
          <w:lang w:val="en-GB"/>
        </w:rPr>
      </w:pPr>
      <w:r w:rsidRPr="00F81B8E">
        <w:rPr>
          <w:lang w:val="en-GB"/>
        </w:rPr>
        <w:t>further invites Member States</w:t>
      </w:r>
    </w:p>
    <w:p w:rsidR="006D724B" w:rsidRPr="00F81B8E" w:rsidRDefault="006D724B" w:rsidP="006D724B">
      <w:pPr>
        <w:rPr>
          <w:lang w:val="en-GB"/>
        </w:rPr>
      </w:pPr>
      <w:r w:rsidRPr="00F81B8E">
        <w:rPr>
          <w:lang w:val="en-GB"/>
        </w:rPr>
        <w:t>to take appropriate steps within their national legal frameworks to ensure proper implementation of this resolution.</w:t>
      </w:r>
    </w:p>
    <w:p w:rsidR="006D724B" w:rsidRDefault="006D724B" w:rsidP="006D724B">
      <w:pPr>
        <w:rPr>
          <w:lang w:val="en-GB"/>
        </w:rPr>
      </w:pPr>
    </w:p>
    <w:p w:rsidR="006D724B" w:rsidRPr="006D724B" w:rsidRDefault="006D724B" w:rsidP="006D724B">
      <w:pPr>
        <w:rPr>
          <w:lang w:val="en-GB"/>
        </w:rPr>
      </w:pPr>
    </w:p>
    <w:sectPr w:rsidR="006D724B" w:rsidRPr="006D724B" w:rsidSect="00FC6F33">
      <w:headerReference w:type="even" r:id="rId14"/>
      <w:footerReference w:type="even" r:id="rId15"/>
      <w:footerReference w:type="default" r:id="rId16"/>
      <w:footnotePr>
        <w:pos w:val="beneathText"/>
        <w:numRestart w:val="eachSect"/>
      </w:footnotePr>
      <w:type w:val="oddPage"/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CD" w:rsidRDefault="008075CD">
      <w:r>
        <w:separator/>
      </w:r>
    </w:p>
  </w:endnote>
  <w:endnote w:type="continuationSeparator" w:id="0">
    <w:p w:rsidR="008075CD" w:rsidRDefault="0080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E4" w:rsidRPr="00DE48B4" w:rsidRDefault="000D3CE4" w:rsidP="00DE48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E4" w:rsidRPr="00FC6F33" w:rsidRDefault="00FC6F33" w:rsidP="00FC6F33">
    <w:pPr>
      <w:pStyle w:val="FooterQP"/>
      <w:rPr>
        <w:b w:val="0"/>
        <w:lang w:val="en-US"/>
      </w:rPr>
    </w:pPr>
    <w:r>
      <w:tab/>
    </w:r>
    <w:r>
      <w:tab/>
    </w:r>
    <w:r>
      <w:rPr>
        <w:lang w:val="en-US"/>
      </w:rPr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05DF4">
      <w:rPr>
        <w:noProof/>
      </w:rPr>
      <w:t>2</w:t>
    </w:r>
    <w:r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605DF4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F4" w:rsidRPr="00B73379" w:rsidRDefault="00C72AF4" w:rsidP="00C72AF4">
    <w:pPr>
      <w:pStyle w:val="FooterQP"/>
      <w:rPr>
        <w:lang w:val="en-US"/>
      </w:rPr>
    </w:pPr>
    <w:r w:rsidRPr="00B73379">
      <w:rPr>
        <w:b w:val="0"/>
        <w:bCs/>
      </w:rPr>
      <w:fldChar w:fldCharType="begin"/>
    </w:r>
    <w:r w:rsidRPr="00B73379">
      <w:rPr>
        <w:b w:val="0"/>
        <w:bCs/>
        <w:lang w:val="en-US"/>
      </w:rPr>
      <w:instrText xml:space="preserve"> PAGE  \* MERGEFORMAT </w:instrText>
    </w:r>
    <w:r w:rsidRPr="00B73379">
      <w:rPr>
        <w:b w:val="0"/>
        <w:bCs/>
      </w:rPr>
      <w:fldChar w:fldCharType="separate"/>
    </w:r>
    <w:r w:rsidR="006D724B">
      <w:rPr>
        <w:b w:val="0"/>
        <w:bCs/>
        <w:noProof/>
        <w:lang w:val="en-US"/>
      </w:rPr>
      <w:t>2</w:t>
    </w:r>
    <w:r w:rsidRPr="00B73379">
      <w:rPr>
        <w:b w:val="0"/>
        <w:bCs/>
      </w:rPr>
      <w:fldChar w:fldCharType="end"/>
    </w:r>
    <w:r>
      <w:rPr>
        <w:lang w:val="en-US"/>
      </w:rPr>
      <w:tab/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6D724B">
      <w:rPr>
        <w:noProof/>
      </w:rPr>
      <w:t>49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F4" w:rsidRPr="00FC6F33" w:rsidRDefault="00605DF4" w:rsidP="00FC6F33">
    <w:pPr>
      <w:pStyle w:val="FooterQP"/>
      <w:rPr>
        <w:b w:val="0"/>
        <w:lang w:val="en-US"/>
      </w:rPr>
    </w:pPr>
    <w:r>
      <w:tab/>
    </w:r>
    <w:r>
      <w:tab/>
    </w:r>
    <w:r>
      <w:rPr>
        <w:lang w:val="en-US"/>
      </w:rPr>
      <w:t xml:space="preserve">WTSA-12 – Resolution </w:t>
    </w:r>
    <w:r>
      <w:fldChar w:fldCharType="begin"/>
    </w:r>
    <w:r>
      <w:rPr>
        <w:lang w:val="en-US"/>
      </w:rPr>
      <w:instrText>styleref href</w:instrText>
    </w:r>
    <w:r>
      <w:fldChar w:fldCharType="separate"/>
    </w:r>
    <w:r w:rsidR="009D1FEB">
      <w:rPr>
        <w:noProof/>
      </w:rPr>
      <w:t>49</w:t>
    </w:r>
    <w:r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9D1FEB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CD" w:rsidRDefault="008075CD">
      <w:r>
        <w:t>____________________</w:t>
      </w:r>
    </w:p>
  </w:footnote>
  <w:footnote w:type="continuationSeparator" w:id="0">
    <w:p w:rsidR="008075CD" w:rsidRDefault="0080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B6" w:rsidRDefault="008968B6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B6" w:rsidRDefault="008968B6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AF4" w:rsidRDefault="00C72AF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03771CF"/>
    <w:multiLevelType w:val="hybridMultilevel"/>
    <w:tmpl w:val="A6E2B150"/>
    <w:lvl w:ilvl="0" w:tplc="13AC265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AD64F5"/>
    <w:multiLevelType w:val="hybridMultilevel"/>
    <w:tmpl w:val="FB7ECF2E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945E817E">
      <w:start w:val="3"/>
      <w:numFmt w:val="bullet"/>
      <w:lvlText w:val="-"/>
      <w:lvlJc w:val="left"/>
      <w:pPr>
        <w:tabs>
          <w:tab w:val="num" w:pos="2339"/>
        </w:tabs>
        <w:ind w:left="2339" w:hanging="465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6">
    <w:nsid w:val="04C10297"/>
    <w:multiLevelType w:val="hybridMultilevel"/>
    <w:tmpl w:val="C9E84DA2"/>
    <w:lvl w:ilvl="0" w:tplc="B9C2E4B0">
      <w:start w:val="3"/>
      <w:numFmt w:val="lowerRoman"/>
      <w:lvlText w:val="%1)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594"/>
        </w:tabs>
        <w:ind w:left="159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94"/>
        </w:tabs>
        <w:ind w:left="279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4"/>
        </w:tabs>
        <w:ind w:left="319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94"/>
        </w:tabs>
        <w:ind w:left="399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00"/>
      </w:pPr>
    </w:lvl>
  </w:abstractNum>
  <w:abstractNum w:abstractNumId="7">
    <w:nsid w:val="06D13142"/>
    <w:multiLevelType w:val="multilevel"/>
    <w:tmpl w:val="FC805C12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6DB3661"/>
    <w:multiLevelType w:val="hybridMultilevel"/>
    <w:tmpl w:val="18B06554"/>
    <w:lvl w:ilvl="0" w:tplc="C728CD9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0C0E3449"/>
    <w:multiLevelType w:val="hybridMultilevel"/>
    <w:tmpl w:val="12049A1A"/>
    <w:lvl w:ilvl="0" w:tplc="32400C4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137C3191"/>
    <w:multiLevelType w:val="multilevel"/>
    <w:tmpl w:val="3426EF6A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7E552A1"/>
    <w:multiLevelType w:val="hybridMultilevel"/>
    <w:tmpl w:val="9C3ACEEA"/>
    <w:lvl w:ilvl="0" w:tplc="3C3C5DB6">
      <w:start w:val="3"/>
      <w:numFmt w:val="lowerLetter"/>
      <w:lvlText w:val="%1)"/>
      <w:lvlJc w:val="left"/>
      <w:pPr>
        <w:tabs>
          <w:tab w:val="num" w:pos="1155"/>
        </w:tabs>
        <w:ind w:left="1155" w:hanging="79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B2326"/>
    <w:multiLevelType w:val="hybridMultilevel"/>
    <w:tmpl w:val="2A5A2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63433"/>
    <w:multiLevelType w:val="hybridMultilevel"/>
    <w:tmpl w:val="542460AA"/>
    <w:lvl w:ilvl="0" w:tplc="5756D91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0C7644E"/>
    <w:multiLevelType w:val="hybridMultilevel"/>
    <w:tmpl w:val="5D2016D4"/>
    <w:lvl w:ilvl="0" w:tplc="18C6A21C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8073DB"/>
    <w:multiLevelType w:val="hybridMultilevel"/>
    <w:tmpl w:val="B7F4B8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4B2CB9"/>
    <w:multiLevelType w:val="multilevel"/>
    <w:tmpl w:val="705E47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A75D95"/>
    <w:multiLevelType w:val="hybridMultilevel"/>
    <w:tmpl w:val="03CCFCEA"/>
    <w:lvl w:ilvl="0" w:tplc="F1829A40">
      <w:start w:val="1"/>
      <w:numFmt w:val="lowerLetter"/>
      <w:lvlText w:val="%1)"/>
      <w:lvlJc w:val="left"/>
      <w:pPr>
        <w:ind w:left="72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80ADD"/>
    <w:multiLevelType w:val="hybridMultilevel"/>
    <w:tmpl w:val="57D874FA"/>
    <w:lvl w:ilvl="0" w:tplc="D16005EA">
      <w:start w:val="3"/>
      <w:numFmt w:val="lowerRoman"/>
      <w:lvlText w:val="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9">
    <w:nsid w:val="559F0960"/>
    <w:multiLevelType w:val="hybridMultilevel"/>
    <w:tmpl w:val="C52E18BE"/>
    <w:lvl w:ilvl="0" w:tplc="0B066290">
      <w:start w:val="1"/>
      <w:numFmt w:val="lowerLetter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A955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037678"/>
    <w:multiLevelType w:val="hybridMultilevel"/>
    <w:tmpl w:val="36B05B1C"/>
    <w:lvl w:ilvl="0" w:tplc="4D02BE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8CB6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 Bold" w:eastAsia="Times New Roman" w:hAnsi="Times New Roman Bold"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F6C09"/>
    <w:multiLevelType w:val="hybridMultilevel"/>
    <w:tmpl w:val="94225D8E"/>
    <w:lvl w:ilvl="0" w:tplc="92D22FAA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1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F5726E"/>
    <w:multiLevelType w:val="multilevel"/>
    <w:tmpl w:val="4BDC83F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10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6D496900"/>
    <w:multiLevelType w:val="hybridMultilevel"/>
    <w:tmpl w:val="D528DF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3C4DA6"/>
    <w:multiLevelType w:val="hybridMultilevel"/>
    <w:tmpl w:val="AA5C218A"/>
    <w:lvl w:ilvl="0" w:tplc="04090017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</w:lvl>
    <w:lvl w:ilvl="1" w:tplc="48DA20EE">
      <w:start w:val="1"/>
      <w:numFmt w:val="decimal"/>
      <w:lvlText w:val="%2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1B001E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6A26EA"/>
    <w:multiLevelType w:val="hybridMultilevel"/>
    <w:tmpl w:val="4A180894"/>
    <w:lvl w:ilvl="0" w:tplc="04090017">
      <w:start w:val="1"/>
      <w:numFmt w:val="lowerLetter"/>
      <w:lvlText w:val="%1)"/>
      <w:lvlJc w:val="left"/>
      <w:pPr>
        <w:tabs>
          <w:tab w:val="num" w:pos="1514"/>
        </w:tabs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4"/>
        </w:tabs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4"/>
        </w:tabs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4"/>
        </w:tabs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4"/>
        </w:tabs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4"/>
        </w:tabs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4"/>
        </w:tabs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4"/>
        </w:tabs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4"/>
        </w:tabs>
        <w:ind w:left="7274" w:hanging="180"/>
      </w:pPr>
    </w:lvl>
  </w:abstractNum>
  <w:abstractNum w:abstractNumId="26">
    <w:nsid w:val="7AF43A61"/>
    <w:multiLevelType w:val="hybridMultilevel"/>
    <w:tmpl w:val="B890094C"/>
    <w:lvl w:ilvl="0" w:tplc="0C78C4B4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0BA4"/>
    <w:multiLevelType w:val="hybridMultilevel"/>
    <w:tmpl w:val="4AA87EB8"/>
    <w:lvl w:ilvl="0" w:tplc="27E61176">
      <w:start w:val="1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450147"/>
    <w:multiLevelType w:val="hybridMultilevel"/>
    <w:tmpl w:val="166A2A8E"/>
    <w:lvl w:ilvl="0" w:tplc="1FF8DF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28"/>
  </w:num>
  <w:num w:numId="2">
    <w:abstractNumId w:val="13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8"/>
  </w:num>
  <w:num w:numId="7">
    <w:abstractNumId w:val="6"/>
  </w:num>
  <w:num w:numId="8">
    <w:abstractNumId w:val="2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4"/>
  </w:num>
  <w:num w:numId="12">
    <w:abstractNumId w:val="14"/>
  </w:num>
  <w:num w:numId="13">
    <w:abstractNumId w:val="15"/>
  </w:num>
  <w:num w:numId="14">
    <w:abstractNumId w:val="23"/>
  </w:num>
  <w:num w:numId="15">
    <w:abstractNumId w:val="12"/>
  </w:num>
  <w:num w:numId="16">
    <w:abstractNumId w:val="27"/>
  </w:num>
  <w:num w:numId="17">
    <w:abstractNumId w:val="24"/>
  </w:num>
  <w:num w:numId="18">
    <w:abstractNumId w:val="19"/>
  </w:num>
  <w:num w:numId="19">
    <w:abstractNumId w:val="9"/>
  </w:num>
  <w:num w:numId="20">
    <w:abstractNumId w:val="16"/>
  </w:num>
  <w:num w:numId="21">
    <w:abstractNumId w:val="10"/>
  </w:num>
  <w:num w:numId="22">
    <w:abstractNumId w:val="22"/>
  </w:num>
  <w:num w:numId="23">
    <w:abstractNumId w:val="7"/>
  </w:num>
  <w:num w:numId="24">
    <w:abstractNumId w:val="25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26"/>
    <w:rsid w:val="00001053"/>
    <w:rsid w:val="00011D78"/>
    <w:rsid w:val="00017B45"/>
    <w:rsid w:val="0003503D"/>
    <w:rsid w:val="000362C1"/>
    <w:rsid w:val="00066EDE"/>
    <w:rsid w:val="000B071B"/>
    <w:rsid w:val="000B47CD"/>
    <w:rsid w:val="000B5A36"/>
    <w:rsid w:val="000C22AE"/>
    <w:rsid w:val="000D378F"/>
    <w:rsid w:val="000D3CE4"/>
    <w:rsid w:val="000D5219"/>
    <w:rsid w:val="000D6DAE"/>
    <w:rsid w:val="000E4393"/>
    <w:rsid w:val="000E77C5"/>
    <w:rsid w:val="00113415"/>
    <w:rsid w:val="001309FB"/>
    <w:rsid w:val="001A0696"/>
    <w:rsid w:val="001A31C9"/>
    <w:rsid w:val="001B4A76"/>
    <w:rsid w:val="001C5240"/>
    <w:rsid w:val="001C604C"/>
    <w:rsid w:val="002204D5"/>
    <w:rsid w:val="002210D5"/>
    <w:rsid w:val="00227040"/>
    <w:rsid w:val="00246C17"/>
    <w:rsid w:val="0026429C"/>
    <w:rsid w:val="002742C3"/>
    <w:rsid w:val="002C182C"/>
    <w:rsid w:val="002D5607"/>
    <w:rsid w:val="00331B2F"/>
    <w:rsid w:val="00331B48"/>
    <w:rsid w:val="003374BB"/>
    <w:rsid w:val="0038237B"/>
    <w:rsid w:val="003C3FD9"/>
    <w:rsid w:val="003C4586"/>
    <w:rsid w:val="003D116F"/>
    <w:rsid w:val="003D7A8C"/>
    <w:rsid w:val="003F293E"/>
    <w:rsid w:val="003F3EE0"/>
    <w:rsid w:val="004568D2"/>
    <w:rsid w:val="004612A7"/>
    <w:rsid w:val="00462F6A"/>
    <w:rsid w:val="00467305"/>
    <w:rsid w:val="00471930"/>
    <w:rsid w:val="0048772A"/>
    <w:rsid w:val="004947A6"/>
    <w:rsid w:val="004A1E15"/>
    <w:rsid w:val="004F2E56"/>
    <w:rsid w:val="00501F47"/>
    <w:rsid w:val="00504D1F"/>
    <w:rsid w:val="00524FB2"/>
    <w:rsid w:val="005569CA"/>
    <w:rsid w:val="00562EF2"/>
    <w:rsid w:val="005722AD"/>
    <w:rsid w:val="00574CFF"/>
    <w:rsid w:val="005D1D45"/>
    <w:rsid w:val="005D45C9"/>
    <w:rsid w:val="00601999"/>
    <w:rsid w:val="00605DF4"/>
    <w:rsid w:val="00611CD0"/>
    <w:rsid w:val="00631549"/>
    <w:rsid w:val="006425B4"/>
    <w:rsid w:val="00653C1B"/>
    <w:rsid w:val="00664462"/>
    <w:rsid w:val="00665F6E"/>
    <w:rsid w:val="006678D7"/>
    <w:rsid w:val="00693D4F"/>
    <w:rsid w:val="00697D23"/>
    <w:rsid w:val="006B0459"/>
    <w:rsid w:val="006B21A6"/>
    <w:rsid w:val="006B5987"/>
    <w:rsid w:val="006D724B"/>
    <w:rsid w:val="006E13C5"/>
    <w:rsid w:val="00707551"/>
    <w:rsid w:val="007116DC"/>
    <w:rsid w:val="0071403C"/>
    <w:rsid w:val="00720F3C"/>
    <w:rsid w:val="0074102F"/>
    <w:rsid w:val="007550BF"/>
    <w:rsid w:val="00780423"/>
    <w:rsid w:val="00783EB8"/>
    <w:rsid w:val="007958DD"/>
    <w:rsid w:val="007E0240"/>
    <w:rsid w:val="008075CD"/>
    <w:rsid w:val="00825222"/>
    <w:rsid w:val="00851E30"/>
    <w:rsid w:val="008968B6"/>
    <w:rsid w:val="008B4CF6"/>
    <w:rsid w:val="008C7FC3"/>
    <w:rsid w:val="008D2DB4"/>
    <w:rsid w:val="008D6D8D"/>
    <w:rsid w:val="009055E3"/>
    <w:rsid w:val="00905B41"/>
    <w:rsid w:val="00914267"/>
    <w:rsid w:val="00916468"/>
    <w:rsid w:val="00916DDD"/>
    <w:rsid w:val="0092650E"/>
    <w:rsid w:val="00931EE1"/>
    <w:rsid w:val="009330E7"/>
    <w:rsid w:val="00934946"/>
    <w:rsid w:val="0095090C"/>
    <w:rsid w:val="00974C0C"/>
    <w:rsid w:val="009755D7"/>
    <w:rsid w:val="00982620"/>
    <w:rsid w:val="00985CBA"/>
    <w:rsid w:val="009B4C66"/>
    <w:rsid w:val="009C2357"/>
    <w:rsid w:val="009D10A5"/>
    <w:rsid w:val="009D1FEB"/>
    <w:rsid w:val="009D26AE"/>
    <w:rsid w:val="009F7009"/>
    <w:rsid w:val="00A01A91"/>
    <w:rsid w:val="00A24E9A"/>
    <w:rsid w:val="00A26B1A"/>
    <w:rsid w:val="00A83D3D"/>
    <w:rsid w:val="00A976AC"/>
    <w:rsid w:val="00AA2D89"/>
    <w:rsid w:val="00AE4C26"/>
    <w:rsid w:val="00B23929"/>
    <w:rsid w:val="00B3059C"/>
    <w:rsid w:val="00B33CAA"/>
    <w:rsid w:val="00B50CB4"/>
    <w:rsid w:val="00B50D4E"/>
    <w:rsid w:val="00B50F17"/>
    <w:rsid w:val="00B56BC0"/>
    <w:rsid w:val="00B67290"/>
    <w:rsid w:val="00B73379"/>
    <w:rsid w:val="00B73B62"/>
    <w:rsid w:val="00B75029"/>
    <w:rsid w:val="00B92804"/>
    <w:rsid w:val="00BB34EA"/>
    <w:rsid w:val="00BE58E6"/>
    <w:rsid w:val="00BF610E"/>
    <w:rsid w:val="00C12E70"/>
    <w:rsid w:val="00C32F69"/>
    <w:rsid w:val="00C42785"/>
    <w:rsid w:val="00C64078"/>
    <w:rsid w:val="00C72AF4"/>
    <w:rsid w:val="00CD10C2"/>
    <w:rsid w:val="00CD3865"/>
    <w:rsid w:val="00CE29CC"/>
    <w:rsid w:val="00CE6C93"/>
    <w:rsid w:val="00CE767E"/>
    <w:rsid w:val="00CF024D"/>
    <w:rsid w:val="00D422A1"/>
    <w:rsid w:val="00D4292A"/>
    <w:rsid w:val="00D457B6"/>
    <w:rsid w:val="00D66950"/>
    <w:rsid w:val="00D8497D"/>
    <w:rsid w:val="00D94D9E"/>
    <w:rsid w:val="00DA7D60"/>
    <w:rsid w:val="00DB2AF8"/>
    <w:rsid w:val="00DB5592"/>
    <w:rsid w:val="00DE48B4"/>
    <w:rsid w:val="00DF31C3"/>
    <w:rsid w:val="00E03ABC"/>
    <w:rsid w:val="00E154E2"/>
    <w:rsid w:val="00E300EC"/>
    <w:rsid w:val="00E40876"/>
    <w:rsid w:val="00E51820"/>
    <w:rsid w:val="00E56BAB"/>
    <w:rsid w:val="00E67297"/>
    <w:rsid w:val="00E758D6"/>
    <w:rsid w:val="00E82452"/>
    <w:rsid w:val="00E83C1C"/>
    <w:rsid w:val="00E96B11"/>
    <w:rsid w:val="00E96C27"/>
    <w:rsid w:val="00EE1126"/>
    <w:rsid w:val="00EE2FE2"/>
    <w:rsid w:val="00F0099E"/>
    <w:rsid w:val="00F12607"/>
    <w:rsid w:val="00F15F98"/>
    <w:rsid w:val="00F34748"/>
    <w:rsid w:val="00F67E96"/>
    <w:rsid w:val="00FA70B7"/>
    <w:rsid w:val="00FC6F33"/>
    <w:rsid w:val="00FD23A9"/>
    <w:rsid w:val="00FF0521"/>
    <w:rsid w:val="00FF2798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uiPriority w:val="99"/>
    <w:pPr>
      <w:ind w:left="1191" w:hanging="397"/>
    </w:pPr>
  </w:style>
  <w:style w:type="paragraph" w:customStyle="1" w:styleId="enumlev3">
    <w:name w:val="enumlev3"/>
    <w:basedOn w:val="enumlev2"/>
    <w:uiPriority w:val="99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qFormat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uiPriority w:val="99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uiPriority w:val="99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0E439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headingb0">
    <w:name w:val="heading_b"/>
    <w:basedOn w:val="Heading3"/>
    <w:next w:val="Normal"/>
    <w:rsid w:val="00697D23"/>
    <w:pPr>
      <w:tabs>
        <w:tab w:val="left" w:pos="2127"/>
        <w:tab w:val="left" w:pos="2410"/>
        <w:tab w:val="left" w:pos="2921"/>
        <w:tab w:val="left" w:pos="3261"/>
      </w:tabs>
      <w:spacing w:before="160" w:line="240" w:lineRule="auto"/>
      <w:jc w:val="left"/>
      <w:outlineLvl w:val="9"/>
    </w:pPr>
    <w:rPr>
      <w:rFonts w:eastAsia="SimSun"/>
      <w:bCs/>
      <w:lang w:val="en-GB"/>
    </w:rPr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0E4393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character" w:customStyle="1" w:styleId="Smbolodenotaalpie">
    <w:name w:val="Símbolo de nota al pie"/>
    <w:rsid w:val="002C182C"/>
    <w:rPr>
      <w:position w:val="5"/>
      <w:sz w:val="18"/>
    </w:r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TableNotitle0">
    <w:name w:val="Table_No &amp; title"/>
    <w:basedOn w:val="Normal"/>
    <w:next w:val="Tablehead"/>
    <w:rsid w:val="008B4CF6"/>
    <w:pPr>
      <w:keepNext/>
      <w:keepLines/>
      <w:spacing w:before="360" w:after="120" w:line="240" w:lineRule="auto"/>
      <w:jc w:val="center"/>
    </w:pPr>
    <w:rPr>
      <w:b/>
      <w:sz w:val="24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Rec">
    <w:name w:val="Rec_#"/>
    <w:basedOn w:val="Normal"/>
    <w:next w:val="Normal"/>
    <w:rsid w:val="00CF024D"/>
    <w:pPr>
      <w:keepNext/>
      <w:keepLines/>
      <w:spacing w:before="480" w:line="240" w:lineRule="auto"/>
      <w:jc w:val="left"/>
    </w:pPr>
    <w:rPr>
      <w:b/>
      <w:sz w:val="24"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FC6F3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hps">
    <w:name w:val="hps"/>
    <w:rsid w:val="00066EDE"/>
  </w:style>
  <w:style w:type="character" w:customStyle="1" w:styleId="Heading1Char">
    <w:name w:val="Heading 1 Char"/>
    <w:link w:val="Heading1"/>
    <w:uiPriority w:val="99"/>
    <w:locked/>
    <w:rsid w:val="0026429C"/>
    <w:rPr>
      <w:rFonts w:ascii="Times New Roman" w:hAnsi="Times New Roman"/>
      <w:b/>
      <w:sz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360"/>
      <w:outlineLvl w:val="1"/>
    </w:pPr>
  </w:style>
  <w:style w:type="paragraph" w:styleId="Heading3">
    <w:name w:val="heading 3"/>
    <w:basedOn w:val="Heading1"/>
    <w:next w:val="Normal"/>
    <w:qFormat/>
    <w:pPr>
      <w:spacing w:before="24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</w:style>
  <w:style w:type="paragraph" w:styleId="TOC6">
    <w:name w:val="toc 6"/>
    <w:basedOn w:val="TOC4"/>
    <w:semiHidden/>
  </w:style>
  <w:style w:type="paragraph" w:styleId="TOC5">
    <w:name w:val="toc 5"/>
    <w:basedOn w:val="TOC4"/>
    <w:semiHidden/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B3059C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uiPriority w:val="9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 w:line="240" w:lineRule="exact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3374BB"/>
    <w:rPr>
      <w:lang w:val="fr-FR" w:eastAsia="en-US" w:bidi="ar-SA"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character" w:customStyle="1" w:styleId="enumlev1Char">
    <w:name w:val="enumlev1 Char"/>
    <w:link w:val="enumlev1"/>
    <w:uiPriority w:val="99"/>
    <w:rsid w:val="003374BB"/>
    <w:rPr>
      <w:sz w:val="22"/>
      <w:lang w:val="fr-FR" w:eastAsia="en-US" w:bidi="ar-SA"/>
    </w:rPr>
  </w:style>
  <w:style w:type="paragraph" w:customStyle="1" w:styleId="enumlev2">
    <w:name w:val="enumlev2"/>
    <w:basedOn w:val="enumlev1"/>
    <w:uiPriority w:val="99"/>
    <w:pPr>
      <w:ind w:left="1191" w:hanging="397"/>
    </w:pPr>
  </w:style>
  <w:style w:type="paragraph" w:customStyle="1" w:styleId="enumlev3">
    <w:name w:val="enumlev3"/>
    <w:basedOn w:val="enumlev2"/>
    <w:uiPriority w:val="99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</w:style>
  <w:style w:type="paragraph" w:customStyle="1" w:styleId="Chaptitle">
    <w:name w:val="Chap_titl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pPr>
      <w:spacing w:before="400"/>
    </w:pPr>
  </w:style>
  <w:style w:type="character" w:styleId="PageNumber">
    <w:name w:val="page number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BodyTextFirstIndent">
    <w:name w:val="Body Text First Indent"/>
    <w:basedOn w:val="BodyText"/>
    <w:rsid w:val="00EE1126"/>
    <w:pPr>
      <w:spacing w:after="120"/>
      <w:ind w:firstLine="210"/>
    </w:pPr>
    <w:rPr>
      <w:rFonts w:ascii="Times New Roman" w:hAnsi="Times New Roman" w:cs="Times New Roman"/>
      <w:b w:val="0"/>
      <w:bCs w:val="0"/>
      <w:sz w:val="22"/>
    </w:rPr>
  </w:style>
  <w:style w:type="paragraph" w:styleId="BodyText">
    <w:name w:val="Body Text"/>
    <w:basedOn w:val="Normal"/>
    <w:rPr>
      <w:rFonts w:ascii="Arial" w:hAnsi="Arial" w:cs="Arial"/>
      <w:b/>
      <w:bCs/>
      <w:sz w:val="36"/>
    </w:rPr>
  </w:style>
  <w:style w:type="paragraph" w:customStyle="1" w:styleId="AnnexNoTitle">
    <w:name w:val="Annex_NoTitle"/>
    <w:basedOn w:val="Normal"/>
    <w:next w:val="Normalaftertitle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Title"/>
    <w:basedOn w:val="AnnexNoTitle"/>
    <w:next w:val="Normalaftertitle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link w:val="CallChar"/>
    <w:uiPriority w:val="99"/>
    <w:pPr>
      <w:keepNext/>
      <w:keepLines/>
      <w:spacing w:before="240"/>
      <w:ind w:left="794"/>
      <w:jc w:val="left"/>
    </w:pPr>
    <w:rPr>
      <w:i/>
    </w:rPr>
  </w:style>
  <w:style w:type="character" w:customStyle="1" w:styleId="CallChar">
    <w:name w:val="Call Char"/>
    <w:link w:val="Call"/>
    <w:rsid w:val="00E03ABC"/>
    <w:rPr>
      <w:i/>
      <w:sz w:val="22"/>
      <w:lang w:val="fr-FR" w:eastAsia="en-US" w:bidi="ar-SA"/>
    </w:rPr>
  </w:style>
  <w:style w:type="paragraph" w:customStyle="1" w:styleId="ChapNo">
    <w:name w:val="Chap_No"/>
    <w:basedOn w:val="Normal"/>
    <w:next w:val="Chaptitl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uiPriority w:val="99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qFormat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pPr>
      <w:ind w:left="284"/>
      <w:jc w:val="left"/>
    </w:pPr>
  </w:style>
  <w:style w:type="paragraph" w:styleId="Index3">
    <w:name w:val="index 3"/>
    <w:basedOn w:val="Normal"/>
    <w:next w:val="Normal"/>
    <w:semiHidden/>
    <w:pPr>
      <w:ind w:left="567"/>
      <w:jc w:val="left"/>
    </w:pPr>
  </w:style>
  <w:style w:type="paragraph" w:customStyle="1" w:styleId="PartNo">
    <w:name w:val="Part_No"/>
    <w:basedOn w:val="Normal"/>
    <w:next w:val="Partref"/>
    <w:uiPriority w:val="99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RecNoChar">
    <w:name w:val="Rec_No Char"/>
    <w:link w:val="RecNo"/>
    <w:rsid w:val="003D7A8C"/>
    <w:rPr>
      <w:b/>
      <w:sz w:val="28"/>
      <w:lang w:val="fr-FR" w:eastAsia="en-US" w:bidi="ar-SA"/>
    </w:rPr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uiPriority w:val="99"/>
  </w:style>
  <w:style w:type="paragraph" w:customStyle="1" w:styleId="Resref">
    <w:name w:val="Res_ref"/>
    <w:basedOn w:val="Recref"/>
    <w:next w:val="Resdate"/>
    <w:qFormat/>
  </w:style>
  <w:style w:type="character" w:customStyle="1" w:styleId="RestitleChar">
    <w:name w:val="Res_title Char"/>
    <w:link w:val="Restitle"/>
    <w:rsid w:val="003374BB"/>
    <w:rPr>
      <w:b/>
      <w:sz w:val="28"/>
      <w:lang w:val="fr-FR" w:eastAsia="en-US" w:bidi="ar-SA"/>
    </w:rPr>
  </w:style>
  <w:style w:type="character" w:customStyle="1" w:styleId="ResNoChar">
    <w:name w:val="Res_No Char"/>
    <w:link w:val="ResNo"/>
    <w:rsid w:val="00D8497D"/>
    <w:rPr>
      <w:caps/>
      <w:sz w:val="28"/>
      <w:lang w:val="fr-FR" w:eastAsia="en-US" w:bidi="ar-SA"/>
    </w:rPr>
  </w:style>
  <w:style w:type="paragraph" w:customStyle="1" w:styleId="SectionNo">
    <w:name w:val="Section_No"/>
    <w:basedOn w:val="Normal"/>
    <w:next w:val="Sectiontitle"/>
    <w:uiPriority w:val="99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Normal"/>
    <w:next w:val="Tabletext"/>
    <w:uiPriority w:val="9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uiPriority w:val="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Index5">
    <w:name w:val="index 5"/>
    <w:basedOn w:val="Normal"/>
    <w:next w:val="Normal"/>
    <w:semiHidden/>
    <w:pPr>
      <w:spacing w:before="120" w:line="240" w:lineRule="auto"/>
      <w:ind w:left="1132"/>
      <w:jc w:val="left"/>
    </w:pPr>
    <w:rPr>
      <w:sz w:val="24"/>
      <w:lang w:val="en-GB"/>
    </w:rPr>
  </w:style>
  <w:style w:type="paragraph" w:styleId="Index4">
    <w:name w:val="index 4"/>
    <w:basedOn w:val="Normal"/>
    <w:next w:val="Normal"/>
    <w:semiHidden/>
    <w:pPr>
      <w:spacing w:before="120" w:line="240" w:lineRule="auto"/>
      <w:ind w:left="849"/>
      <w:jc w:val="left"/>
    </w:pPr>
    <w:rPr>
      <w:sz w:val="24"/>
      <w:lang w:val="en-GB"/>
    </w:rPr>
  </w:style>
  <w:style w:type="paragraph" w:styleId="BodyText2">
    <w:name w:val="Body Text 2"/>
    <w:basedOn w:val="Normal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character" w:customStyle="1" w:styleId="href">
    <w:name w:val="href"/>
    <w:basedOn w:val="DefaultParagraphFont"/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 w:line="240" w:lineRule="auto"/>
    </w:pPr>
    <w:rPr>
      <w:sz w:val="24"/>
      <w:lang w:val="en-GB"/>
    </w:rPr>
  </w:style>
  <w:style w:type="paragraph" w:customStyle="1" w:styleId="blanc">
    <w:name w:val="blanc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 w:line="240" w:lineRule="auto"/>
      <w:jc w:val="left"/>
    </w:pPr>
    <w:rPr>
      <w:sz w:val="2"/>
      <w:lang w:val="en-US"/>
    </w:rPr>
  </w:style>
  <w:style w:type="paragraph" w:customStyle="1" w:styleId="NormalIndent">
    <w:name w:val="Normal_Indent"/>
    <w:basedOn w:val="Normal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TableTitle">
    <w:name w:val="Table_Title"/>
    <w:basedOn w:val="Normal"/>
    <w:next w:val="Tabletext"/>
    <w:rsid w:val="00A01A91"/>
    <w:pPr>
      <w:keepNext/>
      <w:keepLines/>
      <w:spacing w:before="480" w:after="120" w:line="240" w:lineRule="auto"/>
      <w:jc w:val="center"/>
    </w:pPr>
    <w:rPr>
      <w:b/>
      <w:sz w:val="24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0E439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</w:pPr>
    <w:rPr>
      <w:lang w:val="en-GB"/>
    </w:rPr>
  </w:style>
  <w:style w:type="character" w:customStyle="1" w:styleId="docdisplay">
    <w:name w:val="doc_display"/>
    <w:basedOn w:val="DefaultParagraphFont"/>
    <w:rsid w:val="00A83D3D"/>
  </w:style>
  <w:style w:type="paragraph" w:customStyle="1" w:styleId="headingb0">
    <w:name w:val="heading_b"/>
    <w:basedOn w:val="Heading3"/>
    <w:next w:val="Normal"/>
    <w:rsid w:val="00697D23"/>
    <w:pPr>
      <w:tabs>
        <w:tab w:val="left" w:pos="2127"/>
        <w:tab w:val="left" w:pos="2410"/>
        <w:tab w:val="left" w:pos="2921"/>
        <w:tab w:val="left" w:pos="3261"/>
      </w:tabs>
      <w:spacing w:before="160" w:line="240" w:lineRule="auto"/>
      <w:jc w:val="left"/>
      <w:outlineLvl w:val="9"/>
    </w:pPr>
    <w:rPr>
      <w:rFonts w:eastAsia="SimSun"/>
      <w:bCs/>
      <w:lang w:val="en-GB"/>
    </w:rPr>
  </w:style>
  <w:style w:type="paragraph" w:customStyle="1" w:styleId="AnnexNo">
    <w:name w:val="Annex_No"/>
    <w:basedOn w:val="Normal"/>
    <w:next w:val="Normal"/>
    <w:rsid w:val="00DB2AF8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character" w:customStyle="1" w:styleId="CharChar">
    <w:name w:val="Char Char"/>
    <w:semiHidden/>
    <w:locked/>
    <w:rsid w:val="009D26AE"/>
    <w:rPr>
      <w:sz w:val="24"/>
      <w:lang w:val="en-GB" w:eastAsia="en-US" w:bidi="ar-SA"/>
    </w:rPr>
  </w:style>
  <w:style w:type="character" w:customStyle="1" w:styleId="NormalaftertitleChar">
    <w:name w:val="Normal after title Char"/>
    <w:link w:val="Normalaftertitle0"/>
    <w:locked/>
    <w:rsid w:val="000E4393"/>
    <w:rPr>
      <w:rFonts w:ascii="Times New Roman" w:hAnsi="Times New Roman"/>
      <w:sz w:val="22"/>
      <w:lang w:val="en-GB" w:eastAsia="en-US"/>
    </w:rPr>
  </w:style>
  <w:style w:type="paragraph" w:styleId="BodyTextIndent">
    <w:name w:val="Body Text Indent"/>
    <w:basedOn w:val="Normal"/>
    <w:rsid w:val="00EE1126"/>
    <w:pPr>
      <w:spacing w:after="120"/>
      <w:ind w:left="283"/>
    </w:pPr>
  </w:style>
  <w:style w:type="character" w:customStyle="1" w:styleId="Smbolodenotaalpie">
    <w:name w:val="Símbolo de nota al pie"/>
    <w:rsid w:val="002C182C"/>
    <w:rPr>
      <w:position w:val="5"/>
      <w:sz w:val="18"/>
    </w:rPr>
  </w:style>
  <w:style w:type="paragraph" w:styleId="List2">
    <w:name w:val="List 2"/>
    <w:basedOn w:val="Normal"/>
    <w:rsid w:val="00EE1126"/>
    <w:pPr>
      <w:spacing w:before="120" w:line="240" w:lineRule="auto"/>
      <w:ind w:left="566" w:hanging="283"/>
    </w:pPr>
    <w:rPr>
      <w:sz w:val="24"/>
    </w:rPr>
  </w:style>
  <w:style w:type="paragraph" w:styleId="BodyTextIndent2">
    <w:name w:val="Body Text Indent 2"/>
    <w:basedOn w:val="Normal"/>
    <w:rsid w:val="008B4CF6"/>
    <w:pPr>
      <w:spacing w:after="120" w:line="480" w:lineRule="auto"/>
      <w:ind w:left="283"/>
    </w:pPr>
  </w:style>
  <w:style w:type="paragraph" w:customStyle="1" w:styleId="Formal">
    <w:name w:val="Formal"/>
    <w:basedOn w:val="ASN1"/>
    <w:rsid w:val="008B4CF6"/>
    <w:pPr>
      <w:overflowPunct w:val="0"/>
      <w:autoSpaceDE w:val="0"/>
      <w:autoSpaceDN w:val="0"/>
      <w:adjustRightInd w:val="0"/>
      <w:textAlignment w:val="baseline"/>
    </w:pPr>
    <w:rPr>
      <w:b w:val="0"/>
      <w:lang w:val="en-US"/>
    </w:rPr>
  </w:style>
  <w:style w:type="paragraph" w:customStyle="1" w:styleId="TableNotitle0">
    <w:name w:val="Table_No &amp; title"/>
    <w:basedOn w:val="Normal"/>
    <w:next w:val="Tablehead"/>
    <w:rsid w:val="008B4CF6"/>
    <w:pPr>
      <w:keepNext/>
      <w:keepLines/>
      <w:spacing w:before="360" w:after="120" w:line="240" w:lineRule="auto"/>
      <w:jc w:val="center"/>
    </w:pPr>
    <w:rPr>
      <w:b/>
      <w:sz w:val="24"/>
      <w:lang w:val="en-US"/>
    </w:rPr>
  </w:style>
  <w:style w:type="paragraph" w:customStyle="1" w:styleId="FigureNo">
    <w:name w:val="Figure_No"/>
    <w:basedOn w:val="Normal"/>
    <w:next w:val="Figuretitle"/>
    <w:uiPriority w:val="99"/>
    <w:rsid w:val="000E4393"/>
    <w:pPr>
      <w:keepNext/>
      <w:keepLines/>
      <w:spacing w:before="480" w:after="120" w:line="240" w:lineRule="auto"/>
      <w:jc w:val="center"/>
    </w:pPr>
    <w:rPr>
      <w:caps/>
      <w:sz w:val="24"/>
      <w:lang w:val="en-GB"/>
    </w:rPr>
  </w:style>
  <w:style w:type="paragraph" w:customStyle="1" w:styleId="Rec">
    <w:name w:val="Rec_#"/>
    <w:basedOn w:val="Normal"/>
    <w:next w:val="Normal"/>
    <w:rsid w:val="00CF024D"/>
    <w:pPr>
      <w:keepNext/>
      <w:keepLines/>
      <w:spacing w:before="480" w:line="240" w:lineRule="auto"/>
      <w:jc w:val="left"/>
    </w:pPr>
    <w:rPr>
      <w:b/>
      <w:sz w:val="24"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0E4393"/>
    <w:pPr>
      <w:keepLines/>
      <w:spacing w:before="0" w:after="48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paragraph" w:customStyle="1" w:styleId="AppendixNo">
    <w:name w:val="Appendix_No"/>
    <w:basedOn w:val="Normal"/>
    <w:next w:val="Normal"/>
    <w:rsid w:val="000E4393"/>
    <w:pPr>
      <w:keepNext/>
      <w:keepLines/>
      <w:spacing w:before="480" w:after="80" w:line="240" w:lineRule="auto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0E4393"/>
    <w:pPr>
      <w:keepNext/>
      <w:keepLines/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FC6F33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hps">
    <w:name w:val="hps"/>
    <w:rsid w:val="00066EDE"/>
  </w:style>
  <w:style w:type="character" w:customStyle="1" w:styleId="Heading1Char">
    <w:name w:val="Heading 1 Char"/>
    <w:link w:val="Heading1"/>
    <w:uiPriority w:val="99"/>
    <w:locked/>
    <w:rsid w:val="0026429C"/>
    <w:rPr>
      <w:rFonts w:ascii="Times New Roman" w:hAnsi="Times New Roman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mouni\AppData\Roaming\Microsoft\Templates\Livre_jau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Livre_jaune.dot</Template>
  <TotalTime>43</TotalTime>
  <Pages>3</Pages>
  <Words>454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ITU-T Rec. Book 1 Resolutions ITU-T Series A Recommendations:</vt:lpstr>
    </vt:vector>
  </TitlesOfParts>
  <Company>ITU</Company>
  <LinksUpToDate>false</LinksUpToDate>
  <CharactersWithSpaces>3283</CharactersWithSpaces>
  <SharedDoc>false</SharedDoc>
  <HLinks>
    <vt:vector size="6" baseType="variant">
      <vt:variant>
        <vt:i4>5832781</vt:i4>
      </vt:variant>
      <vt:variant>
        <vt:i4>2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ITU-T Rec. Book 1 Resolutions ITU-T Series A Recommendations:</dc:title>
  <dc:subject>WORLD TELECOMMUNICATION STANDARDIZATION ASSEMBLY - Florianópolis, 5-14 October 2004</dc:subject>
  <dc:creator>ITU-T study group re</dc:creator>
  <cp:keywords>.Book 1,,Book 1</cp:keywords>
  <dc:description>ASM                                 1.12.04      SP_x000d_
Corr. BAT                         8.12.04      SP</dc:description>
  <cp:lastModifiedBy>Al-Yammouni, Hala</cp:lastModifiedBy>
  <cp:revision>41</cp:revision>
  <cp:lastPrinted>2008-12-10T09:03:00Z</cp:lastPrinted>
  <dcterms:created xsi:type="dcterms:W3CDTF">2013-04-17T14:43:00Z</dcterms:created>
  <dcterms:modified xsi:type="dcterms:W3CDTF">2013-04-23T14:07:00Z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