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77777777" w:rsidR="00EA2A26" w:rsidRPr="00EA2A26" w:rsidRDefault="00EA2A26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International </w:t>
            </w:r>
            <w:proofErr w:type="spellStart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Telecommunication</w:t>
            </w:r>
            <w:proofErr w:type="spellEnd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Union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7750E5F2" w:rsidR="00EA2A26" w:rsidRPr="00EA2A26" w:rsidRDefault="0053765D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Resolutions</w:t>
            </w:r>
            <w:proofErr w:type="spellEnd"/>
          </w:p>
        </w:tc>
        <w:tc>
          <w:tcPr>
            <w:tcW w:w="5670" w:type="dxa"/>
          </w:tcPr>
          <w:p w14:paraId="20539D5B" w14:textId="77777777" w:rsidR="00EA2A26" w:rsidRPr="00EA2A26" w:rsidRDefault="00EA2A26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Standardization</w:t>
            </w:r>
            <w:proofErr w:type="spellEnd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 xml:space="preserve"> </w:t>
            </w: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7C2680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7F807CE" w:rsidR="00EA2A26" w:rsidRPr="00EA2A26" w:rsidRDefault="00EA2A26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t xml:space="preserve">WORLD TELECOMMUNICATION STANDARDIZATION ASSEMBLY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New Delhi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, 1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5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-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24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October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202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4</w:t>
            </w:r>
          </w:p>
          <w:p w14:paraId="318F1603" w14:textId="77777777" w:rsidR="00EA2A26" w:rsidRPr="00EA2A26" w:rsidRDefault="00EA2A26" w:rsidP="00367A2B">
            <w:pPr>
              <w:rPr>
                <w:lang w:val="en-GB"/>
              </w:rPr>
            </w:pPr>
          </w:p>
        </w:tc>
      </w:tr>
      <w:tr w:rsidR="00EA2A26" w:rsidRPr="007C2680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A2A2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12DE3375" w:rsidR="00EA2A26" w:rsidRPr="0033681A" w:rsidRDefault="00EA2A26" w:rsidP="008D6223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en-GB"/>
              </w:rPr>
            </w:pPr>
            <w:r>
              <w:rPr>
                <w:spacing w:val="-6"/>
                <w:sz w:val="44"/>
                <w:szCs w:val="44"/>
                <w:lang w:val="en-GB"/>
              </w:rPr>
              <w:t xml:space="preserve">Resolution </w:t>
            </w:r>
            <w:r w:rsidR="007C2680">
              <w:rPr>
                <w:spacing w:val="-6"/>
                <w:sz w:val="44"/>
                <w:szCs w:val="44"/>
                <w:lang w:val="en-GB"/>
              </w:rPr>
              <w:t>48</w:t>
            </w:r>
            <w:r w:rsidR="00845E8E">
              <w:rPr>
                <w:spacing w:val="-6"/>
                <w:sz w:val="44"/>
                <w:szCs w:val="44"/>
                <w:lang w:val="en-GB"/>
              </w:rPr>
              <w:t xml:space="preserve"> – </w:t>
            </w:r>
            <w:bookmarkStart w:id="1" w:name="_Toc104459724"/>
            <w:bookmarkStart w:id="2" w:name="_Toc104476532"/>
            <w:bookmarkStart w:id="3" w:name="_Toc111638425"/>
            <w:r w:rsidR="007C2680" w:rsidRPr="007C2680">
              <w:rPr>
                <w:spacing w:val="-6"/>
                <w:sz w:val="44"/>
                <w:szCs w:val="44"/>
                <w:lang w:val="en-GB"/>
              </w:rPr>
              <w:t>Internationalized (multilingual) domain names</w:t>
            </w:r>
            <w:bookmarkEnd w:id="1"/>
            <w:bookmarkEnd w:id="2"/>
            <w:bookmarkEnd w:id="3"/>
          </w:p>
          <w:p w14:paraId="51262F1D" w14:textId="77777777" w:rsidR="00EA2A26" w:rsidRPr="008D6223" w:rsidRDefault="00EA2A26" w:rsidP="00367A2B">
            <w:pPr>
              <w:rPr>
                <w:lang w:val="en-GB"/>
              </w:rPr>
            </w:pPr>
          </w:p>
        </w:tc>
      </w:tr>
    </w:tbl>
    <w:p w14:paraId="7800F3B2" w14:textId="77777777" w:rsidR="00EA2A26" w:rsidRPr="008D6223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n-GB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D6223" w:rsidRDefault="00EA2A26" w:rsidP="00EA2A26">
      <w:pPr>
        <w:jc w:val="left"/>
        <w:rPr>
          <w:lang w:val="en-GB"/>
        </w:rPr>
        <w:sectPr w:rsidR="00EA2A26" w:rsidRPr="008D6223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7777777" w:rsidR="008968B6" w:rsidRPr="008968B6" w:rsidRDefault="008968B6" w:rsidP="00AA1264">
      <w:pPr>
        <w:spacing w:before="480"/>
        <w:jc w:val="center"/>
        <w:rPr>
          <w:lang w:val="en-US"/>
        </w:rPr>
      </w:pPr>
      <w:bookmarkStart w:id="4" w:name="irecnoe"/>
      <w:bookmarkEnd w:id="4"/>
      <w:r w:rsidRPr="008968B6">
        <w:rPr>
          <w:lang w:val="en-US"/>
        </w:rPr>
        <w:lastRenderedPageBreak/>
        <w:t>FOREWORD</w:t>
      </w:r>
    </w:p>
    <w:p w14:paraId="2A936C5A" w14:textId="2A15B50D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International Telecommunication Union (ITU) is the United Nations specialized agency in the field of tele</w:t>
      </w:r>
      <w:r w:rsidRPr="00EA2A26">
        <w:rPr>
          <w:sz w:val="20"/>
          <w:lang w:val="en-GB"/>
        </w:rPr>
        <w:softHyphen/>
        <w:t>com</w:t>
      </w:r>
      <w:r w:rsidRPr="00EA2A26">
        <w:rPr>
          <w:sz w:val="20"/>
          <w:lang w:val="en-GB"/>
        </w:rPr>
        <w:softHyphen/>
        <w:t>mu</w:t>
      </w:r>
      <w:r w:rsidRPr="00EA2A26">
        <w:rPr>
          <w:sz w:val="20"/>
          <w:lang w:val="en-GB"/>
        </w:rPr>
        <w:softHyphen/>
        <w:t>ni</w:t>
      </w:r>
      <w:r w:rsidRPr="00EA2A26">
        <w:rPr>
          <w:sz w:val="20"/>
          <w:lang w:val="en-GB"/>
        </w:rPr>
        <w:softHyphen/>
        <w:t>ca</w:t>
      </w:r>
      <w:r w:rsidRPr="00EA2A26">
        <w:rPr>
          <w:sz w:val="20"/>
          <w:lang w:val="en-GB"/>
        </w:rPr>
        <w:softHyphen/>
        <w:t xml:space="preserve">tions, </w:t>
      </w:r>
      <w:r w:rsidR="0053765D">
        <w:rPr>
          <w:sz w:val="20"/>
          <w:lang w:val="en-GB"/>
        </w:rPr>
        <w:t xml:space="preserve">and </w:t>
      </w:r>
      <w:r w:rsidRPr="00EA2A26">
        <w:rPr>
          <w:sz w:val="20"/>
          <w:lang w:val="en-GB"/>
        </w:rPr>
        <w:t>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74B08AF7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World Telecommunication Standardization Assembly (WTSA), which meets every four years, establishes the topics for study by the ITU</w:t>
      </w:r>
      <w:r w:rsidRPr="00EA2A26">
        <w:rPr>
          <w:sz w:val="20"/>
          <w:lang w:val="en-GB"/>
        </w:rPr>
        <w:noBreakHyphen/>
        <w:t>T study groups which, in turn, produce Recommendations on these topics.</w:t>
      </w:r>
    </w:p>
    <w:p w14:paraId="33D01081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approval of ITU-T Recommendations is covered by the procedure laid down in WTSA Resolution 1.</w:t>
      </w:r>
    </w:p>
    <w:p w14:paraId="640B1B4E" w14:textId="5015F88F" w:rsidR="000E4393" w:rsidRPr="00F81B8E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In some areas of information technology which fall within ITU-T's purview, the necessary standards are prepared on a collaborative basis with ISO and IEC</w:t>
      </w:r>
      <w:r w:rsidR="0088751E" w:rsidRPr="0088751E">
        <w:rPr>
          <w:sz w:val="20"/>
          <w:lang w:val="en-US"/>
        </w:rPr>
        <w:t>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A47E72B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6CE679B2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48CEB166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73F08FC8" w14:textId="77777777" w:rsidR="008305DC" w:rsidRPr="00F81B8E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39F6B1E2" w14:textId="77777777" w:rsidR="00EA2A26" w:rsidRPr="00EA2A26" w:rsidRDefault="00EA2A26" w:rsidP="00EA2A26">
      <w:pPr>
        <w:rPr>
          <w:sz w:val="20"/>
          <w:lang w:val="en-GB"/>
        </w:rPr>
      </w:pPr>
    </w:p>
    <w:p w14:paraId="4812ECBE" w14:textId="77777777" w:rsidR="00EA2A26" w:rsidRPr="00EA2A26" w:rsidRDefault="00EA2A26" w:rsidP="00EA2A26">
      <w:pPr>
        <w:jc w:val="center"/>
        <w:rPr>
          <w:sz w:val="20"/>
          <w:lang w:val="en-GB"/>
        </w:rPr>
      </w:pPr>
      <w:r w:rsidRPr="00EA2A26">
        <w:rPr>
          <w:sz w:val="20"/>
          <w:lang w:val="en-GB"/>
        </w:rPr>
        <w:sym w:font="Symbol" w:char="F0E3"/>
      </w:r>
      <w:r w:rsidRPr="00EA2A26">
        <w:rPr>
          <w:sz w:val="20"/>
          <w:lang w:val="en-GB"/>
        </w:rPr>
        <w:t> ITU 2024</w:t>
      </w:r>
    </w:p>
    <w:p w14:paraId="5A25B5AD" w14:textId="19110400" w:rsidR="008968B6" w:rsidRPr="008968B6" w:rsidRDefault="00EA2A26" w:rsidP="00EA2A26">
      <w:pPr>
        <w:rPr>
          <w:lang w:val="en-US"/>
        </w:rPr>
      </w:pPr>
      <w:r w:rsidRPr="00EA2A26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0F6C1E5" w14:textId="1AB84207" w:rsidR="008D6223" w:rsidRPr="008D6223" w:rsidRDefault="008D6223" w:rsidP="007C2680">
      <w:pPr>
        <w:pStyle w:val="ResNo"/>
        <w:outlineLvl w:val="0"/>
        <w:rPr>
          <w:lang w:val="en-GB"/>
        </w:rPr>
      </w:pPr>
      <w:bookmarkStart w:id="5" w:name="_Toc104459697"/>
      <w:bookmarkStart w:id="6" w:name="_Toc104476505"/>
      <w:bookmarkStart w:id="7" w:name="_Toc111636752"/>
      <w:bookmarkStart w:id="8" w:name="_Toc111638398"/>
      <w:r w:rsidRPr="008D6223">
        <w:rPr>
          <w:lang w:val="en-GB"/>
        </w:rPr>
        <w:lastRenderedPageBreak/>
        <w:t>RESOLUTION </w:t>
      </w:r>
      <w:r w:rsidR="007C2680">
        <w:rPr>
          <w:rStyle w:val="href"/>
          <w:lang w:val="en-GB"/>
        </w:rPr>
        <w:t>48</w:t>
      </w:r>
      <w:r w:rsidRPr="008D6223">
        <w:rPr>
          <w:lang w:val="en-GB"/>
        </w:rPr>
        <w:t xml:space="preserve"> (R</w:t>
      </w:r>
      <w:r w:rsidRPr="008D6223">
        <w:rPr>
          <w:caps w:val="0"/>
          <w:lang w:val="en-GB"/>
        </w:rPr>
        <w:t>ev</w:t>
      </w:r>
      <w:r w:rsidRPr="008D6223">
        <w:rPr>
          <w:lang w:val="en-GB"/>
        </w:rPr>
        <w:t>. N</w:t>
      </w:r>
      <w:r w:rsidRPr="008D6223">
        <w:rPr>
          <w:caps w:val="0"/>
          <w:lang w:val="en-GB"/>
        </w:rPr>
        <w:t>ew </w:t>
      </w:r>
      <w:r w:rsidRPr="008D6223">
        <w:rPr>
          <w:lang w:val="en-GB"/>
        </w:rPr>
        <w:t>D</w:t>
      </w:r>
      <w:r w:rsidRPr="008D6223">
        <w:rPr>
          <w:caps w:val="0"/>
          <w:lang w:val="en-GB"/>
        </w:rPr>
        <w:t>elhi</w:t>
      </w:r>
      <w:r w:rsidRPr="008D6223">
        <w:rPr>
          <w:lang w:val="en-GB"/>
        </w:rPr>
        <w:t>, 2024)</w:t>
      </w:r>
      <w:bookmarkEnd w:id="5"/>
      <w:bookmarkEnd w:id="6"/>
      <w:bookmarkEnd w:id="7"/>
      <w:bookmarkEnd w:id="8"/>
    </w:p>
    <w:p w14:paraId="35793992" w14:textId="6FD057FB" w:rsidR="008D6223" w:rsidRPr="008D6223" w:rsidRDefault="007C2680" w:rsidP="007C2680">
      <w:pPr>
        <w:pStyle w:val="Restitle"/>
        <w:outlineLvl w:val="0"/>
        <w:rPr>
          <w:lang w:val="en-GB"/>
        </w:rPr>
      </w:pPr>
      <w:r w:rsidRPr="007C2680">
        <w:rPr>
          <w:lang w:val="en-GB"/>
        </w:rPr>
        <w:t>Internationalized (multilingual) domain names</w:t>
      </w:r>
    </w:p>
    <w:p w14:paraId="4AFDF600" w14:textId="77777777" w:rsidR="007C2680" w:rsidRPr="007C2680" w:rsidRDefault="007C2680" w:rsidP="007C2680">
      <w:pPr>
        <w:pStyle w:val="Resref"/>
        <w:rPr>
          <w:lang w:val="en-GB"/>
        </w:rPr>
      </w:pPr>
      <w:r w:rsidRPr="007C2680">
        <w:rPr>
          <w:lang w:val="en-GB"/>
        </w:rPr>
        <w:t>(</w:t>
      </w:r>
      <w:proofErr w:type="spellStart"/>
      <w:r w:rsidRPr="007C2680">
        <w:rPr>
          <w:lang w:val="en-GB"/>
        </w:rPr>
        <w:t>Florianópolis</w:t>
      </w:r>
      <w:proofErr w:type="spellEnd"/>
      <w:r w:rsidRPr="007C2680">
        <w:rPr>
          <w:lang w:val="en-GB"/>
        </w:rPr>
        <w:t>, 2004; Johannesburg, 2008; Dubai, 2012; Geneva, 2022; New Delhi, 2024)</w:t>
      </w:r>
    </w:p>
    <w:p w14:paraId="0BD33DE9" w14:textId="77777777" w:rsidR="007C2680" w:rsidRPr="00174C13" w:rsidRDefault="007C2680" w:rsidP="007C2680">
      <w:pPr>
        <w:pStyle w:val="Normalaftertitle0"/>
      </w:pPr>
      <w:r w:rsidRPr="00174C13">
        <w:t>The World Telecommunication Standardization Assembly (New Delhi, 2024),</w:t>
      </w:r>
    </w:p>
    <w:p w14:paraId="41FADA4D" w14:textId="77777777" w:rsidR="007C2680" w:rsidRPr="007C2680" w:rsidRDefault="007C2680" w:rsidP="007C2680">
      <w:pPr>
        <w:pStyle w:val="Call"/>
        <w:rPr>
          <w:lang w:val="en-GB"/>
        </w:rPr>
      </w:pPr>
      <w:r w:rsidRPr="007C2680">
        <w:rPr>
          <w:lang w:val="en-GB"/>
        </w:rPr>
        <w:t>recognizing</w:t>
      </w:r>
    </w:p>
    <w:p w14:paraId="4F95A0D3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lang w:val="en-GB"/>
        </w:rPr>
        <w:t>a)</w:t>
      </w:r>
      <w:r w:rsidRPr="007C2680">
        <w:rPr>
          <w:lang w:val="en-GB"/>
        </w:rPr>
        <w:tab/>
        <w:t xml:space="preserve">relevant parts of Resolution 102 (Rev. Bucharest, 2022) of the Plenipotentiary </w:t>
      </w:r>
      <w:proofErr w:type="gramStart"/>
      <w:r w:rsidRPr="007C2680">
        <w:rPr>
          <w:lang w:val="en-GB"/>
        </w:rPr>
        <w:t>Conference;</w:t>
      </w:r>
      <w:proofErr w:type="gramEnd"/>
    </w:p>
    <w:p w14:paraId="3A47AB39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lang w:val="en-GB"/>
        </w:rPr>
        <w:t>b)</w:t>
      </w:r>
      <w:r w:rsidRPr="007C2680">
        <w:rPr>
          <w:lang w:val="en-GB"/>
        </w:rPr>
        <w:tab/>
        <w:t xml:space="preserve">Resolution 133 (Rev. Bucharest, 2022) of the Plenipotentiary </w:t>
      </w:r>
      <w:proofErr w:type="gramStart"/>
      <w:r w:rsidRPr="007C2680">
        <w:rPr>
          <w:lang w:val="en-GB"/>
        </w:rPr>
        <w:t>Conference;</w:t>
      </w:r>
      <w:proofErr w:type="gramEnd"/>
    </w:p>
    <w:p w14:paraId="6A808B1D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c)</w:t>
      </w:r>
      <w:r w:rsidRPr="007C2680">
        <w:rPr>
          <w:i/>
          <w:iCs/>
          <w:lang w:val="en-GB"/>
        </w:rPr>
        <w:tab/>
      </w:r>
      <w:r w:rsidRPr="007C2680">
        <w:rPr>
          <w:lang w:val="en-GB"/>
        </w:rPr>
        <w:t xml:space="preserve">Resolution 82 (Rev. Kigali, 2022) of the World Telecommunication Development </w:t>
      </w:r>
      <w:proofErr w:type="gramStart"/>
      <w:r w:rsidRPr="007C2680">
        <w:rPr>
          <w:lang w:val="en-GB"/>
        </w:rPr>
        <w:t>Conference;</w:t>
      </w:r>
      <w:proofErr w:type="gramEnd"/>
    </w:p>
    <w:p w14:paraId="6065B678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d</w:t>
      </w:r>
      <w:r w:rsidRPr="007C2680">
        <w:rPr>
          <w:i/>
          <w:lang w:val="en-GB"/>
        </w:rPr>
        <w:t>)</w:t>
      </w:r>
      <w:r w:rsidRPr="007C2680">
        <w:rPr>
          <w:lang w:val="en-GB"/>
        </w:rPr>
        <w:tab/>
        <w:t>relevant outcomes of the two phases of the World Summit on the Information Society (WSIS</w:t>
      </w:r>
      <w:proofErr w:type="gramStart"/>
      <w:r w:rsidRPr="007C2680">
        <w:rPr>
          <w:lang w:val="en-GB"/>
        </w:rPr>
        <w:t>);</w:t>
      </w:r>
      <w:proofErr w:type="gramEnd"/>
    </w:p>
    <w:p w14:paraId="3915F8C1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e)</w:t>
      </w:r>
      <w:r w:rsidRPr="007C2680">
        <w:rPr>
          <w:lang w:val="en-GB"/>
        </w:rPr>
        <w:t xml:space="preserve"> </w:t>
      </w:r>
      <w:r w:rsidRPr="007C2680">
        <w:rPr>
          <w:lang w:val="en-GB"/>
        </w:rPr>
        <w:tab/>
        <w:t>WSIS Action Line C8 (Cultural diversity and identity, linguistic diversity and local content</w:t>
      </w:r>
      <w:proofErr w:type="gramStart"/>
      <w:r w:rsidRPr="007C2680">
        <w:rPr>
          <w:lang w:val="en-GB"/>
        </w:rPr>
        <w:t>);</w:t>
      </w:r>
      <w:proofErr w:type="gramEnd"/>
    </w:p>
    <w:p w14:paraId="1AF4D1D1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f</w:t>
      </w:r>
      <w:r w:rsidRPr="007C2680">
        <w:rPr>
          <w:i/>
          <w:lang w:val="en-GB"/>
        </w:rPr>
        <w:t>)</w:t>
      </w:r>
      <w:r w:rsidRPr="007C2680">
        <w:rPr>
          <w:lang w:val="en-GB"/>
        </w:rPr>
        <w:tab/>
        <w:t xml:space="preserve">the evolving role of the World Telecommunication Standardization Assembly, in accordance with Resolution 122 (Rev. Guadalajara, 2010) of the Plenipotentiary </w:t>
      </w:r>
      <w:proofErr w:type="gramStart"/>
      <w:r w:rsidRPr="007C2680">
        <w:rPr>
          <w:lang w:val="en-GB"/>
        </w:rPr>
        <w:t>Conference;</w:t>
      </w:r>
      <w:proofErr w:type="gramEnd"/>
    </w:p>
    <w:p w14:paraId="3D220044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g)</w:t>
      </w:r>
      <w:r w:rsidRPr="007C2680">
        <w:rPr>
          <w:lang w:val="en-GB"/>
        </w:rPr>
        <w:tab/>
        <w:t xml:space="preserve">the important role of multilingualism in enabling the full participation of all countries in the work of ITU, in building a global information society that is open to all, and in achieving the goals and objectives of </w:t>
      </w:r>
      <w:proofErr w:type="gramStart"/>
      <w:r w:rsidRPr="007C2680">
        <w:rPr>
          <w:lang w:val="en-GB"/>
        </w:rPr>
        <w:t>WSIS;</w:t>
      </w:r>
      <w:proofErr w:type="gramEnd"/>
    </w:p>
    <w:p w14:paraId="5C70F32A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h)</w:t>
      </w:r>
      <w:r w:rsidRPr="007C2680">
        <w:rPr>
          <w:lang w:val="en-GB"/>
        </w:rPr>
        <w:tab/>
        <w:t>the role of industry, relevant technical and international organizations, and the top-level domain (TLD) operator communities in continuing to advance the use of internationalized (multilingual) domain names (IDNs) in the Domain Name System (DNS</w:t>
      </w:r>
      <w:proofErr w:type="gramStart"/>
      <w:r w:rsidRPr="007C2680">
        <w:rPr>
          <w:lang w:val="en-GB"/>
        </w:rPr>
        <w:t>);</w:t>
      </w:r>
      <w:proofErr w:type="gramEnd"/>
      <w:r w:rsidRPr="007C2680">
        <w:rPr>
          <w:lang w:val="en-GB"/>
        </w:rPr>
        <w:t xml:space="preserve"> </w:t>
      </w:r>
    </w:p>
    <w:p w14:paraId="742D7084" w14:textId="77777777" w:rsidR="007C2680" w:rsidRPr="007C2680" w:rsidRDefault="007C2680" w:rsidP="007C2680">
      <w:pPr>
        <w:rPr>
          <w:lang w:val="en-GB"/>
        </w:rPr>
      </w:pPr>
      <w:proofErr w:type="spellStart"/>
      <w:r w:rsidRPr="007C2680">
        <w:rPr>
          <w:i/>
          <w:iCs/>
          <w:lang w:val="en-GB"/>
        </w:rPr>
        <w:t>i</w:t>
      </w:r>
      <w:proofErr w:type="spellEnd"/>
      <w:r w:rsidRPr="007C2680">
        <w:rPr>
          <w:i/>
          <w:iCs/>
          <w:lang w:val="en-GB"/>
        </w:rPr>
        <w:t>)</w:t>
      </w:r>
      <w:r w:rsidRPr="007C2680">
        <w:rPr>
          <w:lang w:val="en-GB"/>
        </w:rPr>
        <w:tab/>
        <w:t xml:space="preserve">that, while significant progress in the technical development and availability of IDNs in the DNS has been made, universal acceptance remains the primary </w:t>
      </w:r>
      <w:proofErr w:type="gramStart"/>
      <w:r w:rsidRPr="007C2680">
        <w:rPr>
          <w:lang w:val="en-GB"/>
        </w:rPr>
        <w:t>challenge;</w:t>
      </w:r>
      <w:proofErr w:type="gramEnd"/>
    </w:p>
    <w:p w14:paraId="0E426521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j)</w:t>
      </w:r>
      <w:r w:rsidRPr="007C2680">
        <w:rPr>
          <w:lang w:val="en-GB"/>
        </w:rPr>
        <w:tab/>
        <w:t xml:space="preserve">the lack of multilingualism on the Internet, which contributes to a significant digital </w:t>
      </w:r>
      <w:proofErr w:type="gramStart"/>
      <w:r w:rsidRPr="007C2680">
        <w:rPr>
          <w:lang w:val="en-GB"/>
        </w:rPr>
        <w:t>divide;</w:t>
      </w:r>
      <w:proofErr w:type="gramEnd"/>
    </w:p>
    <w:p w14:paraId="242E4921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k)</w:t>
      </w:r>
      <w:r w:rsidRPr="007C2680">
        <w:rPr>
          <w:lang w:val="en-GB"/>
        </w:rPr>
        <w:tab/>
        <w:t xml:space="preserve">that the adoption of IDNs will promote multilingualism on the Internet and support meaningful connectivity for much of the </w:t>
      </w:r>
      <w:proofErr w:type="gramStart"/>
      <w:r w:rsidRPr="007C2680">
        <w:rPr>
          <w:lang w:val="en-GB"/>
        </w:rPr>
        <w:t>world;</w:t>
      </w:r>
      <w:proofErr w:type="gramEnd"/>
    </w:p>
    <w:p w14:paraId="1EB83BED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szCs w:val="22"/>
          <w:lang w:val="en-GB"/>
        </w:rPr>
        <w:t>l)</w:t>
      </w:r>
      <w:r w:rsidRPr="007C2680">
        <w:rPr>
          <w:szCs w:val="22"/>
          <w:lang w:val="en-GB"/>
        </w:rPr>
        <w:tab/>
        <w:t>the work of the domain name industry and relevant regional and international organizations and initiatives, such as the Coalition for Digital Africa, to increase the availability of IDNs,</w:t>
      </w:r>
    </w:p>
    <w:p w14:paraId="1CDFAAC6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br w:type="page"/>
      </w:r>
    </w:p>
    <w:p w14:paraId="4BA71FD5" w14:textId="77777777" w:rsidR="007C2680" w:rsidRPr="007C2680" w:rsidRDefault="007C2680" w:rsidP="007C2680">
      <w:pPr>
        <w:pStyle w:val="Call"/>
        <w:rPr>
          <w:lang w:val="en-GB"/>
        </w:rPr>
      </w:pPr>
      <w:r w:rsidRPr="007C2680">
        <w:rPr>
          <w:lang w:val="en-GB"/>
        </w:rPr>
        <w:lastRenderedPageBreak/>
        <w:t>considering</w:t>
      </w:r>
    </w:p>
    <w:p w14:paraId="657D072B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lang w:val="en-GB"/>
        </w:rPr>
        <w:t>a)</w:t>
      </w:r>
      <w:r w:rsidRPr="007C2680">
        <w:rPr>
          <w:lang w:val="en-GB"/>
        </w:rPr>
        <w:tab/>
        <w:t xml:space="preserve">that there needs to be further in-depth discussion of the political, economic and technical issues related to IDNs arising out of the interaction between national sovereignty and the need for international coordination and </w:t>
      </w:r>
      <w:proofErr w:type="gramStart"/>
      <w:r w:rsidRPr="007C2680">
        <w:rPr>
          <w:lang w:val="en-GB"/>
        </w:rPr>
        <w:t>harmonization;</w:t>
      </w:r>
      <w:proofErr w:type="gramEnd"/>
    </w:p>
    <w:p w14:paraId="0888DFD4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lang w:val="en-GB"/>
        </w:rPr>
        <w:t>b)</w:t>
      </w:r>
      <w:r w:rsidRPr="007C2680">
        <w:rPr>
          <w:lang w:val="en-GB"/>
        </w:rPr>
        <w:tab/>
        <w:t xml:space="preserve">that intergovernmental organizations have had, and should continue to have, a facilitating role in the coordination of Internet-related public policy </w:t>
      </w:r>
      <w:proofErr w:type="gramStart"/>
      <w:r w:rsidRPr="007C2680">
        <w:rPr>
          <w:lang w:val="en-GB"/>
        </w:rPr>
        <w:t>issues;</w:t>
      </w:r>
      <w:proofErr w:type="gramEnd"/>
    </w:p>
    <w:p w14:paraId="05FF8E61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lang w:val="en-GB"/>
        </w:rPr>
        <w:t>c)</w:t>
      </w:r>
      <w:r w:rsidRPr="007C2680">
        <w:rPr>
          <w:lang w:val="en-GB"/>
        </w:rPr>
        <w:tab/>
        <w:t xml:space="preserve">that international organizations have also had, and should continue to have, an important role in the development of Internet-related technical standards and relevant </w:t>
      </w:r>
      <w:proofErr w:type="gramStart"/>
      <w:r w:rsidRPr="007C2680">
        <w:rPr>
          <w:lang w:val="en-GB"/>
        </w:rPr>
        <w:t>policies;</w:t>
      </w:r>
      <w:proofErr w:type="gramEnd"/>
    </w:p>
    <w:p w14:paraId="3805C1DB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lang w:val="en-GB"/>
        </w:rPr>
        <w:t>d)</w:t>
      </w:r>
      <w:r w:rsidRPr="007C2680">
        <w:rPr>
          <w:lang w:val="en-GB"/>
        </w:rPr>
        <w:tab/>
        <w:t>that the ITU Telecommunication Standardization Sector (ITU</w:t>
      </w:r>
      <w:r w:rsidRPr="007C2680">
        <w:rPr>
          <w:lang w:val="en-GB"/>
        </w:rPr>
        <w:noBreakHyphen/>
        <w:t xml:space="preserve">T) has a record of successfully handling similar issues in a timely manner, especially as to the use of non-Latin character </w:t>
      </w:r>
      <w:proofErr w:type="gramStart"/>
      <w:r w:rsidRPr="007C2680">
        <w:rPr>
          <w:lang w:val="en-GB"/>
        </w:rPr>
        <w:t>sets;</w:t>
      </w:r>
      <w:proofErr w:type="gramEnd"/>
    </w:p>
    <w:p w14:paraId="4FEAC540" w14:textId="77777777" w:rsidR="007C2680" w:rsidRPr="007C2680" w:rsidRDefault="007C2680" w:rsidP="007C2680">
      <w:pPr>
        <w:rPr>
          <w:szCs w:val="22"/>
          <w:lang w:val="en-GB"/>
        </w:rPr>
      </w:pPr>
      <w:r w:rsidRPr="007C2680">
        <w:rPr>
          <w:i/>
          <w:iCs/>
          <w:lang w:val="en-GB"/>
        </w:rPr>
        <w:t>e)</w:t>
      </w:r>
      <w:r w:rsidRPr="007C2680">
        <w:rPr>
          <w:lang w:val="en-GB"/>
        </w:rPr>
        <w:tab/>
      </w:r>
      <w:r w:rsidRPr="007C2680">
        <w:rPr>
          <w:szCs w:val="22"/>
          <w:lang w:val="en-GB"/>
        </w:rPr>
        <w:t xml:space="preserve">that relevant regional and international organizations are working to increase the deployment of </w:t>
      </w:r>
      <w:proofErr w:type="gramStart"/>
      <w:r w:rsidRPr="007C2680">
        <w:rPr>
          <w:szCs w:val="22"/>
          <w:lang w:val="en-GB"/>
        </w:rPr>
        <w:t>IDNs;</w:t>
      </w:r>
      <w:proofErr w:type="gramEnd"/>
    </w:p>
    <w:p w14:paraId="7C9E0828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f)</w:t>
      </w:r>
      <w:r w:rsidRPr="007C2680">
        <w:rPr>
          <w:lang w:val="en-GB"/>
        </w:rPr>
        <w:tab/>
        <w:t xml:space="preserve">that despite the growing adoption of IDNs, enhancing user awareness of the availability of IDNs and challenges of universal acceptance is required to ensure their continued </w:t>
      </w:r>
      <w:proofErr w:type="gramStart"/>
      <w:r w:rsidRPr="007C2680">
        <w:rPr>
          <w:lang w:val="en-GB"/>
        </w:rPr>
        <w:t>growth;</w:t>
      </w:r>
      <w:proofErr w:type="gramEnd"/>
      <w:r w:rsidRPr="007C2680">
        <w:rPr>
          <w:lang w:val="en-GB"/>
        </w:rPr>
        <w:t xml:space="preserve"> </w:t>
      </w:r>
    </w:p>
    <w:p w14:paraId="55ABD38D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g)</w:t>
      </w:r>
      <w:r w:rsidRPr="007C2680">
        <w:rPr>
          <w:lang w:val="en-GB"/>
        </w:rPr>
        <w:tab/>
        <w:t>the ITU Telecommunication Development Sector (ITU</w:t>
      </w:r>
      <w:r w:rsidRPr="007C2680">
        <w:rPr>
          <w:lang w:val="en-GB"/>
        </w:rPr>
        <w:noBreakHyphen/>
        <w:t xml:space="preserve">D) can be a leader in building capacity to expand multilingualism on the Internet, including through the promotion of universal </w:t>
      </w:r>
      <w:proofErr w:type="gramStart"/>
      <w:r w:rsidRPr="007C2680">
        <w:rPr>
          <w:lang w:val="en-GB"/>
        </w:rPr>
        <w:t>acceptance;</w:t>
      </w:r>
      <w:proofErr w:type="gramEnd"/>
    </w:p>
    <w:p w14:paraId="3BDFAD27" w14:textId="77777777" w:rsidR="007C2680" w:rsidRPr="007C2680" w:rsidRDefault="007C2680" w:rsidP="007C2680">
      <w:pPr>
        <w:rPr>
          <w:lang w:val="en-GB"/>
        </w:rPr>
      </w:pPr>
      <w:r w:rsidRPr="007C2680">
        <w:rPr>
          <w:i/>
          <w:iCs/>
          <w:lang w:val="en-GB"/>
        </w:rPr>
        <w:t>h</w:t>
      </w:r>
      <w:r w:rsidRPr="007C2680">
        <w:rPr>
          <w:i/>
          <w:lang w:val="en-GB"/>
        </w:rPr>
        <w:t>)</w:t>
      </w:r>
      <w:r w:rsidRPr="007C2680">
        <w:rPr>
          <w:lang w:val="en-GB"/>
        </w:rPr>
        <w:tab/>
        <w:t>the ongoing activities of other relevant organizations,</w:t>
      </w:r>
    </w:p>
    <w:p w14:paraId="0F027E59" w14:textId="77777777" w:rsidR="007C2680" w:rsidRPr="007C2680" w:rsidRDefault="007C2680" w:rsidP="007C2680">
      <w:pPr>
        <w:pStyle w:val="Call"/>
        <w:rPr>
          <w:lang w:val="en-GB"/>
        </w:rPr>
      </w:pPr>
      <w:r w:rsidRPr="007C2680">
        <w:rPr>
          <w:lang w:val="en-GB"/>
        </w:rPr>
        <w:t>resolves to instruct Study Group 21 of the ITU Telecommunication Standardization Sector and other relevant study groups</w:t>
      </w:r>
    </w:p>
    <w:p w14:paraId="6DB5D341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to continue to study IDNs, and to continue to liaise and cooperate with appropriate entities, whether intergovernmental or non-governmental, in this area,</w:t>
      </w:r>
    </w:p>
    <w:p w14:paraId="737643EB" w14:textId="77777777" w:rsidR="007C2680" w:rsidRPr="007C2680" w:rsidRDefault="007C2680" w:rsidP="007C2680">
      <w:pPr>
        <w:pStyle w:val="Call"/>
        <w:rPr>
          <w:lang w:val="en-GB"/>
        </w:rPr>
      </w:pPr>
      <w:r w:rsidRPr="007C2680">
        <w:rPr>
          <w:lang w:val="en-GB"/>
        </w:rPr>
        <w:t>instructs the Director of the Telecommunication Standardization Bureau</w:t>
      </w:r>
    </w:p>
    <w:p w14:paraId="1B189060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1</w:t>
      </w:r>
      <w:r w:rsidRPr="007C2680">
        <w:rPr>
          <w:lang w:val="en-GB"/>
        </w:rPr>
        <w:tab/>
        <w:t xml:space="preserve">to promote the universal acceptance of IDN and to collaborate and cooperate in enabling their usage on the </w:t>
      </w:r>
      <w:proofErr w:type="gramStart"/>
      <w:r w:rsidRPr="007C2680">
        <w:rPr>
          <w:lang w:val="en-GB"/>
        </w:rPr>
        <w:t>Internet;</w:t>
      </w:r>
      <w:proofErr w:type="gramEnd"/>
      <w:r w:rsidRPr="007C2680">
        <w:rPr>
          <w:lang w:val="en-GB"/>
        </w:rPr>
        <w:t xml:space="preserve"> </w:t>
      </w:r>
    </w:p>
    <w:p w14:paraId="18676C0C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2</w:t>
      </w:r>
      <w:r w:rsidRPr="007C2680">
        <w:rPr>
          <w:lang w:val="en-GB"/>
        </w:rPr>
        <w:tab/>
        <w:t>to raise awareness among Member States and ITU</w:t>
      </w:r>
      <w:r w:rsidRPr="007C2680">
        <w:rPr>
          <w:lang w:val="en-GB"/>
        </w:rPr>
        <w:noBreakHyphen/>
        <w:t xml:space="preserve">T Sector Members of the challenges facing universal acceptance and IDNs by actively participating in relevant activities, such as Universal Acceptance Day and engaging with local universal acceptance </w:t>
      </w:r>
      <w:proofErr w:type="gramStart"/>
      <w:r w:rsidRPr="007C2680">
        <w:rPr>
          <w:lang w:val="en-GB"/>
        </w:rPr>
        <w:t>ambassadors;</w:t>
      </w:r>
      <w:proofErr w:type="gramEnd"/>
    </w:p>
    <w:p w14:paraId="52A8D28A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3</w:t>
      </w:r>
      <w:r w:rsidRPr="007C2680">
        <w:rPr>
          <w:lang w:val="en-GB"/>
        </w:rPr>
        <w:tab/>
        <w:t>to support ITU</w:t>
      </w:r>
      <w:r w:rsidRPr="007C2680">
        <w:rPr>
          <w:lang w:val="en-GB"/>
        </w:rPr>
        <w:noBreakHyphen/>
        <w:t>D in engaging stakeholders, raising awareness and incentivizing progress within the ITU</w:t>
      </w:r>
      <w:r w:rsidRPr="007C2680">
        <w:rPr>
          <w:lang w:val="en-GB"/>
        </w:rPr>
        <w:noBreakHyphen/>
        <w:t xml:space="preserve">D membership, including Member States and Sector Members, in order to support and promote multilingualism on the </w:t>
      </w:r>
      <w:proofErr w:type="gramStart"/>
      <w:r w:rsidRPr="007C2680">
        <w:rPr>
          <w:lang w:val="en-GB"/>
        </w:rPr>
        <w:t>Internet;</w:t>
      </w:r>
      <w:proofErr w:type="gramEnd"/>
    </w:p>
    <w:p w14:paraId="31A1CB3B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4</w:t>
      </w:r>
      <w:r w:rsidRPr="007C2680">
        <w:rPr>
          <w:lang w:val="en-GB"/>
        </w:rPr>
        <w:tab/>
        <w:t xml:space="preserve">to continue to collaborate with relevant organizations to facilitate the adoption of IDNs and promote universal acceptance; and to support organizations such as the United Nations Educational, Scientific and Cultural Organization (UNESCO) in facilitating WSIS Action Line </w:t>
      </w:r>
      <w:proofErr w:type="gramStart"/>
      <w:r w:rsidRPr="007C2680">
        <w:rPr>
          <w:lang w:val="en-GB"/>
        </w:rPr>
        <w:t>C8;</w:t>
      </w:r>
      <w:proofErr w:type="gramEnd"/>
      <w:r w:rsidRPr="007C2680">
        <w:rPr>
          <w:lang w:val="en-GB"/>
        </w:rPr>
        <w:t xml:space="preserve"> </w:t>
      </w:r>
    </w:p>
    <w:p w14:paraId="26FE5AC5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5</w:t>
      </w:r>
      <w:r w:rsidRPr="007C2680">
        <w:rPr>
          <w:lang w:val="en-GB"/>
        </w:rPr>
        <w:tab/>
        <w:t>to take appropriate action to facilitate the above and to report to the ITU Council annually regarding the progress achieved in this area,</w:t>
      </w:r>
    </w:p>
    <w:p w14:paraId="06ED0439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br w:type="page"/>
      </w:r>
    </w:p>
    <w:p w14:paraId="4DC7AB37" w14:textId="77777777" w:rsidR="007C2680" w:rsidRPr="007C2680" w:rsidRDefault="007C2680" w:rsidP="007C2680">
      <w:pPr>
        <w:pStyle w:val="Call"/>
        <w:rPr>
          <w:lang w:val="en-GB"/>
        </w:rPr>
      </w:pPr>
      <w:r w:rsidRPr="007C2680">
        <w:rPr>
          <w:lang w:val="en-GB"/>
        </w:rPr>
        <w:lastRenderedPageBreak/>
        <w:t>invites the Director of the Telecommunication Development Bureau</w:t>
      </w:r>
    </w:p>
    <w:p w14:paraId="000032C7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to continue to cooperate with the Director of the Telecommunication Standardization Bureau on these issues in the spirit of "One ITU",</w:t>
      </w:r>
    </w:p>
    <w:p w14:paraId="22A8AEF2" w14:textId="77777777" w:rsidR="007C2680" w:rsidRPr="007C2680" w:rsidRDefault="007C2680" w:rsidP="007C2680">
      <w:pPr>
        <w:pStyle w:val="Call"/>
        <w:rPr>
          <w:lang w:val="en-GB"/>
        </w:rPr>
      </w:pPr>
      <w:r w:rsidRPr="007C2680">
        <w:rPr>
          <w:lang w:val="en-GB"/>
        </w:rPr>
        <w:t>invites Member States, Sector Members and regional groups concerned</w:t>
      </w:r>
    </w:p>
    <w:p w14:paraId="3C4C4BAA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1</w:t>
      </w:r>
      <w:r w:rsidRPr="007C2680">
        <w:rPr>
          <w:lang w:val="en-GB"/>
        </w:rPr>
        <w:tab/>
        <w:t xml:space="preserve">to contribute to these activities, including by working with relevant regional and international organizations and participating in Universal Acceptance </w:t>
      </w:r>
      <w:proofErr w:type="gramStart"/>
      <w:r w:rsidRPr="007C2680">
        <w:rPr>
          <w:lang w:val="en-GB"/>
        </w:rPr>
        <w:t>Day;</w:t>
      </w:r>
      <w:proofErr w:type="gramEnd"/>
    </w:p>
    <w:p w14:paraId="55FF808A" w14:textId="77777777" w:rsidR="007C2680" w:rsidRPr="007C2680" w:rsidRDefault="007C2680" w:rsidP="007C2680">
      <w:pPr>
        <w:rPr>
          <w:lang w:val="en-GB"/>
        </w:rPr>
      </w:pPr>
      <w:r w:rsidRPr="007C2680">
        <w:rPr>
          <w:lang w:val="en-GB"/>
        </w:rPr>
        <w:t>2</w:t>
      </w:r>
      <w:r w:rsidRPr="007C2680">
        <w:rPr>
          <w:lang w:val="en-GB"/>
        </w:rPr>
        <w:tab/>
        <w:t>to share the efforts, best practices and global developments of industry and regional and international organizations.</w:t>
      </w:r>
    </w:p>
    <w:p w14:paraId="60D026EA" w14:textId="77777777" w:rsidR="004A0C82" w:rsidRDefault="004A0C82" w:rsidP="000E4393">
      <w:pPr>
        <w:rPr>
          <w:lang w:val="en-GB"/>
        </w:rPr>
      </w:pPr>
    </w:p>
    <w:p w14:paraId="1E5F1F6B" w14:textId="77777777" w:rsidR="00AF7A71" w:rsidRDefault="00AF7A71" w:rsidP="000E4393">
      <w:pPr>
        <w:rPr>
          <w:lang w:val="en-GB"/>
        </w:rPr>
      </w:pPr>
    </w:p>
    <w:p w14:paraId="6DCA03C9" w14:textId="77777777" w:rsidR="00AF7A71" w:rsidRDefault="00AF7A71" w:rsidP="000E4393">
      <w:pPr>
        <w:rPr>
          <w:lang w:val="en-GB"/>
        </w:rPr>
      </w:pPr>
    </w:p>
    <w:p w14:paraId="1A34DEB8" w14:textId="77777777" w:rsidR="00AF7A71" w:rsidRDefault="00AF7A71" w:rsidP="000E4393">
      <w:pPr>
        <w:rPr>
          <w:lang w:val="en-GB"/>
        </w:rPr>
      </w:pPr>
    </w:p>
    <w:p w14:paraId="2488D99C" w14:textId="77777777" w:rsidR="00AF7A71" w:rsidRDefault="00AF7A71" w:rsidP="000E4393">
      <w:pPr>
        <w:rPr>
          <w:lang w:val="en-GB"/>
        </w:rPr>
      </w:pPr>
    </w:p>
    <w:p w14:paraId="00FF8192" w14:textId="77777777" w:rsidR="00AF7A71" w:rsidRDefault="00AF7A71" w:rsidP="000E4393">
      <w:pPr>
        <w:rPr>
          <w:lang w:val="en-GB"/>
        </w:rPr>
      </w:pPr>
    </w:p>
    <w:p w14:paraId="57BE69E1" w14:textId="77777777" w:rsidR="00AF7A71" w:rsidRDefault="00AF7A71" w:rsidP="000E4393">
      <w:pPr>
        <w:rPr>
          <w:lang w:val="en-GB"/>
        </w:rPr>
      </w:pPr>
    </w:p>
    <w:p w14:paraId="3AED3F25" w14:textId="77777777" w:rsidR="00AF7A71" w:rsidRDefault="00AF7A71" w:rsidP="000E4393">
      <w:pPr>
        <w:rPr>
          <w:lang w:val="en-GB"/>
        </w:rPr>
      </w:pPr>
    </w:p>
    <w:p w14:paraId="43A8F879" w14:textId="77777777" w:rsidR="00AF7A71" w:rsidRDefault="00AF7A71" w:rsidP="000E4393">
      <w:pPr>
        <w:rPr>
          <w:lang w:val="en-GB"/>
        </w:rPr>
      </w:pPr>
    </w:p>
    <w:p w14:paraId="34F12C02" w14:textId="77777777" w:rsidR="00AF7A71" w:rsidRDefault="00AF7A71" w:rsidP="000E4393">
      <w:pPr>
        <w:rPr>
          <w:lang w:val="en-GB"/>
        </w:rPr>
      </w:pPr>
    </w:p>
    <w:p w14:paraId="1BFDC3CA" w14:textId="77777777" w:rsidR="00AF7A71" w:rsidRDefault="00AF7A71" w:rsidP="000E4393">
      <w:pPr>
        <w:rPr>
          <w:lang w:val="en-GB"/>
        </w:rPr>
      </w:pPr>
    </w:p>
    <w:p w14:paraId="62126D5E" w14:textId="77777777" w:rsidR="00AF7A71" w:rsidRDefault="00AF7A71" w:rsidP="000E4393">
      <w:pPr>
        <w:rPr>
          <w:lang w:val="en-GB"/>
        </w:rPr>
      </w:pPr>
    </w:p>
    <w:p w14:paraId="5BCAF361" w14:textId="77777777" w:rsidR="00AF7A71" w:rsidRDefault="00AF7A71" w:rsidP="000E4393">
      <w:pPr>
        <w:rPr>
          <w:lang w:val="en-GB"/>
        </w:rPr>
      </w:pPr>
    </w:p>
    <w:p w14:paraId="201EF216" w14:textId="77777777" w:rsidR="00AF7A71" w:rsidRDefault="00AF7A71" w:rsidP="000E4393">
      <w:pPr>
        <w:rPr>
          <w:lang w:val="en-GB"/>
        </w:rPr>
      </w:pPr>
    </w:p>
    <w:p w14:paraId="6EEC29D6" w14:textId="77777777" w:rsidR="00AF7A71" w:rsidRDefault="00AF7A71" w:rsidP="000E4393">
      <w:pPr>
        <w:rPr>
          <w:lang w:val="en-GB"/>
        </w:rPr>
      </w:pPr>
    </w:p>
    <w:p w14:paraId="7FAEBFCC" w14:textId="77777777" w:rsidR="00AF7A71" w:rsidRDefault="00AF7A71" w:rsidP="000E4393">
      <w:pPr>
        <w:rPr>
          <w:lang w:val="en-GB"/>
        </w:rPr>
      </w:pPr>
    </w:p>
    <w:p w14:paraId="6A3954CA" w14:textId="77777777" w:rsidR="00AF7A71" w:rsidRPr="00580A1C" w:rsidRDefault="00AF7A71" w:rsidP="000E4393">
      <w:pPr>
        <w:rPr>
          <w:lang w:val="en-GB"/>
        </w:rPr>
      </w:pPr>
    </w:p>
    <w:sectPr w:rsidR="00AF7A71" w:rsidRPr="00580A1C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D366" w14:textId="77777777" w:rsidR="001A6B2D" w:rsidRDefault="001A6B2D">
      <w:r>
        <w:separator/>
      </w:r>
    </w:p>
  </w:endnote>
  <w:endnote w:type="continuationSeparator" w:id="0">
    <w:p w14:paraId="1E0A8D5F" w14:textId="77777777" w:rsidR="001A6B2D" w:rsidRDefault="001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D04E" w14:textId="77777777" w:rsidR="000D1CBD" w:rsidRDefault="000D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0C6B" w14:textId="77777777" w:rsidR="000D1CBD" w:rsidRDefault="000D1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E20A" w14:textId="77777777" w:rsidR="000D1CBD" w:rsidRDefault="000D1C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AC99897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AF7A71">
      <w:rPr>
        <w:noProof/>
        <w:lang w:val="en-US"/>
      </w:rPr>
      <w:t>48</w:t>
    </w:r>
    <w:r w:rsidR="000D1CBD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A3AF24F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AF7A71">
      <w:rPr>
        <w:noProof/>
        <w:lang w:val="en-US"/>
      </w:rPr>
      <w:t>48</w:t>
    </w:r>
    <w:r w:rsidR="000D1CBD"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60BCFE6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AF7A71">
      <w:rPr>
        <w:noProof/>
        <w:lang w:val="en-US"/>
      </w:rPr>
      <w:t>48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5CB6" w14:textId="77777777" w:rsidR="001A6B2D" w:rsidRDefault="001A6B2D">
      <w:r>
        <w:t>____________________</w:t>
      </w:r>
    </w:p>
  </w:footnote>
  <w:footnote w:type="continuationSeparator" w:id="0">
    <w:p w14:paraId="0DB943FD" w14:textId="77777777" w:rsidR="001A6B2D" w:rsidRDefault="001A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3857" w14:textId="77777777" w:rsidR="000D1CBD" w:rsidRDefault="000D1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541A8"/>
    <w:rsid w:val="00087AFB"/>
    <w:rsid w:val="000B071B"/>
    <w:rsid w:val="000B47CD"/>
    <w:rsid w:val="000B5A36"/>
    <w:rsid w:val="000C22AE"/>
    <w:rsid w:val="000D1CBD"/>
    <w:rsid w:val="000D378F"/>
    <w:rsid w:val="000D3CE4"/>
    <w:rsid w:val="000D5219"/>
    <w:rsid w:val="000D6DAE"/>
    <w:rsid w:val="000E4393"/>
    <w:rsid w:val="00117D80"/>
    <w:rsid w:val="001309FB"/>
    <w:rsid w:val="001726A1"/>
    <w:rsid w:val="001762A1"/>
    <w:rsid w:val="001A6B2D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C182C"/>
    <w:rsid w:val="002D5607"/>
    <w:rsid w:val="002E1B7B"/>
    <w:rsid w:val="002E6A20"/>
    <w:rsid w:val="0033029C"/>
    <w:rsid w:val="00331B2F"/>
    <w:rsid w:val="003374BB"/>
    <w:rsid w:val="0035222D"/>
    <w:rsid w:val="0038237B"/>
    <w:rsid w:val="003C21D1"/>
    <w:rsid w:val="003C3FD9"/>
    <w:rsid w:val="003D116F"/>
    <w:rsid w:val="003D7A8C"/>
    <w:rsid w:val="003F1DB8"/>
    <w:rsid w:val="003F293E"/>
    <w:rsid w:val="00447527"/>
    <w:rsid w:val="004568D2"/>
    <w:rsid w:val="004612A7"/>
    <w:rsid w:val="00462F6A"/>
    <w:rsid w:val="00467305"/>
    <w:rsid w:val="0048772A"/>
    <w:rsid w:val="004A0C82"/>
    <w:rsid w:val="004A58A4"/>
    <w:rsid w:val="004B7CB1"/>
    <w:rsid w:val="004F2E56"/>
    <w:rsid w:val="00501F47"/>
    <w:rsid w:val="00504D1F"/>
    <w:rsid w:val="00510BA8"/>
    <w:rsid w:val="00524FB2"/>
    <w:rsid w:val="0053765D"/>
    <w:rsid w:val="005569CA"/>
    <w:rsid w:val="00562EF2"/>
    <w:rsid w:val="00574CFF"/>
    <w:rsid w:val="00580A1C"/>
    <w:rsid w:val="005D1D45"/>
    <w:rsid w:val="005D5226"/>
    <w:rsid w:val="00601999"/>
    <w:rsid w:val="00611CD0"/>
    <w:rsid w:val="00631549"/>
    <w:rsid w:val="00632F08"/>
    <w:rsid w:val="006425B4"/>
    <w:rsid w:val="006452F7"/>
    <w:rsid w:val="00653C1B"/>
    <w:rsid w:val="00665F6E"/>
    <w:rsid w:val="006678D7"/>
    <w:rsid w:val="00667C83"/>
    <w:rsid w:val="006824D9"/>
    <w:rsid w:val="00684F2B"/>
    <w:rsid w:val="00693D4F"/>
    <w:rsid w:val="00697D23"/>
    <w:rsid w:val="006B0459"/>
    <w:rsid w:val="006B5987"/>
    <w:rsid w:val="006B6BD9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6138E"/>
    <w:rsid w:val="00780423"/>
    <w:rsid w:val="00781E25"/>
    <w:rsid w:val="00783EB8"/>
    <w:rsid w:val="007958DD"/>
    <w:rsid w:val="007C2680"/>
    <w:rsid w:val="007E0240"/>
    <w:rsid w:val="007F32A3"/>
    <w:rsid w:val="008075CD"/>
    <w:rsid w:val="008305DC"/>
    <w:rsid w:val="00837339"/>
    <w:rsid w:val="00845E8E"/>
    <w:rsid w:val="00851E30"/>
    <w:rsid w:val="0088751E"/>
    <w:rsid w:val="008968B6"/>
    <w:rsid w:val="008B4CF6"/>
    <w:rsid w:val="008C7FC3"/>
    <w:rsid w:val="008D622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A3A93"/>
    <w:rsid w:val="00AC4AF1"/>
    <w:rsid w:val="00AE4C26"/>
    <w:rsid w:val="00AF7A71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4111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64078"/>
    <w:rsid w:val="00C706FC"/>
    <w:rsid w:val="00C72AF4"/>
    <w:rsid w:val="00CD10C2"/>
    <w:rsid w:val="00CD3865"/>
    <w:rsid w:val="00CE767E"/>
    <w:rsid w:val="00CF024D"/>
    <w:rsid w:val="00D20887"/>
    <w:rsid w:val="00D26ECC"/>
    <w:rsid w:val="00D4292A"/>
    <w:rsid w:val="00D43775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B58AC"/>
    <w:rsid w:val="00DC0E45"/>
    <w:rsid w:val="00DE48B4"/>
    <w:rsid w:val="00E03ABC"/>
    <w:rsid w:val="00E154E2"/>
    <w:rsid w:val="00E20918"/>
    <w:rsid w:val="00E300EC"/>
    <w:rsid w:val="00E51820"/>
    <w:rsid w:val="00E56BAB"/>
    <w:rsid w:val="00E67297"/>
    <w:rsid w:val="00E758D6"/>
    <w:rsid w:val="00E82452"/>
    <w:rsid w:val="00E83C1C"/>
    <w:rsid w:val="00E96B11"/>
    <w:rsid w:val="00E96C27"/>
    <w:rsid w:val="00EA12A2"/>
    <w:rsid w:val="00EA2A26"/>
    <w:rsid w:val="00EB3556"/>
    <w:rsid w:val="00EE1126"/>
    <w:rsid w:val="00EE2FE2"/>
    <w:rsid w:val="00EE4B7A"/>
    <w:rsid w:val="00EE50B5"/>
    <w:rsid w:val="00F0099E"/>
    <w:rsid w:val="00F12607"/>
    <w:rsid w:val="00F15F98"/>
    <w:rsid w:val="00F34748"/>
    <w:rsid w:val="00F4281C"/>
    <w:rsid w:val="00F576B9"/>
    <w:rsid w:val="00F67E96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1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uiPriority w:val="99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uiPriority w:val="99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0BA8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0BA8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2</TotalTime>
  <Pages>5</Pages>
  <Words>922</Words>
  <Characters>5649</Characters>
  <Application>Microsoft Office Word</Application>
  <DocSecurity>0</DocSecurity>
  <Lines>134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11 – Collaboration with the Universal Postal Union in the study of services concerning both the postal and the telecommunication sectors</vt:lpstr>
    </vt:vector>
  </TitlesOfParts>
  <Company>ITU</Company>
  <LinksUpToDate>false</LinksUpToDate>
  <CharactersWithSpaces>6479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48 – Internationalized (multilingual) domain names</dc:title>
  <dc:subject>WORLD TELECOMMUNICATION STANDARDIZATION ASSEMBLY - Florianópolis, 5-14 October 2004</dc:subject>
  <dc:creator>ITU-T</dc:creator>
  <cp:keywords>WTSA-24 New Delhi, 15-24 October 2024</cp:keywords>
  <dc:description/>
  <cp:lastModifiedBy>Gachet, Christelle</cp:lastModifiedBy>
  <cp:revision>4</cp:revision>
  <cp:lastPrinted>2024-11-26T12:36:00Z</cp:lastPrinted>
  <dcterms:created xsi:type="dcterms:W3CDTF">2024-11-26T12:55:00Z</dcterms:created>
  <dcterms:modified xsi:type="dcterms:W3CDTF">2024-11-26T12:58:00Z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