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tblLayout w:type="fixed"/>
        <w:tblLook w:val="000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3D238B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1905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blPrEx>
          <w:tblCellMar>
            <w:top w:w="0" w:type="dxa"/>
            <w:bottom w:w="0" w:type="dxa"/>
          </w:tblCellMar>
        </w:tblPrEx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6C62D4" w:rsidP="006C62D4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6C62D4">
              <w:rPr>
                <w:rFonts w:ascii="Arial" w:hAnsi="Arial" w:cs="Arial"/>
                <w:sz w:val="32"/>
                <w:lang w:val="es-ES"/>
              </w:rPr>
              <w:t>Dubai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>0</w:t>
            </w:r>
            <w:r w:rsidRPr="006C62D4">
              <w:rPr>
                <w:rFonts w:ascii="Arial" w:hAnsi="Arial" w:cs="Arial"/>
                <w:sz w:val="32"/>
                <w:lang w:val="es-ES"/>
              </w:rPr>
              <w:t>-29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>
              <w:rPr>
                <w:rFonts w:ascii="Arial" w:hAnsi="Arial" w:cs="Arial"/>
                <w:sz w:val="32"/>
                <w:lang w:val="es-ES"/>
              </w:rPr>
              <w:t>noviembre de 2012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blPrEx>
          <w:tblCellMar>
            <w:top w:w="0" w:type="dxa"/>
            <w:bottom w:w="0" w:type="dxa"/>
          </w:tblCellMar>
        </w:tblPrEx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427DF1" w:rsidRDefault="004F1EA7" w:rsidP="003D238B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27DF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3D238B">
              <w:rPr>
                <w:rFonts w:ascii="Arial" w:hAnsi="Arial" w:cs="Arial"/>
                <w:b/>
                <w:bCs/>
                <w:sz w:val="36"/>
                <w:szCs w:val="36"/>
              </w:rPr>
              <w:t>47</w:t>
            </w:r>
            <w:r w:rsidRPr="00427DF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– </w:t>
            </w:r>
            <w:r w:rsidR="003D238B" w:rsidRPr="003D238B">
              <w:rPr>
                <w:rFonts w:ascii="Arial" w:hAnsi="Arial" w:cs="Arial"/>
                <w:b/>
                <w:bCs/>
                <w:sz w:val="36"/>
                <w:szCs w:val="36"/>
              </w:rPr>
              <w:t>Nombres de dominio de nivel superior de código de país</w:t>
            </w:r>
          </w:p>
        </w:tc>
      </w:tr>
      <w:bookmarkEnd w:id="3"/>
      <w:tr w:rsidR="00FB6D55" w:rsidRPr="003518D5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B6D55" w:rsidRPr="003518D5" w:rsidRDefault="00FB6D55" w:rsidP="004F1EA7">
            <w:pPr>
              <w:tabs>
                <w:tab w:val="right" w:pos="9639"/>
              </w:tabs>
              <w:spacing w:before="60" w:after="240"/>
              <w:jc w:val="left"/>
              <w:rPr>
                <w:rFonts w:ascii="Arial" w:hAnsi="Arial" w:cs="Arial"/>
                <w:sz w:val="32"/>
              </w:rPr>
            </w:pPr>
            <w:bookmarkStart w:id="4" w:name="dnum2s"/>
            <w:bookmarkEnd w:id="4"/>
          </w:p>
        </w:tc>
      </w:tr>
    </w:tbl>
    <w:p w:rsidR="00FB6D55" w:rsidRPr="003518D5" w:rsidRDefault="003D238B">
      <w:pPr>
        <w:spacing w:before="240"/>
        <w:jc w:val="right"/>
      </w:pPr>
      <w:r>
        <w:rPr>
          <w:noProof/>
          <w:lang w:val="en-US"/>
        </w:rPr>
        <w:drawing>
          <wp:inline distT="0" distB="0" distL="0" distR="0">
            <wp:extent cx="668020" cy="747395"/>
            <wp:effectExtent l="19050" t="0" r="0" b="0"/>
            <wp:docPr id="1" name="Picture 24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2D4" w:rsidRPr="00AC4414" w:rsidRDefault="00FB6D55" w:rsidP="006C62D4">
      <w:pPr>
        <w:spacing w:before="480" w:line="240" w:lineRule="exact"/>
        <w:jc w:val="center"/>
        <w:rPr>
          <w:szCs w:val="22"/>
        </w:rPr>
      </w:pPr>
      <w:r w:rsidRPr="003518D5">
        <w:rPr>
          <w:sz w:val="20"/>
        </w:rPr>
        <w:br w:type="page"/>
      </w:r>
      <w:bookmarkStart w:id="5" w:name="c2tops"/>
      <w:bookmarkEnd w:id="5"/>
      <w:r w:rsidR="006C62D4" w:rsidRPr="00AC4414">
        <w:rPr>
          <w:szCs w:val="22"/>
        </w:rPr>
        <w:lastRenderedPageBreak/>
        <w:t>PREFACIO</w:t>
      </w:r>
    </w:p>
    <w:p w:rsidR="006C62D4" w:rsidRDefault="006C62D4" w:rsidP="006C62D4">
      <w:pPr>
        <w:pStyle w:val="Normalaftertitle"/>
        <w:spacing w:line="240" w:lineRule="exact"/>
        <w:rPr>
          <w:sz w:val="20"/>
        </w:rPr>
      </w:pPr>
      <w:r>
        <w:rPr>
          <w:sz w:val="20"/>
        </w:rPr>
        <w:t>La UIT (Unión Internacional de Telecomunicaciones) es el organismo especializado de las Naciones Unidas en el campo de las telecomunicaciones. El UIT-T (Sector de Normalización de las Telecomunicaciones de la UIT)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6C62D4" w:rsidRDefault="006C62D4" w:rsidP="006C62D4">
      <w:pPr>
        <w:spacing w:line="240" w:lineRule="exact"/>
        <w:rPr>
          <w:sz w:val="20"/>
        </w:rPr>
      </w:pPr>
      <w:bookmarkStart w:id="6" w:name="iitexts"/>
      <w:r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>
        <w:rPr>
          <w:sz w:val="20"/>
        </w:rPr>
        <w:noBreakHyphen/>
        <w:t>T, que a su vez producen Recomendaciones sobre dichos temas.</w:t>
      </w:r>
    </w:p>
    <w:p w:rsidR="006C62D4" w:rsidRDefault="006C62D4" w:rsidP="006C62D4">
      <w:pPr>
        <w:spacing w:line="240" w:lineRule="exact"/>
        <w:rPr>
          <w:sz w:val="20"/>
        </w:rPr>
      </w:pPr>
      <w:r>
        <w:rPr>
          <w:sz w:val="20"/>
        </w:rPr>
        <w:t>La aprobación de Recomendaciones por los Miembros del UIT</w:t>
      </w:r>
      <w:r>
        <w:rPr>
          <w:sz w:val="20"/>
        </w:rPr>
        <w:noBreakHyphen/>
        <w:t>T es el objeto del procedimiento establecido en la Resolución 1 de la AMNT</w:t>
      </w:r>
      <w:bookmarkEnd w:id="6"/>
      <w:r>
        <w:rPr>
          <w:sz w:val="20"/>
        </w:rPr>
        <w:t>.</w:t>
      </w:r>
    </w:p>
    <w:p w:rsidR="006C62D4" w:rsidRPr="00143DCC" w:rsidRDefault="006C62D4" w:rsidP="006C62D4">
      <w:pPr>
        <w:spacing w:line="240" w:lineRule="exact"/>
        <w:rPr>
          <w:sz w:val="20"/>
        </w:rPr>
      </w:pPr>
      <w:r>
        <w:rPr>
          <w:sz w:val="20"/>
        </w:rPr>
        <w:t>En ciertos sectores de la tecnología de la información que corresponden a la esfera de competencia del UIT</w:t>
      </w:r>
      <w:r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3518D5" w:rsidRDefault="00C2286E" w:rsidP="00C2286E">
      <w:pPr>
        <w:jc w:val="center"/>
      </w:pPr>
      <w:r w:rsidRPr="003518D5">
        <w:rPr>
          <w:rFonts w:ascii="Symbol" w:hAnsi="Symbol"/>
        </w:rPr>
        <w:t></w:t>
      </w:r>
      <w:r w:rsidRPr="003518D5">
        <w:t>  UIT  </w:t>
      </w:r>
      <w:bookmarkStart w:id="7" w:name="iiannes"/>
      <w:bookmarkEnd w:id="7"/>
      <w:r w:rsidR="006C62D4">
        <w:t>2013</w:t>
      </w:r>
    </w:p>
    <w:p w:rsidR="00C2286E" w:rsidRPr="003518D5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</w:pPr>
      <w:r w:rsidRPr="003518D5"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ectPr w:rsidR="00FB6D55" w:rsidRPr="003518D5" w:rsidSect="00862C3A">
          <w:pgSz w:w="11907" w:h="16840" w:code="9"/>
          <w:pgMar w:top="1077" w:right="1077" w:bottom="284" w:left="1077" w:header="284" w:footer="567" w:gutter="0"/>
          <w:paperSrc w:first="15" w:other="15"/>
          <w:pgNumType w:start="1"/>
          <w:cols w:space="720"/>
        </w:sectPr>
      </w:pPr>
    </w:p>
    <w:p w:rsidR="002A4E5E" w:rsidRDefault="002A4E5E" w:rsidP="002A4E5E">
      <w:bookmarkStart w:id="8" w:name="irecnos"/>
      <w:bookmarkEnd w:id="8"/>
    </w:p>
    <w:p w:rsidR="003D238B" w:rsidRPr="003D238B" w:rsidRDefault="003D238B" w:rsidP="003D238B">
      <w:pPr>
        <w:pStyle w:val="ResNo"/>
        <w:jc w:val="center"/>
        <w:rPr>
          <w:b w:val="0"/>
        </w:rPr>
      </w:pPr>
      <w:r w:rsidRPr="003D238B">
        <w:rPr>
          <w:b w:val="0"/>
        </w:rPr>
        <w:t xml:space="preserve">RESOLUCIÓN </w:t>
      </w:r>
      <w:r w:rsidRPr="003D238B">
        <w:rPr>
          <w:rStyle w:val="href"/>
          <w:b w:val="0"/>
        </w:rPr>
        <w:t>47</w:t>
      </w:r>
      <w:r w:rsidRPr="003D238B">
        <w:rPr>
          <w:b w:val="0"/>
        </w:rPr>
        <w:t xml:space="preserve"> (</w:t>
      </w:r>
      <w:r w:rsidRPr="003D238B">
        <w:rPr>
          <w:b w:val="0"/>
          <w:caps/>
        </w:rPr>
        <w:t>Rev</w:t>
      </w:r>
      <w:r w:rsidRPr="003D238B">
        <w:rPr>
          <w:b w:val="0"/>
        </w:rPr>
        <w:t xml:space="preserve">. </w:t>
      </w:r>
      <w:r w:rsidRPr="003D238B">
        <w:rPr>
          <w:b w:val="0"/>
          <w:caps/>
        </w:rPr>
        <w:t>Dubai</w:t>
      </w:r>
      <w:r w:rsidRPr="003D238B">
        <w:rPr>
          <w:b w:val="0"/>
        </w:rPr>
        <w:t>, 2012)</w:t>
      </w:r>
    </w:p>
    <w:p w:rsidR="003D238B" w:rsidRPr="00DF63DF" w:rsidRDefault="003D238B" w:rsidP="003D238B">
      <w:pPr>
        <w:pStyle w:val="Restitle"/>
      </w:pPr>
      <w:r w:rsidRPr="00DF63DF">
        <w:t>Nombres de dominio de nivel superior de código de país</w:t>
      </w:r>
    </w:p>
    <w:p w:rsidR="003D238B" w:rsidRPr="00DF63DF" w:rsidRDefault="003D238B" w:rsidP="003D238B">
      <w:pPr>
        <w:pStyle w:val="Resref"/>
        <w:rPr>
          <w:i w:val="0"/>
          <w:iCs/>
        </w:rPr>
      </w:pPr>
      <w:r w:rsidRPr="00DF63DF">
        <w:rPr>
          <w:iCs/>
        </w:rPr>
        <w:t>(Florianópolis, 2004; Johannesburgo, 2008; Dubai, 2012)</w:t>
      </w:r>
    </w:p>
    <w:p w:rsidR="003D238B" w:rsidRPr="00DF63DF" w:rsidRDefault="003D238B" w:rsidP="003D238B">
      <w:pPr>
        <w:pStyle w:val="Normalaftertitle0"/>
        <w:rPr>
          <w:lang w:val="es-ES_tradnl"/>
        </w:rPr>
      </w:pPr>
      <w:r w:rsidRPr="00DF63DF">
        <w:rPr>
          <w:lang w:val="es-ES_tradnl"/>
        </w:rPr>
        <w:t>La Asamblea Mundial de Normalización de las Telecomunicaciones (Dubai, 2012),</w:t>
      </w:r>
    </w:p>
    <w:p w:rsidR="003D238B" w:rsidRPr="00DF63DF" w:rsidRDefault="003D238B" w:rsidP="003D238B">
      <w:pPr>
        <w:pStyle w:val="Call"/>
      </w:pPr>
      <w:r w:rsidRPr="00DF63DF">
        <w:t>reconociendo</w:t>
      </w:r>
    </w:p>
    <w:p w:rsidR="003D238B" w:rsidRPr="00DF63DF" w:rsidRDefault="003D238B" w:rsidP="003D238B">
      <w:r w:rsidRPr="00DF63DF">
        <w:rPr>
          <w:i/>
          <w:iCs/>
        </w:rPr>
        <w:t>a)</w:t>
      </w:r>
      <w:r w:rsidRPr="00DF63DF">
        <w:tab/>
        <w:t>las partes pertinentes de la Resolución 102 (Rev. Guadalajara, 2010) de la Conferencia de Plenipotenciarios;</w:t>
      </w:r>
    </w:p>
    <w:p w:rsidR="003D238B" w:rsidRPr="00DF63DF" w:rsidRDefault="003D238B" w:rsidP="003D238B">
      <w:r w:rsidRPr="00DF63DF">
        <w:rPr>
          <w:i/>
          <w:iCs/>
        </w:rPr>
        <w:t>b)</w:t>
      </w:r>
      <w:r w:rsidRPr="00DF63DF">
        <w:tab/>
        <w:t>la Resolución 133 (Rev. Guadalajara, 2010) de la Conferencia de Plenipotenciarios;</w:t>
      </w:r>
    </w:p>
    <w:p w:rsidR="003D238B" w:rsidRPr="00DF63DF" w:rsidRDefault="003D238B" w:rsidP="003D238B">
      <w:r w:rsidRPr="00DF63DF">
        <w:rPr>
          <w:i/>
          <w:iCs/>
        </w:rPr>
        <w:t>c)</w:t>
      </w:r>
      <w:r w:rsidRPr="00DF63DF">
        <w:tab/>
        <w:t>los resultados pertinentes de las dos fases de la Cumbre Mundial sobre la Sociedad de la Información (CMSI);</w:t>
      </w:r>
    </w:p>
    <w:p w:rsidR="003D238B" w:rsidRPr="00DF63DF" w:rsidRDefault="003D238B" w:rsidP="003D238B">
      <w:r w:rsidRPr="00DF63DF">
        <w:rPr>
          <w:i/>
          <w:iCs/>
        </w:rPr>
        <w:t>d)</w:t>
      </w:r>
      <w:r w:rsidRPr="00DF63DF">
        <w:tab/>
        <w:t>la evolución del papel que desempeña la Asamblea Mundial de Normalización de las Tele</w:t>
      </w:r>
      <w:r w:rsidRPr="00DF63DF">
        <w:softHyphen/>
        <w:t>comunicaciones (AMNT), de acuerdo con la Resolución 122 (Rev. Guadalajara, 2010) de la Conferencia de Plenipotenciarios,</w:t>
      </w:r>
    </w:p>
    <w:p w:rsidR="003D238B" w:rsidRPr="000D6C66" w:rsidRDefault="003D238B" w:rsidP="003D238B">
      <w:pPr>
        <w:pStyle w:val="Call"/>
      </w:pPr>
      <w:r w:rsidRPr="000D6C66">
        <w:t>considerando</w:t>
      </w:r>
    </w:p>
    <w:p w:rsidR="003D238B" w:rsidRPr="00DF63DF" w:rsidRDefault="003D238B" w:rsidP="003D238B">
      <w:r w:rsidRPr="00DF63DF">
        <w:rPr>
          <w:i/>
          <w:iCs/>
        </w:rPr>
        <w:t>a)</w:t>
      </w:r>
      <w:r w:rsidRPr="00DF63DF">
        <w:tab/>
        <w:t>que sigue habiendo en ciertos casos cuestiones pendientes en lo que atañe a la delegación de nombres de Dominio de nivel superior de código de país (ccTLD) a entidades designadas por las autoridades nacionales;</w:t>
      </w:r>
    </w:p>
    <w:p w:rsidR="003D238B" w:rsidRPr="00DF63DF" w:rsidRDefault="003D238B" w:rsidP="003D238B">
      <w:r w:rsidRPr="00DF63DF">
        <w:rPr>
          <w:i/>
          <w:iCs/>
        </w:rPr>
        <w:t>b)</w:t>
      </w:r>
      <w:r w:rsidRPr="00DF63DF">
        <w:tab/>
        <w:t xml:space="preserve">que los Estados Miembros representan los intereses de la población del país o territorio para el que se ha delegado un ccTLD, según se indica en el </w:t>
      </w:r>
      <w:r w:rsidRPr="00DF63DF">
        <w:rPr>
          <w:i/>
          <w:iCs/>
        </w:rPr>
        <w:t>reconociendo g)</w:t>
      </w:r>
      <w:r w:rsidRPr="00DF63DF">
        <w:t xml:space="preserve"> de la Resolución 102 (Rev. Guadalajara, 2010);</w:t>
      </w:r>
    </w:p>
    <w:p w:rsidR="003D238B" w:rsidRPr="00DF63DF" w:rsidRDefault="003D238B" w:rsidP="003D238B">
      <w:r w:rsidRPr="00DF63DF">
        <w:rPr>
          <w:i/>
          <w:iCs/>
        </w:rPr>
        <w:t>c)</w:t>
      </w:r>
      <w:r w:rsidRPr="00DF63DF">
        <w:tab/>
        <w:t xml:space="preserve">que los países no deberían involucrarse en las decisiones relativas a los ccTLD de otros países, según se indica en el </w:t>
      </w:r>
      <w:r w:rsidRPr="00DF63DF">
        <w:rPr>
          <w:i/>
          <w:iCs/>
        </w:rPr>
        <w:t>reconociendo i)</w:t>
      </w:r>
      <w:r w:rsidRPr="00DF63DF">
        <w:t xml:space="preserve"> de la Resolución 102 (Rev. Guadalajara, 2010);</w:t>
      </w:r>
    </w:p>
    <w:p w:rsidR="003D238B" w:rsidRPr="00DF63DF" w:rsidRDefault="003D238B" w:rsidP="003D238B">
      <w:r w:rsidRPr="00DF63DF">
        <w:rPr>
          <w:i/>
          <w:iCs/>
        </w:rPr>
        <w:t>d)</w:t>
      </w:r>
      <w:r w:rsidRPr="00DF63DF">
        <w:tab/>
        <w:t>que las organizaciones intergubernamentales han desempeñado y deben seguir desempeñando una función propiciadora en lo que respecta a la coordinación de los temas de política pública relacionados con Internet;</w:t>
      </w:r>
    </w:p>
    <w:p w:rsidR="003D238B" w:rsidRPr="00DF63DF" w:rsidRDefault="003D238B" w:rsidP="003D238B">
      <w:r w:rsidRPr="00DF63DF">
        <w:rPr>
          <w:i/>
          <w:iCs/>
        </w:rPr>
        <w:t>e)</w:t>
      </w:r>
      <w:r w:rsidRPr="00DF63DF">
        <w:tab/>
        <w:t>que las organizaciones internacionales también han desempeñado y deben seguir desempeñando un importante papel en lo que atañe a la elaboración de normas técnicas relacionadas con Internet y de políticas pertinentes;</w:t>
      </w:r>
    </w:p>
    <w:p w:rsidR="003D238B" w:rsidRPr="00DF63DF" w:rsidRDefault="003D238B" w:rsidP="003D238B">
      <w:r w:rsidRPr="00DF63DF">
        <w:rPr>
          <w:i/>
          <w:iCs/>
        </w:rPr>
        <w:t>f)</w:t>
      </w:r>
      <w:r w:rsidRPr="00DF63DF">
        <w:tab/>
        <w:t>que la UIT tiene un historial de éxitos en la solución de cuestiones similares,</w:t>
      </w:r>
    </w:p>
    <w:p w:rsidR="003D238B" w:rsidRPr="00DF63DF" w:rsidRDefault="003D238B" w:rsidP="003D238B">
      <w:pPr>
        <w:pStyle w:val="Call"/>
      </w:pPr>
      <w:r w:rsidRPr="00DF63DF">
        <w:t>encarga a la Comisión de Estudio 2 del UIT</w:t>
      </w:r>
      <w:r w:rsidRPr="00DF63DF">
        <w:noBreakHyphen/>
        <w:t>T</w:t>
      </w:r>
    </w:p>
    <w:p w:rsidR="003D238B" w:rsidRDefault="003D238B" w:rsidP="003D238B">
      <w:r w:rsidRPr="00DF63DF">
        <w:t>que prosiga sus estudios, y colabore con los Estados Miembros y los Miembros de Sector, en sus papeles respectivos, reconociendo las actividades de otras entidades adecuadas, a fin de examinar las experiencias de los Estados Miembros en el ámbito los ccTLD,</w:t>
      </w:r>
    </w:p>
    <w:p w:rsidR="003D238B" w:rsidRDefault="003D238B" w:rsidP="003D238B">
      <w:r>
        <w:br w:type="page"/>
      </w:r>
    </w:p>
    <w:p w:rsidR="003D238B" w:rsidRPr="00DF63DF" w:rsidRDefault="003D238B" w:rsidP="003D238B">
      <w:pPr>
        <w:pStyle w:val="Call"/>
      </w:pPr>
      <w:r w:rsidRPr="00DF63DF">
        <w:t>encarga al Director de la Oficina de Normalización de las Telecomunicaciones</w:t>
      </w:r>
    </w:p>
    <w:p w:rsidR="003D238B" w:rsidRPr="00DF63DF" w:rsidRDefault="003D238B" w:rsidP="003D238B">
      <w:pPr>
        <w:keepNext/>
        <w:keepLines/>
      </w:pPr>
      <w:r w:rsidRPr="00DF63DF">
        <w:t>que tome las medidas adecuadas para facilitar lo que antecede y presente un informe anual al Consejo de la UIT sobre los progresos logrados en este ámbito,</w:t>
      </w:r>
    </w:p>
    <w:p w:rsidR="003D238B" w:rsidRPr="00DF63DF" w:rsidRDefault="003D238B" w:rsidP="003D238B">
      <w:pPr>
        <w:pStyle w:val="Call"/>
      </w:pPr>
      <w:r w:rsidRPr="00DF63DF">
        <w:t>invita a los Estados Miembros</w:t>
      </w:r>
    </w:p>
    <w:p w:rsidR="003D238B" w:rsidRPr="00DF63DF" w:rsidRDefault="003D238B" w:rsidP="003D238B">
      <w:r w:rsidRPr="00DF63DF">
        <w:t>a aportar su contribución a estas actividades,</w:t>
      </w:r>
    </w:p>
    <w:p w:rsidR="003D238B" w:rsidRPr="00DF63DF" w:rsidRDefault="003D238B" w:rsidP="003D238B">
      <w:pPr>
        <w:pStyle w:val="Call"/>
      </w:pPr>
      <w:r w:rsidRPr="00DF63DF">
        <w:t>invita asimismo a los Estados Miembros</w:t>
      </w:r>
    </w:p>
    <w:p w:rsidR="003D238B" w:rsidRDefault="003D238B" w:rsidP="003D238B">
      <w:r w:rsidRPr="00DF63DF">
        <w:t>a tomar las medidas adecuadas, con sujeción a sus marcos jurídicos nacionales, para garantizar que se resuelven las cuestiones relacionadas con la delegación de Nombres de dominio de nivel superior de código de país.</w:t>
      </w:r>
    </w:p>
    <w:p w:rsidR="003D238B" w:rsidRDefault="003D238B" w:rsidP="003D238B"/>
    <w:p w:rsidR="00427DF1" w:rsidRDefault="00427DF1" w:rsidP="00427DF1"/>
    <w:p w:rsidR="00427DF1" w:rsidRDefault="00427DF1" w:rsidP="00427DF1"/>
    <w:p w:rsidR="00427DF1" w:rsidRDefault="00427DF1" w:rsidP="00427DF1"/>
    <w:p w:rsidR="00427DF1" w:rsidRDefault="00427DF1" w:rsidP="00427DF1"/>
    <w:p w:rsidR="00427DF1" w:rsidRDefault="00427DF1" w:rsidP="00427DF1"/>
    <w:p w:rsidR="00427DF1" w:rsidRDefault="00427DF1" w:rsidP="00427DF1"/>
    <w:p w:rsidR="00427DF1" w:rsidRDefault="00427DF1" w:rsidP="00427DF1"/>
    <w:p w:rsidR="00427DF1" w:rsidRDefault="00427DF1" w:rsidP="00427DF1"/>
    <w:p w:rsidR="00427DF1" w:rsidRPr="006F5DC8" w:rsidRDefault="00427DF1" w:rsidP="00427DF1"/>
    <w:p w:rsidR="00427DF1" w:rsidRPr="006F5DC8" w:rsidRDefault="00427DF1" w:rsidP="00427DF1">
      <w:pPr>
        <w:pStyle w:val="Reasons"/>
        <w:rPr>
          <w:lang w:val="es-ES_tradnl"/>
        </w:rPr>
      </w:pPr>
    </w:p>
    <w:p w:rsidR="006C62D4" w:rsidRDefault="006C62D4" w:rsidP="00C87C51">
      <w:pPr>
        <w:spacing w:before="160" w:line="280" w:lineRule="exact"/>
      </w:pPr>
    </w:p>
    <w:p w:rsidR="003D238B" w:rsidRDefault="003D238B" w:rsidP="00C87C51">
      <w:pPr>
        <w:spacing w:before="160" w:line="280" w:lineRule="exact"/>
      </w:pPr>
    </w:p>
    <w:p w:rsidR="003D238B" w:rsidRDefault="003D238B" w:rsidP="00C87C51">
      <w:pPr>
        <w:spacing w:before="160" w:line="280" w:lineRule="exact"/>
      </w:pPr>
    </w:p>
    <w:p w:rsidR="003D238B" w:rsidRDefault="003D238B" w:rsidP="00C87C51">
      <w:pPr>
        <w:spacing w:before="160" w:line="280" w:lineRule="exact"/>
      </w:pPr>
    </w:p>
    <w:sectPr w:rsidR="003D238B" w:rsidSect="00DB1EE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vAlign w:val="both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27C" w:rsidRDefault="00D7227C">
      <w:r>
        <w:separator/>
      </w:r>
    </w:p>
  </w:endnote>
  <w:endnote w:type="continuationSeparator" w:id="0">
    <w:p w:rsidR="00D7227C" w:rsidRDefault="00D7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D" w:rsidRDefault="00877E7D" w:rsidP="00877E7D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3D238B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-12 –</w:t>
    </w:r>
    <w:r>
      <w:rPr>
        <w:lang w:val="es-ES"/>
      </w:rPr>
      <w:t xml:space="preserve"> </w:t>
    </w:r>
    <w:r w:rsidRPr="00877E7D">
      <w:rPr>
        <w:lang w:val="es-ES"/>
      </w:rPr>
      <w:t xml:space="preserve">Resolución </w:t>
    </w:r>
    <w:r w:rsidR="003D238B">
      <w:rPr>
        <w:lang w:val="en-US"/>
      </w:rPr>
      <w:t>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D" w:rsidRPr="00877E7D" w:rsidRDefault="00877E7D" w:rsidP="00877E7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Resolución </w:t>
    </w:r>
    <w:r w:rsidR="003D238B">
      <w:rPr>
        <w:lang w:val="en-US"/>
      </w:rPr>
      <w:t>47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3D238B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27C" w:rsidRDefault="00D7227C">
      <w:r>
        <w:t>____________________</w:t>
      </w:r>
    </w:p>
  </w:footnote>
  <w:footnote w:type="continuationSeparator" w:id="0">
    <w:p w:rsidR="00D7227C" w:rsidRDefault="00D7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26" w:rsidRPr="00D075E1" w:rsidRDefault="006D0F26" w:rsidP="00D075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6D55"/>
    <w:rsid w:val="000040EB"/>
    <w:rsid w:val="00011D16"/>
    <w:rsid w:val="00021556"/>
    <w:rsid w:val="00044B4D"/>
    <w:rsid w:val="00065BE4"/>
    <w:rsid w:val="00082EA6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2260"/>
    <w:rsid w:val="0021547F"/>
    <w:rsid w:val="00217CDB"/>
    <w:rsid w:val="00241D6F"/>
    <w:rsid w:val="00245661"/>
    <w:rsid w:val="00256525"/>
    <w:rsid w:val="00256F54"/>
    <w:rsid w:val="0029052C"/>
    <w:rsid w:val="00295585"/>
    <w:rsid w:val="002A4E5E"/>
    <w:rsid w:val="00315C1E"/>
    <w:rsid w:val="003518D5"/>
    <w:rsid w:val="00372B66"/>
    <w:rsid w:val="00377687"/>
    <w:rsid w:val="003C2D00"/>
    <w:rsid w:val="003D238B"/>
    <w:rsid w:val="003E33A8"/>
    <w:rsid w:val="003F0680"/>
    <w:rsid w:val="00400600"/>
    <w:rsid w:val="00427DF1"/>
    <w:rsid w:val="004442F6"/>
    <w:rsid w:val="00466E41"/>
    <w:rsid w:val="004F1EA7"/>
    <w:rsid w:val="0052251F"/>
    <w:rsid w:val="005330B1"/>
    <w:rsid w:val="005428C5"/>
    <w:rsid w:val="005435AA"/>
    <w:rsid w:val="0055021E"/>
    <w:rsid w:val="00585ED1"/>
    <w:rsid w:val="005A4F08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E43AB"/>
    <w:rsid w:val="006F5455"/>
    <w:rsid w:val="007057EE"/>
    <w:rsid w:val="00712378"/>
    <w:rsid w:val="00743611"/>
    <w:rsid w:val="0079215F"/>
    <w:rsid w:val="007A0BE3"/>
    <w:rsid w:val="007B0D90"/>
    <w:rsid w:val="007C64E7"/>
    <w:rsid w:val="007C7F35"/>
    <w:rsid w:val="008222EF"/>
    <w:rsid w:val="00831A21"/>
    <w:rsid w:val="00841271"/>
    <w:rsid w:val="00862C3A"/>
    <w:rsid w:val="00877E7D"/>
    <w:rsid w:val="00892A35"/>
    <w:rsid w:val="00896AAF"/>
    <w:rsid w:val="008B2002"/>
    <w:rsid w:val="008C6F85"/>
    <w:rsid w:val="008D5D1B"/>
    <w:rsid w:val="008D6B1E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4ACC"/>
    <w:rsid w:val="00A048CE"/>
    <w:rsid w:val="00A054FD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D62D4"/>
    <w:rsid w:val="00AE5D2B"/>
    <w:rsid w:val="00B122C8"/>
    <w:rsid w:val="00B24C2D"/>
    <w:rsid w:val="00B31246"/>
    <w:rsid w:val="00B450BE"/>
    <w:rsid w:val="00B57627"/>
    <w:rsid w:val="00B61661"/>
    <w:rsid w:val="00B96F52"/>
    <w:rsid w:val="00BD5BF5"/>
    <w:rsid w:val="00BE0A5C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7227C"/>
    <w:rsid w:val="00D74EFE"/>
    <w:rsid w:val="00D9465C"/>
    <w:rsid w:val="00D962F2"/>
    <w:rsid w:val="00DB1EE7"/>
    <w:rsid w:val="00DC4B81"/>
    <w:rsid w:val="00DD71D5"/>
    <w:rsid w:val="00E16169"/>
    <w:rsid w:val="00E26A91"/>
    <w:rsid w:val="00E654F0"/>
    <w:rsid w:val="00E72AD0"/>
    <w:rsid w:val="00ED48FA"/>
    <w:rsid w:val="00EE233D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F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/>
    </w:rPr>
  </w:style>
  <w:style w:type="paragraph" w:styleId="Heading1">
    <w:name w:val="heading 1"/>
    <w:basedOn w:val="Normal"/>
    <w:next w:val="Normal"/>
    <w:qFormat/>
    <w:rsid w:val="00082EA6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  <w:rPr>
      <w:rFonts w:ascii="CG Times" w:hAnsi="CG Times"/>
      <w:sz w:val="24"/>
    </w:r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semiHidden/>
    <w:rsid w:val="00082EA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082EA6"/>
    <w:pPr>
      <w:spacing w:before="80"/>
    </w:p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uiPriority w:val="99"/>
    <w:rsid w:val="00082EA6"/>
    <w:pPr>
      <w:spacing w:before="80"/>
      <w:ind w:left="794" w:hanging="794"/>
    </w:pPr>
    <w:rPr>
      <w:rFonts w:ascii="CG Times" w:hAnsi="CG Times"/>
      <w:sz w:val="24"/>
    </w:r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  <w:sz w:val="24"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  <w:rPr>
      <w:rFonts w:ascii="CG Times" w:hAnsi="CG Times"/>
      <w:sz w:val="24"/>
    </w:r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CG Times" w:hAnsi="CG Times"/>
      <w:b/>
    </w:rPr>
  </w:style>
  <w:style w:type="paragraph" w:customStyle="1" w:styleId="Headingb">
    <w:name w:val="Heading_b"/>
    <w:basedOn w:val="Normal"/>
    <w:next w:val="Normal"/>
    <w:qFormat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="CG Times" w:hAnsi="CG Times"/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  <w:style w:type="paragraph" w:customStyle="1" w:styleId="AnnexNo">
    <w:name w:val="Annex_No"/>
    <w:basedOn w:val="Normal"/>
    <w:next w:val="Normal"/>
    <w:rsid w:val="002A4E5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val="en-GB"/>
    </w:rPr>
  </w:style>
  <w:style w:type="paragraph" w:customStyle="1" w:styleId="Annextitle">
    <w:name w:val="Annex_title"/>
    <w:basedOn w:val="Normal"/>
    <w:next w:val="Normal"/>
    <w:uiPriority w:val="99"/>
    <w:rsid w:val="002A4E5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Reasons">
    <w:name w:val="Reasons"/>
    <w:basedOn w:val="Normal"/>
    <w:qFormat/>
    <w:rsid w:val="00427DF1"/>
    <w:pPr>
      <w:tabs>
        <w:tab w:val="clear" w:pos="794"/>
        <w:tab w:val="clear" w:pos="1191"/>
        <w:tab w:val="left" w:pos="1134"/>
      </w:tabs>
      <w:jc w:val="left"/>
    </w:pPr>
    <w:rPr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A4E34-658D-4094-A266-FAD375DD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QPUBS</Template>
  <TotalTime>2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 </vt:lpstr>
    </vt:vector>
  </TitlesOfParts>
  <Company>ITU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 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Comisión de Estudio 2 del UIT-T</dc:creator>
  <cp:keywords>E.802,E,802</cp:keywords>
  <dc:description>Saved by MRG106308 at 10:22:31 on 06.12.2007</dc:description>
  <cp:lastModifiedBy>Brian</cp:lastModifiedBy>
  <cp:revision>2</cp:revision>
  <cp:lastPrinted>2007-10-18T07:42:00Z</cp:lastPrinted>
  <dcterms:created xsi:type="dcterms:W3CDTF">2013-04-25T14:11:00Z</dcterms:created>
  <dcterms:modified xsi:type="dcterms:W3CDTF">2013-04-25T14:11:00Z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