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C4735E">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8631C1">
        <w:rPr>
          <w:szCs w:val="52"/>
          <w:lang w:val="fr-CH"/>
        </w:rPr>
        <w:t>4</w:t>
      </w:r>
      <w:r w:rsidR="00C4735E">
        <w:rPr>
          <w:szCs w:val="52"/>
          <w:lang w:val="fr-CH"/>
        </w:rPr>
        <w:t>7</w:t>
      </w:r>
      <w:r w:rsidRPr="00135457">
        <w:rPr>
          <w:rFonts w:hint="cs"/>
          <w:szCs w:val="52"/>
          <w:rtl/>
          <w:lang w:val="fr-CH"/>
        </w:rPr>
        <w:t xml:space="preserve"> - </w:t>
      </w:r>
      <w:bookmarkStart w:id="4" w:name="_Toc219803542"/>
      <w:bookmarkStart w:id="5" w:name="_Toc349551582"/>
      <w:bookmarkEnd w:id="0"/>
      <w:bookmarkEnd w:id="1"/>
      <w:bookmarkEnd w:id="2"/>
      <w:bookmarkEnd w:id="3"/>
      <w:r w:rsidR="00C4735E" w:rsidRPr="00C4735E">
        <w:rPr>
          <w:rFonts w:hint="cs"/>
          <w:szCs w:val="52"/>
          <w:rtl/>
        </w:rPr>
        <w:t xml:space="preserve">أسماء ميادين المستوى الأعلى </w:t>
      </w:r>
      <w:r w:rsidR="00C4735E">
        <w:rPr>
          <w:szCs w:val="52"/>
        </w:rPr>
        <w:br/>
      </w:r>
      <w:r w:rsidR="00C4735E" w:rsidRPr="00C4735E">
        <w:rPr>
          <w:rFonts w:hint="cs"/>
          <w:szCs w:val="52"/>
          <w:rtl/>
        </w:rPr>
        <w:t>للرمز القطري</w:t>
      </w:r>
      <w:bookmarkEnd w:id="4"/>
      <w:bookmarkEnd w:id="5"/>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Pr>
      </w:pPr>
    </w:p>
    <w:p w:rsidR="00C4735E" w:rsidRDefault="00C4735E" w:rsidP="00645D39">
      <w:pPr>
        <w:spacing w:before="240"/>
        <w:rPr>
          <w:noProof/>
        </w:rPr>
      </w:pPr>
    </w:p>
    <w:p w:rsidR="00C4735E" w:rsidRDefault="00C4735E" w:rsidP="00645D39">
      <w:pPr>
        <w:spacing w:before="240"/>
        <w:rPr>
          <w:noProof/>
        </w:rPr>
      </w:pPr>
    </w:p>
    <w:p w:rsidR="00C4735E" w:rsidRDefault="00C4735E"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C4735E">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DA66ED">
        <w:rPr>
          <w:rStyle w:val="href"/>
        </w:rPr>
        <w:t>4</w:t>
      </w:r>
      <w:r w:rsidR="00C4735E">
        <w:rPr>
          <w:rStyle w:val="href"/>
        </w:rPr>
        <w:t>7</w:t>
      </w:r>
      <w:r w:rsidR="00B41E64">
        <w:rPr>
          <w:rStyle w:val="href"/>
          <w:rFonts w:hint="cs"/>
          <w:rtl/>
        </w:rPr>
        <w:t xml:space="preserve"> </w:t>
      </w:r>
      <w:r w:rsidR="00B41E64" w:rsidRPr="00C04E6F">
        <w:rPr>
          <w:rFonts w:hint="cs"/>
          <w:rtl/>
        </w:rPr>
        <w:t xml:space="preserve">(المراجَع في دبي، </w:t>
      </w:r>
      <w:r w:rsidR="00B41E64" w:rsidRPr="00C04E6F">
        <w:t>2012</w:t>
      </w:r>
      <w:r w:rsidR="00B41E64" w:rsidRPr="00C04E6F">
        <w:rPr>
          <w:rFonts w:hint="cs"/>
          <w:rtl/>
        </w:rPr>
        <w:t>)</w:t>
      </w:r>
      <w:bookmarkStart w:id="6" w:name="_GoBack"/>
      <w:bookmarkEnd w:id="6"/>
    </w:p>
    <w:p w:rsidR="00C4735E" w:rsidRDefault="00C4735E" w:rsidP="00C4735E">
      <w:pPr>
        <w:pStyle w:val="Restitle"/>
        <w:rPr>
          <w:rtl/>
        </w:rPr>
      </w:pPr>
      <w:r>
        <w:rPr>
          <w:rFonts w:hint="cs"/>
          <w:rtl/>
        </w:rPr>
        <w:t>أسماء ميادين المستوى الأعلى للرمز القطري</w:t>
      </w:r>
    </w:p>
    <w:p w:rsidR="00C4735E" w:rsidRDefault="00C4735E" w:rsidP="00C4735E">
      <w:pPr>
        <w:pStyle w:val="Resref"/>
        <w:rPr>
          <w:rtl/>
        </w:rPr>
      </w:pPr>
      <w:r w:rsidRPr="00CA2858">
        <w:rPr>
          <w:rFonts w:hint="cs"/>
          <w:rtl/>
        </w:rPr>
        <w:t xml:space="preserve">(فلوريانوبوليس، </w:t>
      </w:r>
      <w:r>
        <w:t>2004</w:t>
      </w:r>
      <w:r>
        <w:rPr>
          <w:rFonts w:hint="cs"/>
          <w:rtl/>
        </w:rPr>
        <w:t xml:space="preserve">؛ </w:t>
      </w:r>
      <w:r w:rsidRPr="0027580D">
        <w:rPr>
          <w:rFonts w:hint="cs"/>
          <w:rtl/>
        </w:rPr>
        <w:t>جوهانسبرغ</w:t>
      </w:r>
      <w:r>
        <w:rPr>
          <w:rFonts w:hint="cs"/>
          <w:rtl/>
        </w:rPr>
        <w:t xml:space="preserve">، </w:t>
      </w:r>
      <w:r>
        <w:t>2008</w:t>
      </w:r>
      <w:r>
        <w:rPr>
          <w:rFonts w:hint="cs"/>
          <w:rtl/>
        </w:rPr>
        <w:t xml:space="preserve">؛ دبي، </w:t>
      </w:r>
      <w:r w:rsidRPr="00715B3B">
        <w:t>2012</w:t>
      </w:r>
      <w:r w:rsidRPr="00CA2858">
        <w:rPr>
          <w:rFonts w:hint="cs"/>
          <w:rtl/>
        </w:rPr>
        <w:t>)</w:t>
      </w:r>
    </w:p>
    <w:p w:rsidR="00C4735E" w:rsidRDefault="00C4735E" w:rsidP="00C4735E">
      <w:pPr>
        <w:pStyle w:val="Normalaftertitle0"/>
        <w:spacing w:line="187" w:lineRule="auto"/>
        <w:rPr>
          <w:rtl/>
        </w:rPr>
      </w:pPr>
      <w:r>
        <w:rPr>
          <w:rFonts w:hint="cs"/>
          <w:rtl/>
        </w:rPr>
        <w:t xml:space="preserve">إن الجمعية العالمية لتقييس الاتصالات (دبي، </w:t>
      </w:r>
      <w:r>
        <w:t>2012</w:t>
      </w:r>
      <w:r>
        <w:rPr>
          <w:rFonts w:hint="cs"/>
          <w:rtl/>
        </w:rPr>
        <w:t>)،</w:t>
      </w:r>
    </w:p>
    <w:p w:rsidR="00C4735E" w:rsidRDefault="00C4735E" w:rsidP="00C4735E">
      <w:pPr>
        <w:pStyle w:val="Call"/>
        <w:rPr>
          <w:rtl/>
        </w:rPr>
      </w:pPr>
      <w:r>
        <w:rPr>
          <w:rFonts w:hint="cs"/>
          <w:rtl/>
        </w:rPr>
        <w:t>إذ تدرك</w:t>
      </w:r>
    </w:p>
    <w:p w:rsidR="00C4735E" w:rsidRDefault="00C4735E" w:rsidP="00C4735E">
      <w:pPr>
        <w:rPr>
          <w:rtl/>
        </w:rPr>
      </w:pPr>
      <w:r w:rsidRPr="00F57230">
        <w:rPr>
          <w:rFonts w:hint="cs"/>
          <w:i/>
          <w:iCs/>
          <w:rtl/>
        </w:rPr>
        <w:t xml:space="preserve"> أ )</w:t>
      </w:r>
      <w:r>
        <w:rPr>
          <w:rFonts w:hint="cs"/>
          <w:rtl/>
        </w:rPr>
        <w:tab/>
        <w:t xml:space="preserve">الأجزاء ذات الصلة من القرار </w:t>
      </w:r>
      <w:r>
        <w:t>102</w:t>
      </w:r>
      <w:r>
        <w:rPr>
          <w:rFonts w:hint="cs"/>
          <w:rtl/>
        </w:rPr>
        <w:t xml:space="preserve"> (المراجَع في غوادالاخارا، </w:t>
      </w:r>
      <w:r>
        <w:t>2010</w:t>
      </w:r>
      <w:r>
        <w:rPr>
          <w:rFonts w:hint="cs"/>
          <w:rtl/>
        </w:rPr>
        <w:t>) لمؤتمر المندوبين المفوضين؛</w:t>
      </w:r>
    </w:p>
    <w:p w:rsidR="00C4735E" w:rsidRDefault="00C4735E" w:rsidP="00C4735E">
      <w:pPr>
        <w:rPr>
          <w:rtl/>
        </w:rPr>
      </w:pPr>
      <w:r w:rsidRPr="00F57230">
        <w:rPr>
          <w:rFonts w:hint="cs"/>
          <w:i/>
          <w:iCs/>
          <w:rtl/>
        </w:rPr>
        <w:t>ب)</w:t>
      </w:r>
      <w:r>
        <w:rPr>
          <w:rFonts w:hint="cs"/>
          <w:rtl/>
        </w:rPr>
        <w:tab/>
        <w:t xml:space="preserve">القرار </w:t>
      </w:r>
      <w:r>
        <w:t>133</w:t>
      </w:r>
      <w:r>
        <w:rPr>
          <w:rFonts w:hint="cs"/>
          <w:rtl/>
        </w:rPr>
        <w:t xml:space="preserve"> (</w:t>
      </w:r>
      <w:r>
        <w:rPr>
          <w:rFonts w:hint="cs"/>
          <w:sz w:val="24"/>
          <w:szCs w:val="32"/>
          <w:rtl/>
        </w:rPr>
        <w:t>المراجَع</w:t>
      </w:r>
      <w:r>
        <w:rPr>
          <w:rFonts w:hint="cs"/>
          <w:rtl/>
        </w:rPr>
        <w:t xml:space="preserve"> في غوادالاخارا، </w:t>
      </w:r>
      <w:r>
        <w:t>2010</w:t>
      </w:r>
      <w:r>
        <w:rPr>
          <w:rFonts w:hint="cs"/>
          <w:rtl/>
        </w:rPr>
        <w:t>) لمؤتمر المندوبين المفوضين؛</w:t>
      </w:r>
    </w:p>
    <w:p w:rsidR="00C4735E" w:rsidRDefault="00C4735E" w:rsidP="00C4735E">
      <w:pPr>
        <w:rPr>
          <w:rtl/>
        </w:rPr>
      </w:pPr>
      <w:r w:rsidRPr="00F57230">
        <w:rPr>
          <w:rFonts w:hint="cs"/>
          <w:i/>
          <w:iCs/>
          <w:rtl/>
        </w:rPr>
        <w:t>ج)</w:t>
      </w:r>
      <w:r>
        <w:rPr>
          <w:rFonts w:hint="cs"/>
          <w:rtl/>
        </w:rPr>
        <w:tab/>
        <w:t>النواتج ذات الصلة لمرحلتي القمة العالمية لمجتمع المعلومات؛</w:t>
      </w:r>
    </w:p>
    <w:p w:rsidR="00C4735E" w:rsidRPr="00451DE5" w:rsidRDefault="00C4735E" w:rsidP="00C4735E">
      <w:pPr>
        <w:rPr>
          <w:rtl/>
          <w:lang w:bidi="ar-EG"/>
        </w:rPr>
      </w:pPr>
      <w:r w:rsidRPr="00451DE5">
        <w:rPr>
          <w:rFonts w:hint="cs"/>
          <w:i/>
          <w:iCs/>
          <w:rtl/>
        </w:rPr>
        <w:t>د )</w:t>
      </w:r>
      <w:r w:rsidRPr="00451DE5">
        <w:rPr>
          <w:rFonts w:hint="cs"/>
          <w:rtl/>
        </w:rPr>
        <w:tab/>
        <w:t xml:space="preserve">الدور المتطور للجمعية العالمية لتقييس الاتصالات وفقاً للقرار </w:t>
      </w:r>
      <w:r w:rsidRPr="00451DE5">
        <w:t>122</w:t>
      </w:r>
      <w:r w:rsidRPr="00451DE5">
        <w:rPr>
          <w:rFonts w:hint="cs"/>
          <w:rtl/>
        </w:rPr>
        <w:t xml:space="preserve"> (</w:t>
      </w:r>
      <w:r>
        <w:rPr>
          <w:rFonts w:hint="cs"/>
          <w:rtl/>
        </w:rPr>
        <w:t>المراجَع</w:t>
      </w:r>
      <w:r w:rsidRPr="00451DE5">
        <w:rPr>
          <w:rFonts w:hint="cs"/>
          <w:rtl/>
        </w:rPr>
        <w:t xml:space="preserve"> في غوادالاخارا، </w:t>
      </w:r>
      <w:r w:rsidRPr="00451DE5">
        <w:t>2010</w:t>
      </w:r>
      <w:r w:rsidRPr="00451DE5">
        <w:rPr>
          <w:rFonts w:hint="cs"/>
          <w:rtl/>
        </w:rPr>
        <w:t>) لمؤتمر</w:t>
      </w:r>
      <w:r>
        <w:rPr>
          <w:rFonts w:hint="cs"/>
          <w:rtl/>
        </w:rPr>
        <w:t xml:space="preserve"> </w:t>
      </w:r>
      <w:r w:rsidRPr="00451DE5">
        <w:rPr>
          <w:rFonts w:hint="cs"/>
          <w:rtl/>
        </w:rPr>
        <w:t>المندوبين</w:t>
      </w:r>
      <w:r>
        <w:rPr>
          <w:rFonts w:hint="eastAsia"/>
          <w:rtl/>
        </w:rPr>
        <w:t> </w:t>
      </w:r>
      <w:r w:rsidRPr="00451DE5">
        <w:rPr>
          <w:rFonts w:hint="cs"/>
          <w:rtl/>
        </w:rPr>
        <w:t>المفوضين،</w:t>
      </w:r>
    </w:p>
    <w:p w:rsidR="00C4735E" w:rsidRDefault="00C4735E" w:rsidP="00C4735E">
      <w:pPr>
        <w:pStyle w:val="Call"/>
        <w:rPr>
          <w:rtl/>
        </w:rPr>
      </w:pPr>
      <w:r>
        <w:rPr>
          <w:rFonts w:hint="cs"/>
          <w:rtl/>
        </w:rPr>
        <w:t>وإذ تضع في اعتبارها</w:t>
      </w:r>
    </w:p>
    <w:p w:rsidR="00C4735E" w:rsidRDefault="00C4735E" w:rsidP="00C4735E">
      <w:pPr>
        <w:spacing w:before="80" w:line="180" w:lineRule="auto"/>
        <w:rPr>
          <w:rtl/>
        </w:rPr>
      </w:pPr>
      <w:r w:rsidRPr="00F57230">
        <w:rPr>
          <w:rFonts w:hint="cs"/>
          <w:i/>
          <w:iCs/>
          <w:rtl/>
        </w:rPr>
        <w:t xml:space="preserve"> أ )</w:t>
      </w:r>
      <w:r>
        <w:rPr>
          <w:rFonts w:hint="cs"/>
          <w:rtl/>
        </w:rPr>
        <w:tab/>
        <w:t>أن القضايا لا تزال قائمة في بعض الحالات في صدد تفويض أسماء ميادين المستوى الأعلى للرمز القطري</w:t>
      </w:r>
      <w:r>
        <w:rPr>
          <w:rFonts w:hint="eastAsia"/>
          <w:rtl/>
        </w:rPr>
        <w:t> </w:t>
      </w:r>
      <w:r>
        <w:t>(ccTLD)</w:t>
      </w:r>
      <w:r>
        <w:rPr>
          <w:rFonts w:hint="cs"/>
          <w:rtl/>
        </w:rPr>
        <w:t xml:space="preserve"> لكيانات تعينها السلطات الوطنية؛</w:t>
      </w:r>
    </w:p>
    <w:p w:rsidR="00C4735E" w:rsidRDefault="00C4735E" w:rsidP="00C4735E">
      <w:pPr>
        <w:spacing w:before="80" w:line="180" w:lineRule="auto"/>
        <w:rPr>
          <w:rtl/>
        </w:rPr>
      </w:pPr>
      <w:r w:rsidRPr="00F57230">
        <w:rPr>
          <w:rFonts w:hint="cs"/>
          <w:i/>
          <w:iCs/>
          <w:rtl/>
        </w:rPr>
        <w:t>ب)</w:t>
      </w:r>
      <w:r>
        <w:rPr>
          <w:rFonts w:hint="cs"/>
          <w:rtl/>
        </w:rPr>
        <w:tab/>
      </w:r>
      <w:r w:rsidRPr="002211AF">
        <w:rPr>
          <w:rtl/>
        </w:rPr>
        <w:t xml:space="preserve">أن الدول الأعضاء تمثل مصالح سكان البلد </w:t>
      </w:r>
      <w:r>
        <w:rPr>
          <w:rtl/>
        </w:rPr>
        <w:t>أو </w:t>
      </w:r>
      <w:r w:rsidRPr="002211AF">
        <w:rPr>
          <w:rtl/>
        </w:rPr>
        <w:t xml:space="preserve">الأراضي التي فوَّضت لها </w:t>
      </w:r>
      <w:r>
        <w:rPr>
          <w:rtl/>
        </w:rPr>
        <w:t xml:space="preserve">أسماء ميادين قطرية </w:t>
      </w:r>
      <w:r>
        <w:rPr>
          <w:rFonts w:hint="cs"/>
          <w:rtl/>
        </w:rPr>
        <w:t>من</w:t>
      </w:r>
      <w:r>
        <w:rPr>
          <w:rtl/>
        </w:rPr>
        <w:t xml:space="preserve"> </w:t>
      </w:r>
      <w:r>
        <w:rPr>
          <w:rFonts w:hint="cs"/>
          <w:rtl/>
        </w:rPr>
        <w:t>ال</w:t>
      </w:r>
      <w:r>
        <w:rPr>
          <w:rtl/>
        </w:rPr>
        <w:t xml:space="preserve">مستوى </w:t>
      </w:r>
      <w:r>
        <w:rPr>
          <w:rFonts w:hint="cs"/>
          <w:rtl/>
        </w:rPr>
        <w:t>الأ</w:t>
      </w:r>
      <w:r>
        <w:rPr>
          <w:rtl/>
        </w:rPr>
        <w:t>على</w:t>
      </w:r>
      <w:r>
        <w:rPr>
          <w:rFonts w:hint="cs"/>
          <w:rtl/>
        </w:rPr>
        <w:t xml:space="preserve"> وفقاً لما هو مبين في الفقرة </w:t>
      </w:r>
      <w:r w:rsidRPr="002A0397">
        <w:rPr>
          <w:rFonts w:hint="cs"/>
          <w:rtl/>
        </w:rPr>
        <w:t>"</w:t>
      </w:r>
      <w:r w:rsidRPr="00A03A37">
        <w:rPr>
          <w:rFonts w:hint="cs"/>
          <w:i/>
          <w:iCs/>
          <w:rtl/>
        </w:rPr>
        <w:t>وإذ يدرك</w:t>
      </w:r>
      <w:r w:rsidRPr="007D48E4">
        <w:rPr>
          <w:rFonts w:hint="cs"/>
          <w:i/>
          <w:iCs/>
          <w:rtl/>
        </w:rPr>
        <w:t xml:space="preserve"> ز)</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rsidR="00C4735E" w:rsidRDefault="00C4735E" w:rsidP="00C4735E">
      <w:pPr>
        <w:spacing w:before="80" w:line="180" w:lineRule="auto"/>
      </w:pPr>
      <w:r w:rsidRPr="00F57230">
        <w:rPr>
          <w:rFonts w:hint="cs"/>
          <w:i/>
          <w:iCs/>
          <w:rtl/>
        </w:rPr>
        <w:t>ج)</w:t>
      </w:r>
      <w:r>
        <w:rPr>
          <w:rFonts w:hint="cs"/>
          <w:rtl/>
        </w:rPr>
        <w:tab/>
      </w:r>
      <w:r>
        <w:rPr>
          <w:rtl/>
        </w:rPr>
        <w:t>أن</w:t>
      </w:r>
      <w:r w:rsidRPr="002211AF">
        <w:rPr>
          <w:rtl/>
        </w:rPr>
        <w:t xml:space="preserve"> البلدان</w:t>
      </w:r>
      <w:r>
        <w:rPr>
          <w:rFonts w:hint="cs"/>
          <w:rtl/>
        </w:rPr>
        <w:t xml:space="preserve"> ينبغي ألا تشارك</w:t>
      </w:r>
      <w:r w:rsidRPr="002211AF">
        <w:rPr>
          <w:rtl/>
        </w:rPr>
        <w:t xml:space="preserve"> </w:t>
      </w:r>
      <w:r>
        <w:rPr>
          <w:rtl/>
        </w:rPr>
        <w:t>في </w:t>
      </w:r>
      <w:r w:rsidRPr="002211AF">
        <w:rPr>
          <w:rtl/>
        </w:rPr>
        <w:t xml:space="preserve">القرارات المتعلقة </w:t>
      </w:r>
      <w:r>
        <w:rPr>
          <w:rtl/>
        </w:rPr>
        <w:t>ب</w:t>
      </w:r>
      <w:r w:rsidRPr="002211AF">
        <w:rPr>
          <w:rtl/>
        </w:rPr>
        <w:t xml:space="preserve">أسماء </w:t>
      </w:r>
      <w:r>
        <w:rPr>
          <w:rtl/>
        </w:rPr>
        <w:t>ال</w:t>
      </w:r>
      <w:r w:rsidRPr="002211AF">
        <w:rPr>
          <w:rtl/>
        </w:rPr>
        <w:t xml:space="preserve">ميادين </w:t>
      </w:r>
      <w:r>
        <w:rPr>
          <w:rtl/>
        </w:rPr>
        <w:t xml:space="preserve">ذات </w:t>
      </w:r>
      <w:r w:rsidRPr="002211AF">
        <w:rPr>
          <w:rtl/>
        </w:rPr>
        <w:t>المستوى الأعلى لبلد آخر</w:t>
      </w:r>
      <w:r w:rsidRPr="00A03A37">
        <w:rPr>
          <w:rFonts w:hint="cs"/>
          <w:rtl/>
        </w:rPr>
        <w:t xml:space="preserve"> </w:t>
      </w:r>
      <w:r>
        <w:rPr>
          <w:rFonts w:hint="cs"/>
          <w:rtl/>
        </w:rPr>
        <w:t xml:space="preserve">وفقاً لما هو مبين في الفقرة </w:t>
      </w:r>
      <w:r w:rsidRPr="002A0397">
        <w:rPr>
          <w:rFonts w:hint="cs"/>
          <w:rtl/>
        </w:rPr>
        <w:t>"</w:t>
      </w:r>
      <w:r w:rsidRPr="00A03A37">
        <w:rPr>
          <w:rFonts w:hint="cs"/>
          <w:i/>
          <w:iCs/>
          <w:rtl/>
        </w:rPr>
        <w:t>وإذ يدرك</w:t>
      </w:r>
      <w:r>
        <w:rPr>
          <w:rFonts w:hint="cs"/>
          <w:i/>
          <w:iCs/>
          <w:rtl/>
        </w:rPr>
        <w:t xml:space="preserve"> ﻃ</w:t>
      </w:r>
      <w:r w:rsidRPr="007D48E4">
        <w:rPr>
          <w:rFonts w:hint="cs"/>
          <w:i/>
          <w:iCs/>
          <w:rtl/>
        </w:rPr>
        <w:t>)</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rsidR="00C4735E" w:rsidRDefault="00C4735E" w:rsidP="00C4735E">
      <w:pPr>
        <w:spacing w:before="80" w:line="180" w:lineRule="auto"/>
        <w:rPr>
          <w:rtl/>
        </w:rPr>
      </w:pPr>
      <w:r w:rsidRPr="00F57230">
        <w:rPr>
          <w:rFonts w:hint="cs"/>
          <w:i/>
          <w:iCs/>
          <w:sz w:val="24"/>
          <w:szCs w:val="32"/>
          <w:rtl/>
        </w:rPr>
        <w:t>د</w:t>
      </w:r>
      <w:r w:rsidRPr="00F57230">
        <w:rPr>
          <w:rFonts w:hint="cs"/>
          <w:i/>
          <w:iCs/>
          <w:rtl/>
        </w:rPr>
        <w:t xml:space="preserve"> )</w:t>
      </w:r>
      <w:r>
        <w:rPr>
          <w:rFonts w:hint="cs"/>
          <w:rtl/>
        </w:rPr>
        <w:tab/>
        <w:t>أن المنظمات الدولية الحكومية ظلت تؤدي دوراً في تسهيل تنسيق قضايا السياسة العامة المتصلة بالإنترنت وينبغي أن تواصل أداء هذا الدور؛</w:t>
      </w:r>
    </w:p>
    <w:p w:rsidR="00C4735E" w:rsidRDefault="00C4735E" w:rsidP="00C4735E">
      <w:pPr>
        <w:spacing w:before="80" w:line="180" w:lineRule="auto"/>
        <w:rPr>
          <w:rtl/>
        </w:rPr>
      </w:pPr>
      <w:r w:rsidRPr="00F57230">
        <w:rPr>
          <w:rFonts w:hint="cs"/>
          <w:i/>
          <w:iCs/>
          <w:sz w:val="24"/>
          <w:szCs w:val="32"/>
          <w:rtl/>
        </w:rPr>
        <w:t>ه</w:t>
      </w:r>
      <w:r w:rsidRPr="00F57230">
        <w:rPr>
          <w:rFonts w:hint="cs"/>
          <w:i/>
          <w:iCs/>
          <w:rtl/>
        </w:rPr>
        <w:t>‍ )</w:t>
      </w:r>
      <w:r>
        <w:rPr>
          <w:rFonts w:hint="cs"/>
          <w:rtl/>
        </w:rPr>
        <w:tab/>
        <w:t>أن المنظمات الدولية ظلت هي الأخرى تؤدي دوراً هاماً في تطوير المعايير التقنية والسياسات ذات الصلة بالإنترنت وينبغي أن تواصل أداء هذا الدور؛</w:t>
      </w:r>
    </w:p>
    <w:p w:rsidR="00C4735E" w:rsidRDefault="00C4735E" w:rsidP="00C4735E">
      <w:pPr>
        <w:spacing w:before="80" w:line="180" w:lineRule="auto"/>
        <w:rPr>
          <w:rtl/>
        </w:rPr>
      </w:pPr>
      <w:r w:rsidRPr="00F57230">
        <w:rPr>
          <w:rFonts w:hint="cs"/>
          <w:i/>
          <w:iCs/>
          <w:rtl/>
        </w:rPr>
        <w:t>و )</w:t>
      </w:r>
      <w:r>
        <w:rPr>
          <w:rFonts w:hint="cs"/>
          <w:rtl/>
        </w:rPr>
        <w:tab/>
        <w:t>أن سجل الاتحاد الدولي للاتصالات حافل بالنجاح في معالجة قضايا مشابهة،</w:t>
      </w:r>
    </w:p>
    <w:p w:rsidR="00C4735E" w:rsidRDefault="00C4735E" w:rsidP="00C4735E">
      <w:pPr>
        <w:pStyle w:val="Call"/>
        <w:rPr>
          <w:rtl/>
        </w:rPr>
      </w:pPr>
      <w:r>
        <w:rPr>
          <w:rFonts w:hint="cs"/>
          <w:rtl/>
        </w:rPr>
        <w:t xml:space="preserve">تكلف لجنة الدراسات </w:t>
      </w:r>
      <w:r>
        <w:t>2</w:t>
      </w:r>
      <w:r>
        <w:rPr>
          <w:rFonts w:hint="cs"/>
          <w:rtl/>
        </w:rPr>
        <w:t xml:space="preserve"> لقطاع تقييس الاتصالات</w:t>
      </w:r>
    </w:p>
    <w:p w:rsidR="00C4735E" w:rsidRDefault="00C4735E" w:rsidP="00C4735E">
      <w:pPr>
        <w:spacing w:line="187" w:lineRule="auto"/>
        <w:rPr>
          <w:rtl/>
        </w:rPr>
      </w:pPr>
      <w:r>
        <w:rPr>
          <w:rFonts w:hint="cs"/>
          <w:rtl/>
        </w:rPr>
        <w:t>بمواصلة الدراسات من أجل استعراض خبرات الدول الأعضاء المتصلة بميادين المستوى الأعلى للرمز القطري، مع العمل مع الدول الأعضاء وأعضاء القطاعات، وفقاً للدور المنوط بكل منها، مع مراعاة أنشطة الكيانات المختصة الأخرى،</w:t>
      </w:r>
    </w:p>
    <w:p w:rsidR="00C4735E" w:rsidRDefault="00C4735E" w:rsidP="00C4735E">
      <w:pPr>
        <w:pStyle w:val="Call"/>
      </w:pPr>
    </w:p>
    <w:p w:rsidR="00C4735E" w:rsidRDefault="00C4735E" w:rsidP="00C4735E">
      <w:pPr>
        <w:pStyle w:val="Call"/>
        <w:rPr>
          <w:rtl/>
        </w:rPr>
      </w:pPr>
      <w:r>
        <w:rPr>
          <w:rtl/>
        </w:rPr>
        <w:br w:type="page"/>
      </w:r>
    </w:p>
    <w:p w:rsidR="00C4735E" w:rsidRDefault="00C4735E" w:rsidP="00C4735E">
      <w:pPr>
        <w:pStyle w:val="Call"/>
        <w:rPr>
          <w:rtl/>
        </w:rPr>
      </w:pPr>
      <w:r>
        <w:rPr>
          <w:rFonts w:hint="cs"/>
          <w:rtl/>
        </w:rPr>
        <w:lastRenderedPageBreak/>
        <w:t>تكلف مدير مكتب تقييس الاتصالات</w:t>
      </w:r>
    </w:p>
    <w:p w:rsidR="00C4735E" w:rsidRPr="00B932E9" w:rsidRDefault="00C4735E" w:rsidP="00C4735E">
      <w:pPr>
        <w:spacing w:line="187" w:lineRule="auto"/>
        <w:rPr>
          <w:spacing w:val="-3"/>
          <w:rtl/>
        </w:rPr>
      </w:pPr>
      <w:r w:rsidRPr="00B932E9">
        <w:rPr>
          <w:rFonts w:hint="cs"/>
          <w:spacing w:val="-3"/>
          <w:rtl/>
        </w:rPr>
        <w:t xml:space="preserve">باتخاذ الإجراءات الملائمة لتسهيل الأعمال المذكورة أعلاه وتقديم تقرير سنوي إلى مجلس الاتحاد بشأن التقدم المحرز </w:t>
      </w:r>
      <w:r>
        <w:rPr>
          <w:rFonts w:hint="cs"/>
          <w:spacing w:val="-3"/>
          <w:rtl/>
        </w:rPr>
        <w:t>في </w:t>
      </w:r>
      <w:r w:rsidRPr="00B932E9">
        <w:rPr>
          <w:rFonts w:hint="cs"/>
          <w:spacing w:val="-3"/>
          <w:rtl/>
        </w:rPr>
        <w:t>هذا المجال،</w:t>
      </w:r>
    </w:p>
    <w:p w:rsidR="00C4735E" w:rsidRDefault="00C4735E" w:rsidP="00C4735E">
      <w:pPr>
        <w:pStyle w:val="Call"/>
        <w:rPr>
          <w:rtl/>
        </w:rPr>
      </w:pPr>
      <w:r>
        <w:rPr>
          <w:rFonts w:hint="cs"/>
          <w:rtl/>
        </w:rPr>
        <w:t>تدعو الدول الأعضاء</w:t>
      </w:r>
    </w:p>
    <w:p w:rsidR="00C4735E" w:rsidRDefault="00C4735E" w:rsidP="00C4735E">
      <w:pPr>
        <w:keepNext/>
        <w:spacing w:line="187" w:lineRule="auto"/>
        <w:rPr>
          <w:rtl/>
        </w:rPr>
      </w:pPr>
      <w:r>
        <w:rPr>
          <w:rFonts w:hint="cs"/>
          <w:rtl/>
        </w:rPr>
        <w:t>إلى المساهمة في هذه الأنشطة،</w:t>
      </w:r>
    </w:p>
    <w:p w:rsidR="00C4735E" w:rsidRDefault="00C4735E" w:rsidP="00C4735E">
      <w:pPr>
        <w:pStyle w:val="Call"/>
        <w:rPr>
          <w:rtl/>
        </w:rPr>
      </w:pPr>
      <w:r>
        <w:rPr>
          <w:rFonts w:hint="cs"/>
          <w:rtl/>
        </w:rPr>
        <w:t>تدعو الدول الأعضاء كذلك</w:t>
      </w:r>
    </w:p>
    <w:p w:rsidR="00C4735E" w:rsidRDefault="00C4735E" w:rsidP="00C4735E">
      <w:pPr>
        <w:spacing w:line="187" w:lineRule="auto"/>
        <w:rPr>
          <w:spacing w:val="-2"/>
        </w:rPr>
      </w:pPr>
      <w:r w:rsidRPr="009B3062">
        <w:rPr>
          <w:rFonts w:hint="cs"/>
          <w:spacing w:val="-2"/>
          <w:rtl/>
        </w:rPr>
        <w:t xml:space="preserve">إلى اتخاذ الخطوات الملائمة </w:t>
      </w:r>
      <w:r>
        <w:rPr>
          <w:rFonts w:hint="cs"/>
          <w:spacing w:val="-2"/>
          <w:rtl/>
        </w:rPr>
        <w:t>في </w:t>
      </w:r>
      <w:r w:rsidRPr="009B3062">
        <w:rPr>
          <w:rFonts w:hint="cs"/>
          <w:spacing w:val="-2"/>
          <w:rtl/>
        </w:rPr>
        <w:t>إطار قوانينها الوطنية لكفالة حل القضايا المتصلة بتفويض ميادين المستوى الأعلى للرمز القطري.</w:t>
      </w: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C4735E" w:rsidRDefault="00C4735E" w:rsidP="00C4735E">
      <w:pPr>
        <w:spacing w:line="187" w:lineRule="auto"/>
        <w:rPr>
          <w:spacing w:val="-2"/>
        </w:rPr>
      </w:pPr>
    </w:p>
    <w:p w:rsidR="00871EA6" w:rsidRPr="00C4735E" w:rsidRDefault="00871EA6" w:rsidP="00A77ACA">
      <w:pPr>
        <w:pStyle w:val="Restitle"/>
        <w:rPr>
          <w:rtl/>
          <w:lang w:val="en-GB"/>
        </w:rPr>
      </w:pPr>
    </w:p>
    <w:sectPr w:rsidR="00871EA6" w:rsidRPr="00C4735E"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B41E64">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B41E64">
      <w:rPr>
        <w:rFonts w:ascii="Times New Roman Bold" w:hAnsi="Times New Roman Bold" w:cs="Times New Roman Bold"/>
        <w:b/>
        <w:bCs/>
        <w:noProof/>
        <w:szCs w:val="22"/>
        <w:rtl/>
      </w:rPr>
      <w:t>47</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C4735E">
      <w:rPr>
        <w:rFonts w:ascii="Times New Roman Bold" w:hAnsi="Times New Roman Bold" w:cs="Times New Roman Bold"/>
        <w:b/>
        <w:bCs w:val="0"/>
        <w:noProof/>
        <w:szCs w:val="22"/>
        <w:rtl/>
      </w:rPr>
      <w:t>47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C4735E">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B41E64">
      <w:rPr>
        <w:rFonts w:ascii="Times New Roman Bold" w:hAnsi="Times New Roman Bold" w:cs="Times New Roman Bold"/>
        <w:b/>
        <w:bCs w:val="0"/>
        <w:noProof/>
        <w:szCs w:val="22"/>
        <w:rtl/>
      </w:rPr>
      <w:t>47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B41E64">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0A4154DC" wp14:editId="07612E81">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41E6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B41E6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41E6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B41E6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35BD6"/>
    <w:rsid w:val="00B41E64"/>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FDBA-1FBF-4BD9-8AFF-FA5DF93E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74</TotalTime>
  <Pages>4</Pages>
  <Words>497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47</cp:revision>
  <cp:lastPrinted>2009-02-06T14:30:00Z</cp:lastPrinted>
  <dcterms:created xsi:type="dcterms:W3CDTF">2013-04-17T14:43:00Z</dcterms:created>
  <dcterms:modified xsi:type="dcterms:W3CDTF">2013-04-23T15:04:00Z</dcterms:modified>
</cp:coreProperties>
</file>