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48" w:type="dxa"/>
        <w:tblLayout w:type="fixed"/>
        <w:tblLook w:val="0000" w:firstRow="0" w:lastRow="0" w:firstColumn="0" w:lastColumn="0" w:noHBand="0" w:noVBand="0"/>
      </w:tblPr>
      <w:tblGrid>
        <w:gridCol w:w="1418"/>
        <w:gridCol w:w="10"/>
        <w:gridCol w:w="2508"/>
        <w:gridCol w:w="2041"/>
        <w:gridCol w:w="3971"/>
      </w:tblGrid>
      <w:tr w:rsidR="00FB6D55" w:rsidRPr="003518D5">
        <w:trPr>
          <w:trHeight w:hRule="exact" w:val="1418"/>
        </w:trPr>
        <w:tc>
          <w:tcPr>
            <w:tcW w:w="1428" w:type="dxa"/>
            <w:gridSpan w:val="2"/>
          </w:tcPr>
          <w:p w:rsidR="00FB6D55" w:rsidRPr="003518D5" w:rsidRDefault="00952ECA" w:rsidP="00223031">
            <w:pPr>
              <w:pStyle w:val="Note"/>
            </w:pPr>
            <w:r>
              <w:rPr>
                <w:noProof/>
                <w:lang w:val="en-US" w:eastAsia="zh-C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-79.5pt;margin-top:-53.65pt;width:127pt;height:852.65pt;z-index:251657216" o:allowincell="f">
                  <v:imagedata r:id="rId8" o:title=""/>
                </v:shape>
              </w:pict>
            </w:r>
          </w:p>
          <w:p w:rsidR="00FB6D55" w:rsidRPr="003518D5" w:rsidRDefault="00FB6D55">
            <w:pPr>
              <w:spacing w:before="0"/>
              <w:rPr>
                <w:b/>
                <w:sz w:val="16"/>
              </w:rPr>
            </w:pPr>
          </w:p>
        </w:tc>
        <w:tc>
          <w:tcPr>
            <w:tcW w:w="8520" w:type="dxa"/>
            <w:gridSpan w:val="3"/>
          </w:tcPr>
          <w:p w:rsidR="00FB6D55" w:rsidRPr="003518D5" w:rsidRDefault="00FB6D55">
            <w:pPr>
              <w:spacing w:before="0"/>
            </w:pPr>
          </w:p>
          <w:p w:rsidR="00FB6D55" w:rsidRPr="003518D5" w:rsidRDefault="00FB6D55">
            <w:pPr>
              <w:spacing w:before="284"/>
              <w:rPr>
                <w:rFonts w:ascii="Arial" w:hAnsi="Arial" w:cs="Arial"/>
                <w:b/>
                <w:bCs/>
                <w:spacing w:val="80"/>
                <w:sz w:val="18"/>
              </w:rPr>
            </w:pPr>
            <w:r w:rsidRPr="003518D5">
              <w:rPr>
                <w:rFonts w:ascii="Arial" w:hAnsi="Arial" w:cs="Arial"/>
                <w:b/>
                <w:bCs/>
                <w:color w:val="808080"/>
                <w:spacing w:val="80"/>
              </w:rPr>
              <w:t>Unión Internacional de Telecomunicaciones</w:t>
            </w:r>
          </w:p>
        </w:tc>
      </w:tr>
      <w:tr w:rsidR="00FB6D55" w:rsidRPr="003518D5">
        <w:trPr>
          <w:trHeight w:hRule="exact" w:val="992"/>
        </w:trPr>
        <w:tc>
          <w:tcPr>
            <w:tcW w:w="1428" w:type="dxa"/>
            <w:gridSpan w:val="2"/>
          </w:tcPr>
          <w:p w:rsidR="00FB6D55" w:rsidRPr="003518D5" w:rsidRDefault="00FB6D55">
            <w:pPr>
              <w:spacing w:before="0"/>
            </w:pPr>
          </w:p>
        </w:tc>
        <w:tc>
          <w:tcPr>
            <w:tcW w:w="8520" w:type="dxa"/>
            <w:gridSpan w:val="3"/>
          </w:tcPr>
          <w:p w:rsidR="00FB6D55" w:rsidRPr="003518D5" w:rsidRDefault="00FB6D55"/>
        </w:tc>
      </w:tr>
      <w:tr w:rsidR="00FB6D55" w:rsidRPr="003518D5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</w:trPr>
        <w:tc>
          <w:tcPr>
            <w:tcW w:w="2508" w:type="dxa"/>
          </w:tcPr>
          <w:p w:rsidR="00FB6D55" w:rsidRPr="003518D5" w:rsidRDefault="00FB6D55">
            <w:pPr>
              <w:rPr>
                <w:b/>
                <w:sz w:val="18"/>
              </w:rPr>
            </w:pPr>
            <w:bookmarkStart w:id="0" w:name="dnums" w:colFirst="1" w:colLast="1"/>
            <w:r w:rsidRPr="003518D5">
              <w:rPr>
                <w:rFonts w:ascii="Arial" w:hAnsi="Arial"/>
                <w:b/>
                <w:spacing w:val="40"/>
                <w:sz w:val="72"/>
              </w:rPr>
              <w:t>UIT-T</w:t>
            </w:r>
          </w:p>
        </w:tc>
        <w:tc>
          <w:tcPr>
            <w:tcW w:w="6012" w:type="dxa"/>
            <w:gridSpan w:val="2"/>
          </w:tcPr>
          <w:p w:rsidR="00FB6D55" w:rsidRPr="003518D5" w:rsidRDefault="00FB6D55">
            <w:pPr>
              <w:spacing w:before="240"/>
              <w:jc w:val="right"/>
              <w:rPr>
                <w:rFonts w:ascii="Arial" w:hAnsi="Arial" w:cs="Arial"/>
                <w:b/>
                <w:sz w:val="60"/>
              </w:rPr>
            </w:pPr>
          </w:p>
        </w:tc>
      </w:tr>
      <w:tr w:rsidR="00FB6D55" w:rsidRPr="003518D5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  <w:trHeight w:val="974"/>
        </w:trPr>
        <w:tc>
          <w:tcPr>
            <w:tcW w:w="4549" w:type="dxa"/>
            <w:gridSpan w:val="2"/>
          </w:tcPr>
          <w:p w:rsidR="00FB6D55" w:rsidRPr="003518D5" w:rsidRDefault="00FB6D55">
            <w:pPr>
              <w:jc w:val="left"/>
              <w:rPr>
                <w:b/>
                <w:sz w:val="18"/>
              </w:rPr>
            </w:pPr>
            <w:bookmarkStart w:id="1" w:name="ddates" w:colFirst="1" w:colLast="1"/>
            <w:bookmarkEnd w:id="0"/>
            <w:r w:rsidRPr="003518D5">
              <w:rPr>
                <w:rFonts w:ascii="Arial" w:hAnsi="Arial"/>
                <w:sz w:val="20"/>
              </w:rPr>
              <w:t>SECTOR  DE  NORMALIZACIÓN</w:t>
            </w:r>
            <w:r w:rsidRPr="003518D5">
              <w:rPr>
                <w:rFonts w:ascii="Arial" w:hAnsi="Arial" w:cs="Arial"/>
                <w:sz w:val="20"/>
              </w:rPr>
              <w:br/>
            </w:r>
            <w:r w:rsidRPr="003518D5">
              <w:rPr>
                <w:rFonts w:ascii="Arial" w:hAnsi="Arial"/>
                <w:sz w:val="20"/>
              </w:rPr>
              <w:t>DE  LAS  TELECOMUNICACIONES</w:t>
            </w:r>
            <w:r w:rsidRPr="003518D5">
              <w:rPr>
                <w:rFonts w:ascii="Arial" w:hAnsi="Arial"/>
                <w:sz w:val="20"/>
              </w:rPr>
              <w:br/>
              <w:t>DE  LA  UIT</w:t>
            </w:r>
          </w:p>
        </w:tc>
        <w:tc>
          <w:tcPr>
            <w:tcW w:w="3971" w:type="dxa"/>
          </w:tcPr>
          <w:p w:rsidR="00FB6D55" w:rsidRPr="003518D5" w:rsidRDefault="00FB6D55" w:rsidP="00FB6D55">
            <w:pPr>
              <w:spacing w:before="0"/>
              <w:jc w:val="right"/>
              <w:rPr>
                <w:rFonts w:ascii="Arial" w:hAnsi="Arial" w:cs="Arial"/>
                <w:sz w:val="28"/>
              </w:rPr>
            </w:pPr>
            <w:r w:rsidRPr="003518D5">
              <w:rPr>
                <w:rFonts w:ascii="Arial" w:hAnsi="Arial" w:cs="Arial"/>
                <w:sz w:val="28"/>
              </w:rPr>
              <w:t xml:space="preserve">   </w:t>
            </w:r>
          </w:p>
        </w:tc>
      </w:tr>
      <w:tr w:rsidR="00FB6D55" w:rsidRPr="003518D5">
        <w:trPr>
          <w:cantSplit/>
          <w:trHeight w:hRule="exact" w:val="3402"/>
        </w:trPr>
        <w:tc>
          <w:tcPr>
            <w:tcW w:w="1418" w:type="dxa"/>
          </w:tcPr>
          <w:p w:rsidR="00FB6D55" w:rsidRPr="003518D5" w:rsidRDefault="00FB6D55">
            <w:pPr>
              <w:tabs>
                <w:tab w:val="right" w:pos="9639"/>
              </w:tabs>
              <w:rPr>
                <w:rFonts w:ascii="Arial" w:hAnsi="Arial"/>
                <w:sz w:val="18"/>
              </w:rPr>
            </w:pPr>
            <w:bookmarkStart w:id="2" w:name="dsecs" w:colFirst="1" w:colLast="1"/>
            <w:bookmarkEnd w:id="1"/>
          </w:p>
        </w:tc>
        <w:tc>
          <w:tcPr>
            <w:tcW w:w="8530" w:type="dxa"/>
            <w:gridSpan w:val="4"/>
            <w:tcBorders>
              <w:bottom w:val="single" w:sz="12" w:space="0" w:color="auto"/>
            </w:tcBorders>
            <w:vAlign w:val="bottom"/>
          </w:tcPr>
          <w:p w:rsidR="00FB6D55" w:rsidRPr="003518D5" w:rsidRDefault="004F1EA7" w:rsidP="004F1EA7">
            <w:pPr>
              <w:tabs>
                <w:tab w:val="right" w:pos="9639"/>
              </w:tabs>
              <w:jc w:val="left"/>
              <w:rPr>
                <w:rFonts w:ascii="Arial" w:hAnsi="Arial" w:cs="Arial"/>
                <w:sz w:val="32"/>
              </w:rPr>
            </w:pPr>
            <w:r w:rsidRPr="004F1EA7">
              <w:rPr>
                <w:rFonts w:ascii="Arial" w:hAnsi="Arial" w:cs="Arial"/>
                <w:sz w:val="32"/>
              </w:rPr>
              <w:t>ASAMBLEA MUNDIAL DE NORMALIZACIÓN DE LAS TELECOMUNICACIONES</w:t>
            </w:r>
          </w:p>
          <w:p w:rsidR="00FB6D55" w:rsidRPr="003518D5" w:rsidRDefault="00A922AD" w:rsidP="00D5161F">
            <w:pPr>
              <w:tabs>
                <w:tab w:val="right" w:pos="9639"/>
              </w:tabs>
              <w:jc w:val="left"/>
              <w:rPr>
                <w:rFonts w:ascii="Arial" w:hAnsi="Arial" w:cs="Arial"/>
                <w:sz w:val="32"/>
              </w:rPr>
            </w:pPr>
            <w:proofErr w:type="spellStart"/>
            <w:r w:rsidRPr="00A922AD">
              <w:rPr>
                <w:rFonts w:ascii="Arial" w:hAnsi="Arial" w:cs="Arial"/>
                <w:sz w:val="32"/>
                <w:lang w:val="es-ES"/>
              </w:rPr>
              <w:t>Hammamet</w:t>
            </w:r>
            <w:proofErr w:type="spellEnd"/>
            <w:r w:rsidR="004F1EA7" w:rsidRPr="006C62D4">
              <w:rPr>
                <w:rFonts w:ascii="Arial" w:hAnsi="Arial" w:cs="Arial"/>
                <w:sz w:val="32"/>
                <w:lang w:val="es-ES"/>
              </w:rPr>
              <w:t>, 2</w:t>
            </w:r>
            <w:r>
              <w:rPr>
                <w:rFonts w:ascii="Arial" w:hAnsi="Arial" w:cs="Arial"/>
                <w:sz w:val="32"/>
                <w:lang w:val="es-ES"/>
              </w:rPr>
              <w:t xml:space="preserve">5 de octubre </w:t>
            </w:r>
            <w:r w:rsidR="00D5161F">
              <w:rPr>
                <w:rFonts w:ascii="Arial" w:hAnsi="Arial" w:cs="Arial"/>
                <w:sz w:val="32"/>
                <w:lang w:val="es-ES"/>
              </w:rPr>
              <w:t>–</w:t>
            </w:r>
            <w:r>
              <w:rPr>
                <w:rFonts w:ascii="Arial" w:hAnsi="Arial" w:cs="Arial"/>
                <w:sz w:val="32"/>
                <w:lang w:val="es-ES"/>
              </w:rPr>
              <w:t xml:space="preserve"> 3</w:t>
            </w:r>
            <w:r w:rsidR="004F1EA7" w:rsidRPr="006C62D4">
              <w:rPr>
                <w:rFonts w:ascii="Arial" w:hAnsi="Arial" w:cs="Arial"/>
                <w:sz w:val="32"/>
                <w:lang w:val="es-ES"/>
              </w:rPr>
              <w:t xml:space="preserve"> de </w:t>
            </w:r>
            <w:r w:rsidR="006C62D4">
              <w:rPr>
                <w:rFonts w:ascii="Arial" w:hAnsi="Arial" w:cs="Arial"/>
                <w:sz w:val="32"/>
                <w:lang w:val="es-ES"/>
              </w:rPr>
              <w:t>noviembre de 201</w:t>
            </w:r>
            <w:r>
              <w:rPr>
                <w:rFonts w:ascii="Arial" w:hAnsi="Arial" w:cs="Arial"/>
                <w:sz w:val="32"/>
                <w:lang w:val="es-ES"/>
              </w:rPr>
              <w:t>6</w:t>
            </w:r>
          </w:p>
          <w:p w:rsidR="00FB6D55" w:rsidRPr="003518D5" w:rsidRDefault="00FB6D55" w:rsidP="00FB6D55">
            <w:pPr>
              <w:tabs>
                <w:tab w:val="right" w:pos="9639"/>
              </w:tabs>
              <w:jc w:val="left"/>
              <w:rPr>
                <w:rFonts w:ascii="Arial" w:hAnsi="Arial" w:cs="Arial"/>
                <w:sz w:val="32"/>
              </w:rPr>
            </w:pPr>
          </w:p>
        </w:tc>
      </w:tr>
      <w:tr w:rsidR="00FB6D55" w:rsidRPr="003518D5">
        <w:trPr>
          <w:cantSplit/>
          <w:trHeight w:hRule="exact" w:val="4536"/>
        </w:trPr>
        <w:tc>
          <w:tcPr>
            <w:tcW w:w="1418" w:type="dxa"/>
          </w:tcPr>
          <w:p w:rsidR="00FB6D55" w:rsidRPr="003518D5" w:rsidRDefault="00FB6D55">
            <w:pPr>
              <w:tabs>
                <w:tab w:val="right" w:pos="9639"/>
              </w:tabs>
              <w:rPr>
                <w:rFonts w:ascii="Arial" w:hAnsi="Arial"/>
                <w:sz w:val="18"/>
              </w:rPr>
            </w:pPr>
            <w:bookmarkStart w:id="3" w:name="c1tits" w:colFirst="1" w:colLast="1"/>
            <w:bookmarkEnd w:id="2"/>
          </w:p>
        </w:tc>
        <w:tc>
          <w:tcPr>
            <w:tcW w:w="8530" w:type="dxa"/>
            <w:gridSpan w:val="4"/>
          </w:tcPr>
          <w:p w:rsidR="00FB6D55" w:rsidRPr="003518D5" w:rsidRDefault="004F1EA7" w:rsidP="008D1B79">
            <w:pPr>
              <w:tabs>
                <w:tab w:val="right" w:pos="9639"/>
              </w:tabs>
              <w:jc w:val="left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4F1EA7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Resolución </w:t>
            </w:r>
            <w:r w:rsidR="001D1F48">
              <w:rPr>
                <w:rFonts w:ascii="Arial" w:hAnsi="Arial" w:cs="Arial"/>
                <w:b/>
                <w:bCs/>
                <w:sz w:val="36"/>
                <w:szCs w:val="36"/>
              </w:rPr>
              <w:t>4</w:t>
            </w:r>
            <w:r w:rsidR="00CD7789">
              <w:rPr>
                <w:rFonts w:ascii="Arial" w:hAnsi="Arial" w:cs="Arial"/>
                <w:b/>
                <w:bCs/>
                <w:sz w:val="36"/>
                <w:szCs w:val="36"/>
              </w:rPr>
              <w:t>5</w:t>
            </w:r>
            <w:r w:rsidR="00AC2B2D" w:rsidRPr="00E604AC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–</w:t>
            </w:r>
            <w:r w:rsidR="00CD7789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</w:t>
            </w:r>
            <w:r w:rsidR="008D1B79" w:rsidRPr="008D1B79">
              <w:rPr>
                <w:rFonts w:asciiTheme="minorBidi" w:hAnsiTheme="minorBidi" w:cstheme="minorBidi"/>
                <w:b/>
                <w:bCs/>
                <w:sz w:val="36"/>
                <w:szCs w:val="36"/>
              </w:rPr>
              <w:t>Coordinación eficaz de la labor</w:t>
            </w:r>
            <w:r w:rsidR="008D1B79">
              <w:rPr>
                <w:rFonts w:asciiTheme="minorBidi" w:hAnsiTheme="minorBidi" w:cstheme="minorBidi"/>
                <w:b/>
                <w:bCs/>
                <w:sz w:val="36"/>
                <w:szCs w:val="36"/>
              </w:rPr>
              <w:t> </w:t>
            </w:r>
            <w:r w:rsidR="008D1B79" w:rsidRPr="008D1B79">
              <w:rPr>
                <w:rFonts w:asciiTheme="minorBidi" w:hAnsiTheme="minorBidi" w:cstheme="minorBidi"/>
                <w:b/>
                <w:bCs/>
                <w:sz w:val="36"/>
                <w:szCs w:val="36"/>
              </w:rPr>
              <w:t>de normalización en las Comisiones de</w:t>
            </w:r>
            <w:r w:rsidR="008D1B79">
              <w:rPr>
                <w:rFonts w:asciiTheme="minorBidi" w:hAnsiTheme="minorBidi" w:cstheme="minorBidi"/>
                <w:b/>
                <w:bCs/>
                <w:sz w:val="36"/>
                <w:szCs w:val="36"/>
              </w:rPr>
              <w:t> </w:t>
            </w:r>
            <w:r w:rsidR="008D1B79" w:rsidRPr="008D1B79">
              <w:rPr>
                <w:rFonts w:asciiTheme="minorBidi" w:hAnsiTheme="minorBidi" w:cstheme="minorBidi"/>
                <w:b/>
                <w:bCs/>
                <w:sz w:val="36"/>
                <w:szCs w:val="36"/>
              </w:rPr>
              <w:t>Estudio del Sector de Normalización de las</w:t>
            </w:r>
            <w:r w:rsidR="008D1B79">
              <w:rPr>
                <w:rFonts w:asciiTheme="minorBidi" w:hAnsiTheme="minorBidi" w:cstheme="minorBidi"/>
                <w:b/>
                <w:bCs/>
                <w:sz w:val="36"/>
                <w:szCs w:val="36"/>
              </w:rPr>
              <w:t> </w:t>
            </w:r>
            <w:r w:rsidR="008D1B79" w:rsidRPr="008D1B79">
              <w:rPr>
                <w:rFonts w:asciiTheme="minorBidi" w:hAnsiTheme="minorBidi" w:cstheme="minorBidi"/>
                <w:b/>
                <w:bCs/>
                <w:sz w:val="36"/>
                <w:szCs w:val="36"/>
              </w:rPr>
              <w:t>Telecomunicaciones de la UIT, y cometido del Grupo Asesor de Normalización de las Telecomunicaciones</w:t>
            </w:r>
          </w:p>
        </w:tc>
      </w:tr>
      <w:bookmarkEnd w:id="3"/>
      <w:tr w:rsidR="008028AE" w:rsidRPr="00F4281C" w:rsidTr="00F431E4">
        <w:trPr>
          <w:cantSplit/>
          <w:trHeight w:hRule="exact" w:val="1418"/>
        </w:trPr>
        <w:tc>
          <w:tcPr>
            <w:tcW w:w="1418" w:type="dxa"/>
          </w:tcPr>
          <w:p w:rsidR="008028AE" w:rsidRPr="001D1F48" w:rsidRDefault="008028AE" w:rsidP="00F431E4">
            <w:pPr>
              <w:tabs>
                <w:tab w:val="right" w:pos="9639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8530" w:type="dxa"/>
            <w:gridSpan w:val="4"/>
            <w:vAlign w:val="bottom"/>
          </w:tcPr>
          <w:p w:rsidR="00FD6CCF" w:rsidRPr="001D1F48" w:rsidRDefault="00FD6CCF" w:rsidP="00F431E4">
            <w:pPr>
              <w:tabs>
                <w:tab w:val="right" w:pos="9639"/>
              </w:tabs>
              <w:jc w:val="left"/>
              <w:rPr>
                <w:rFonts w:ascii="Arial" w:hAnsi="Arial"/>
                <w:sz w:val="18"/>
              </w:rPr>
            </w:pPr>
            <w:bookmarkStart w:id="4" w:name="dnum2e"/>
            <w:bookmarkEnd w:id="4"/>
          </w:p>
        </w:tc>
      </w:tr>
    </w:tbl>
    <w:p w:rsidR="00FD6CCF" w:rsidRPr="001D1F48" w:rsidRDefault="00952ECA" w:rsidP="008028AE">
      <w:pPr>
        <w:tabs>
          <w:tab w:val="right" w:pos="9639"/>
        </w:tabs>
        <w:spacing w:before="240"/>
        <w:jc w:val="right"/>
        <w:rPr>
          <w:noProof/>
          <w:lang w:eastAsia="zh-CN"/>
        </w:rPr>
      </w:pPr>
      <w:bookmarkStart w:id="5" w:name="c2tope"/>
      <w:bookmarkEnd w:id="5"/>
      <w:r>
        <w:rPr>
          <w:noProof/>
        </w:rPr>
        <w:pict>
          <v:shape id="_x0000_s1446" type="#_x0000_t75" alt="sigleITU_large" style="position:absolute;left:0;text-align:left;margin-left:432.3pt;margin-top:1.6pt;width:52.5pt;height:59.5pt;z-index:251658240;visibility:visible;mso-wrap-style:square;mso-position-horizontal-relative:text;mso-position-vertical-relative:text">
            <v:imagedata r:id="rId9" o:title="sigleITU_large"/>
            <w10:wrap type="square"/>
          </v:shape>
        </w:pict>
      </w:r>
    </w:p>
    <w:p w:rsidR="008028AE" w:rsidRPr="001D1F48" w:rsidRDefault="008028AE" w:rsidP="008028AE">
      <w:pPr>
        <w:tabs>
          <w:tab w:val="right" w:pos="9639"/>
        </w:tabs>
        <w:spacing w:before="240"/>
        <w:jc w:val="right"/>
        <w:rPr>
          <w:sz w:val="20"/>
        </w:rPr>
      </w:pPr>
    </w:p>
    <w:p w:rsidR="008028AE" w:rsidRDefault="008028AE" w:rsidP="006C62D4">
      <w:pPr>
        <w:spacing w:before="480" w:line="240" w:lineRule="exact"/>
        <w:jc w:val="center"/>
        <w:rPr>
          <w:szCs w:val="22"/>
        </w:rPr>
        <w:sectPr w:rsidR="008028AE" w:rsidSect="00A1158B">
          <w:pgSz w:w="11907" w:h="16840" w:code="9"/>
          <w:pgMar w:top="1089" w:right="1089" w:bottom="284" w:left="1089" w:header="284" w:footer="567" w:gutter="0"/>
          <w:paperSrc w:first="15" w:other="15"/>
          <w:pgNumType w:start="1"/>
          <w:cols w:space="720"/>
        </w:sectPr>
      </w:pPr>
      <w:bookmarkStart w:id="6" w:name="c2tops"/>
      <w:bookmarkEnd w:id="6"/>
    </w:p>
    <w:p w:rsidR="006C62D4" w:rsidRPr="00AC4414" w:rsidRDefault="006C62D4" w:rsidP="00812CE2">
      <w:pPr>
        <w:spacing w:before="0" w:line="240" w:lineRule="exact"/>
        <w:jc w:val="center"/>
        <w:rPr>
          <w:szCs w:val="22"/>
        </w:rPr>
      </w:pPr>
      <w:r w:rsidRPr="00AC4414">
        <w:rPr>
          <w:szCs w:val="22"/>
        </w:rPr>
        <w:lastRenderedPageBreak/>
        <w:t>PREFACIO</w:t>
      </w:r>
    </w:p>
    <w:p w:rsidR="00D976F2" w:rsidRPr="00D976F2" w:rsidRDefault="00D976F2" w:rsidP="00D976F2">
      <w:pPr>
        <w:spacing w:line="240" w:lineRule="exact"/>
        <w:rPr>
          <w:sz w:val="20"/>
        </w:rPr>
      </w:pPr>
      <w:r w:rsidRPr="00D976F2">
        <w:rPr>
          <w:sz w:val="20"/>
        </w:rPr>
        <w:t>La Unión Internacional de Telecomunicaciones (UIT) es el organismo especializado de las Naciones Unidas en el campo de las telecomunicaciones y de las tecnologías de la información y la comunicación. El Sector de Normalización de las Telecomunicaciones de la UIT (UIT-T) es un órgano permanente de la UIT. Este órgano estudia los aspectos técnicos, de explotación y tarifarios y publica Recomendaciones sobre los mismos, con miras a la normalización de las telecomunicaciones en el plano mundial.</w:t>
      </w:r>
    </w:p>
    <w:p w:rsidR="00D976F2" w:rsidRPr="00D976F2" w:rsidRDefault="00D976F2" w:rsidP="00D976F2">
      <w:pPr>
        <w:spacing w:line="240" w:lineRule="exact"/>
        <w:rPr>
          <w:sz w:val="20"/>
        </w:rPr>
      </w:pPr>
      <w:bookmarkStart w:id="7" w:name="iitexts"/>
      <w:r w:rsidRPr="00D976F2">
        <w:rPr>
          <w:sz w:val="20"/>
        </w:rPr>
        <w:t>La Asamblea Mundial de Normalización de las Telecomunicaciones (AMNT), que se celebra cada cuatro años, establece los temas que han de estudiar las Comisiones de Estudio del UIT</w:t>
      </w:r>
      <w:r w:rsidRPr="00D976F2">
        <w:rPr>
          <w:sz w:val="20"/>
        </w:rPr>
        <w:noBreakHyphen/>
        <w:t>T, que a su vez producen Recomendaciones sobre dichos temas.</w:t>
      </w:r>
    </w:p>
    <w:p w:rsidR="00D976F2" w:rsidRPr="00D976F2" w:rsidRDefault="00D976F2" w:rsidP="00D976F2">
      <w:pPr>
        <w:spacing w:line="240" w:lineRule="exact"/>
        <w:rPr>
          <w:sz w:val="20"/>
        </w:rPr>
      </w:pPr>
      <w:r w:rsidRPr="00D976F2">
        <w:rPr>
          <w:sz w:val="20"/>
        </w:rPr>
        <w:t>La aprobación de Recomendaciones por los Miembros del UIT</w:t>
      </w:r>
      <w:r w:rsidRPr="00D976F2">
        <w:rPr>
          <w:sz w:val="20"/>
        </w:rPr>
        <w:noBreakHyphen/>
        <w:t>T es el objeto del procedimiento establecido en la Resolución 1 de la AMNT</w:t>
      </w:r>
      <w:bookmarkEnd w:id="7"/>
      <w:r w:rsidRPr="00D976F2">
        <w:rPr>
          <w:sz w:val="20"/>
        </w:rPr>
        <w:t>.</w:t>
      </w:r>
    </w:p>
    <w:p w:rsidR="006C62D4" w:rsidRPr="00143DCC" w:rsidRDefault="00D976F2" w:rsidP="00D976F2">
      <w:pPr>
        <w:spacing w:line="240" w:lineRule="exact"/>
        <w:rPr>
          <w:sz w:val="20"/>
        </w:rPr>
      </w:pPr>
      <w:r w:rsidRPr="00D976F2">
        <w:rPr>
          <w:sz w:val="20"/>
        </w:rPr>
        <w:t>En ciertos sectores de la tecnología de la información que corresponden a la esfera de competencia del UIT</w:t>
      </w:r>
      <w:r w:rsidRPr="00D976F2">
        <w:rPr>
          <w:sz w:val="20"/>
        </w:rPr>
        <w:noBreakHyphen/>
        <w:t>T, se preparan las normas necesarias en colaboración con la ISO y la CEI.</w:t>
      </w:r>
    </w:p>
    <w:p w:rsidR="006C62D4" w:rsidRDefault="006C62D4" w:rsidP="00F46FAA"/>
    <w:p w:rsidR="00F46FAA" w:rsidRDefault="00F46FAA" w:rsidP="00F46FAA"/>
    <w:p w:rsidR="00F46FAA" w:rsidRPr="00143DCC" w:rsidRDefault="00F46FAA" w:rsidP="00F46FAA"/>
    <w:p w:rsidR="00A5430F" w:rsidRDefault="00A5430F" w:rsidP="00F46FAA">
      <w:pPr>
        <w:rPr>
          <w:sz w:val="18"/>
        </w:rPr>
      </w:pPr>
    </w:p>
    <w:p w:rsidR="00A5430F" w:rsidRDefault="00A5430F" w:rsidP="00FB6D55">
      <w:pPr>
        <w:spacing w:before="80" w:after="80"/>
        <w:jc w:val="left"/>
        <w:rPr>
          <w:sz w:val="18"/>
        </w:rPr>
      </w:pPr>
    </w:p>
    <w:p w:rsidR="00A5430F" w:rsidRDefault="00A5430F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46FAA"/>
    <w:p w:rsidR="00812CE2" w:rsidRDefault="00812CE2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885482" w:rsidRDefault="00885482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Pr="008028AE" w:rsidRDefault="00C2286E" w:rsidP="00A922AD">
      <w:pPr>
        <w:jc w:val="center"/>
        <w:rPr>
          <w:sz w:val="20"/>
        </w:rPr>
      </w:pPr>
      <w:r w:rsidRPr="008028AE">
        <w:rPr>
          <w:rFonts w:ascii="Symbol" w:hAnsi="Symbol"/>
          <w:sz w:val="20"/>
        </w:rPr>
        <w:t></w:t>
      </w:r>
      <w:r w:rsidRPr="008028AE">
        <w:rPr>
          <w:sz w:val="20"/>
        </w:rPr>
        <w:t>  UIT  </w:t>
      </w:r>
      <w:bookmarkStart w:id="8" w:name="iiannes"/>
      <w:bookmarkEnd w:id="8"/>
      <w:r w:rsidR="006C62D4" w:rsidRPr="008028AE">
        <w:rPr>
          <w:sz w:val="20"/>
        </w:rPr>
        <w:t>201</w:t>
      </w:r>
      <w:r w:rsidR="00A922AD" w:rsidRPr="008028AE">
        <w:rPr>
          <w:sz w:val="20"/>
        </w:rPr>
        <w:t>6</w:t>
      </w:r>
    </w:p>
    <w:p w:rsidR="00C2286E" w:rsidRPr="008028AE" w:rsidRDefault="00C2286E" w:rsidP="00C2286E">
      <w:pPr>
        <w:tabs>
          <w:tab w:val="clear" w:pos="794"/>
          <w:tab w:val="clear" w:pos="1191"/>
          <w:tab w:val="clear" w:pos="1588"/>
          <w:tab w:val="clear" w:pos="1985"/>
        </w:tabs>
        <w:overflowPunct/>
        <w:textAlignment w:val="auto"/>
        <w:rPr>
          <w:sz w:val="20"/>
        </w:rPr>
      </w:pPr>
      <w:r w:rsidRPr="008028AE">
        <w:rPr>
          <w:sz w:val="20"/>
        </w:rPr>
        <w:t>Reservados todos los derechos. Ninguna parte de esta publicación puede reproducirse por ningún procedimiento sin previa autorización escrita por parte de la UIT.</w:t>
      </w:r>
    </w:p>
    <w:p w:rsidR="00FB6D55" w:rsidRPr="003518D5" w:rsidRDefault="00FB6D55">
      <w:pPr>
        <w:spacing w:before="80"/>
        <w:jc w:val="left"/>
        <w:rPr>
          <w:i/>
          <w:sz w:val="20"/>
        </w:rPr>
      </w:pPr>
    </w:p>
    <w:p w:rsidR="00FB6D55" w:rsidRPr="003518D5" w:rsidRDefault="00FB6D55">
      <w:pPr>
        <w:sectPr w:rsidR="00FB6D55" w:rsidRPr="003518D5" w:rsidSect="008028AE">
          <w:type w:val="evenPage"/>
          <w:pgSz w:w="11907" w:h="16840" w:code="9"/>
          <w:pgMar w:top="1134" w:right="1134" w:bottom="1134" w:left="1134" w:header="567" w:footer="567" w:gutter="0"/>
          <w:paperSrc w:first="15" w:other="15"/>
          <w:pgNumType w:start="1"/>
          <w:cols w:space="720"/>
        </w:sectPr>
      </w:pPr>
    </w:p>
    <w:p w:rsidR="006F5455" w:rsidRPr="00A922AD" w:rsidRDefault="006F5455" w:rsidP="00865C7D">
      <w:pPr>
        <w:pStyle w:val="ResNo"/>
        <w:tabs>
          <w:tab w:val="clear" w:pos="794"/>
          <w:tab w:val="clear" w:pos="1191"/>
          <w:tab w:val="clear" w:pos="1588"/>
          <w:tab w:val="clear" w:pos="1985"/>
        </w:tabs>
        <w:spacing w:line="280" w:lineRule="exact"/>
        <w:jc w:val="center"/>
        <w:rPr>
          <w:b w:val="0"/>
          <w:caps/>
        </w:rPr>
      </w:pPr>
      <w:bookmarkStart w:id="9" w:name="irecnos"/>
      <w:bookmarkEnd w:id="9"/>
      <w:r w:rsidRPr="00A922AD">
        <w:rPr>
          <w:b w:val="0"/>
          <w:caps/>
        </w:rPr>
        <w:lastRenderedPageBreak/>
        <w:t xml:space="preserve">RESOLUCIÓN </w:t>
      </w:r>
      <w:r w:rsidR="001D1F48" w:rsidRPr="001D1F48">
        <w:rPr>
          <w:rStyle w:val="href"/>
          <w:b w:val="0"/>
          <w:bCs/>
        </w:rPr>
        <w:t>4</w:t>
      </w:r>
      <w:r w:rsidR="00865C7D">
        <w:rPr>
          <w:rStyle w:val="href"/>
          <w:b w:val="0"/>
          <w:bCs/>
        </w:rPr>
        <w:t>5</w:t>
      </w:r>
      <w:r w:rsidR="00735E06" w:rsidRPr="00735E06">
        <w:t xml:space="preserve"> </w:t>
      </w:r>
      <w:r w:rsidR="00735E06" w:rsidRPr="005D5911">
        <w:rPr>
          <w:b w:val="0"/>
          <w:bCs/>
        </w:rPr>
        <w:t xml:space="preserve">(Rev. </w:t>
      </w:r>
      <w:proofErr w:type="spellStart"/>
      <w:r w:rsidR="00735E06" w:rsidRPr="005D5911">
        <w:rPr>
          <w:b w:val="0"/>
          <w:bCs/>
        </w:rPr>
        <w:t>Hammamet</w:t>
      </w:r>
      <w:proofErr w:type="spellEnd"/>
      <w:r w:rsidR="00735E06" w:rsidRPr="005D5911">
        <w:rPr>
          <w:b w:val="0"/>
          <w:bCs/>
        </w:rPr>
        <w:t>, 2016)</w:t>
      </w:r>
    </w:p>
    <w:p w:rsidR="00F46FAA" w:rsidRPr="002126A0" w:rsidRDefault="00F46FAA" w:rsidP="00F46FAA">
      <w:pPr>
        <w:pStyle w:val="Restitle"/>
      </w:pPr>
      <w:r w:rsidRPr="002126A0">
        <w:t xml:space="preserve">Coordinación eficaz de la labor de normalización en las Comisiones </w:t>
      </w:r>
      <w:r w:rsidRPr="002126A0">
        <w:br/>
        <w:t xml:space="preserve">de Estudio del Sector de Normalización de las Telecomunicaciones </w:t>
      </w:r>
      <w:r w:rsidRPr="002126A0">
        <w:br/>
        <w:t xml:space="preserve">de la UIT, y cometido del Grupo Asesor de Normalización </w:t>
      </w:r>
      <w:r w:rsidRPr="002126A0">
        <w:br/>
        <w:t>de las Telecomunicaciones</w:t>
      </w:r>
    </w:p>
    <w:p w:rsidR="00F46FAA" w:rsidRPr="002126A0" w:rsidRDefault="00F46FAA" w:rsidP="00F46FAA">
      <w:pPr>
        <w:pStyle w:val="Resref"/>
      </w:pPr>
      <w:r w:rsidRPr="002126A0">
        <w:t xml:space="preserve">(Florianópolis, 2004; Johannesburgo, 2008; Dubái, 2012; </w:t>
      </w:r>
      <w:proofErr w:type="spellStart"/>
      <w:r w:rsidRPr="002126A0">
        <w:t>Hammamet</w:t>
      </w:r>
      <w:proofErr w:type="spellEnd"/>
      <w:r w:rsidRPr="002126A0">
        <w:t>, 2016)</w:t>
      </w:r>
    </w:p>
    <w:p w:rsidR="00F46FAA" w:rsidRPr="00F46FAA" w:rsidRDefault="00F46FAA" w:rsidP="00F46FAA">
      <w:pPr>
        <w:pStyle w:val="Normalaftertitle0"/>
        <w:rPr>
          <w:lang w:val="es-ES_tradnl"/>
        </w:rPr>
      </w:pPr>
      <w:r w:rsidRPr="00F46FAA">
        <w:rPr>
          <w:lang w:val="es-ES_tradnl"/>
        </w:rPr>
        <w:t>La Asamblea Mundial de Normalización de las Telecomunicaciones (</w:t>
      </w:r>
      <w:proofErr w:type="spellStart"/>
      <w:r w:rsidRPr="00F46FAA">
        <w:rPr>
          <w:lang w:val="es-ES_tradnl"/>
        </w:rPr>
        <w:t>Hammamet</w:t>
      </w:r>
      <w:proofErr w:type="spellEnd"/>
      <w:r w:rsidRPr="00F46FAA">
        <w:rPr>
          <w:lang w:val="es-ES_tradnl"/>
        </w:rPr>
        <w:t>, 2016),</w:t>
      </w:r>
    </w:p>
    <w:p w:rsidR="00F46FAA" w:rsidRPr="002126A0" w:rsidRDefault="00F46FAA" w:rsidP="00F46FAA">
      <w:pPr>
        <w:pStyle w:val="Call"/>
        <w:rPr>
          <w:lang w:eastAsia="ja-JP"/>
        </w:rPr>
      </w:pPr>
      <w:r w:rsidRPr="002126A0">
        <w:rPr>
          <w:lang w:eastAsia="ja-JP"/>
        </w:rPr>
        <w:t>observando</w:t>
      </w:r>
    </w:p>
    <w:p w:rsidR="00F46FAA" w:rsidRPr="002126A0" w:rsidRDefault="00F46FAA" w:rsidP="00F46FAA">
      <w:pPr>
        <w:rPr>
          <w:lang w:eastAsia="ja-JP"/>
        </w:rPr>
      </w:pPr>
      <w:r w:rsidRPr="002126A0">
        <w:rPr>
          <w:i/>
          <w:iCs/>
          <w:lang w:eastAsia="ja-JP"/>
        </w:rPr>
        <w:t>a)</w:t>
      </w:r>
      <w:r w:rsidRPr="002126A0">
        <w:rPr>
          <w:lang w:eastAsia="ja-JP"/>
        </w:rPr>
        <w:tab/>
        <w:t xml:space="preserve">que el </w:t>
      </w:r>
      <w:r w:rsidRPr="002126A0">
        <w:t>Sector de Normalización de las Telecomunicaciones de la UIT (</w:t>
      </w:r>
      <w:r w:rsidRPr="002126A0">
        <w:rPr>
          <w:lang w:eastAsia="ja-JP"/>
        </w:rPr>
        <w:t>UIT-T) es el órgano de normalización preeminente a escala mundial en el que participan las administraciones, los proveedores de equipos, los operadores y los reguladores;</w:t>
      </w:r>
    </w:p>
    <w:p w:rsidR="00F46FAA" w:rsidRPr="002126A0" w:rsidRDefault="00F46FAA" w:rsidP="00E37293">
      <w:pPr>
        <w:rPr>
          <w:lang w:eastAsia="ja-JP"/>
        </w:rPr>
      </w:pPr>
      <w:r w:rsidRPr="002126A0">
        <w:rPr>
          <w:i/>
          <w:iCs/>
          <w:lang w:eastAsia="ja-JP"/>
        </w:rPr>
        <w:t>b)</w:t>
      </w:r>
      <w:r w:rsidRPr="002126A0">
        <w:rPr>
          <w:lang w:eastAsia="ja-JP"/>
        </w:rPr>
        <w:tab/>
        <w:t>que, en virtud del Artículo</w:t>
      </w:r>
      <w:r w:rsidR="00E37293">
        <w:rPr>
          <w:lang w:eastAsia="ja-JP"/>
        </w:rPr>
        <w:t> </w:t>
      </w:r>
      <w:r w:rsidRPr="002126A0">
        <w:rPr>
          <w:lang w:eastAsia="ja-JP"/>
        </w:rPr>
        <w:t>17 de la Constitución de la UIT, el UIT</w:t>
      </w:r>
      <w:r w:rsidRPr="002126A0">
        <w:rPr>
          <w:lang w:eastAsia="ja-JP"/>
        </w:rPr>
        <w:noBreakHyphen/>
        <w:t xml:space="preserve">T, teniendo presentes las preocupaciones particulares de los </w:t>
      </w:r>
      <w:r w:rsidRPr="002126A0">
        <w:t>países en desarrollo</w:t>
      </w:r>
      <w:r w:rsidRPr="002126A0">
        <w:rPr>
          <w:rStyle w:val="FootnoteReference"/>
        </w:rPr>
        <w:footnoteReference w:customMarkFollows="1" w:id="1"/>
        <w:t>1</w:t>
      </w:r>
      <w:r w:rsidRPr="002126A0">
        <w:rPr>
          <w:lang w:eastAsia="ja-JP"/>
        </w:rPr>
        <w:t>, deberá cumplir los objetivos de la Unión estudiando para ello las cuestiones técnicas, de explotación y de tarificación relacionadas con las telecomunicaciones, y adoptando Recomendaciones al respecto para la normalización de las telecomunicaciones a escala mundial;</w:t>
      </w:r>
    </w:p>
    <w:p w:rsidR="00F46FAA" w:rsidRPr="002126A0" w:rsidRDefault="00F46FAA" w:rsidP="00E37293">
      <w:pPr>
        <w:rPr>
          <w:lang w:eastAsia="ja-JP"/>
        </w:rPr>
      </w:pPr>
      <w:r w:rsidRPr="002126A0">
        <w:rPr>
          <w:i/>
          <w:iCs/>
          <w:lang w:eastAsia="ja-JP"/>
        </w:rPr>
        <w:t>c)</w:t>
      </w:r>
      <w:r w:rsidRPr="002126A0">
        <w:rPr>
          <w:lang w:eastAsia="ja-JP"/>
        </w:rPr>
        <w:tab/>
        <w:t>que, en virtud del Artículo</w:t>
      </w:r>
      <w:r w:rsidR="00E37293">
        <w:rPr>
          <w:lang w:eastAsia="ja-JP"/>
        </w:rPr>
        <w:t> </w:t>
      </w:r>
      <w:r w:rsidRPr="002126A0">
        <w:rPr>
          <w:lang w:eastAsia="ja-JP"/>
        </w:rPr>
        <w:t>13 del Convenio de la UIT, la Asamblea Mundial de Normalización de las Telecomunicaciones (AMNT) debe, entre otras cosas, aprobar el programa de trabajo del UIT-T para cada periodo de estudios y determinar la prioridad, la urgencia, las consecuencias financieras previsibles y el calendario para la finalización de los estudios,</w:t>
      </w:r>
    </w:p>
    <w:p w:rsidR="00F46FAA" w:rsidRPr="002126A0" w:rsidRDefault="00F46FAA" w:rsidP="00F46FAA">
      <w:pPr>
        <w:pStyle w:val="Call"/>
        <w:rPr>
          <w:lang w:eastAsia="ja-JP"/>
        </w:rPr>
      </w:pPr>
      <w:r w:rsidRPr="002126A0">
        <w:rPr>
          <w:lang w:eastAsia="ja-JP"/>
        </w:rPr>
        <w:t>considerando</w:t>
      </w:r>
    </w:p>
    <w:p w:rsidR="00F46FAA" w:rsidRPr="002126A0" w:rsidRDefault="00F46FAA" w:rsidP="00E37293">
      <w:pPr>
        <w:rPr>
          <w:lang w:eastAsia="ja-JP"/>
        </w:rPr>
      </w:pPr>
      <w:r w:rsidRPr="002126A0">
        <w:rPr>
          <w:i/>
          <w:iCs/>
          <w:lang w:eastAsia="ja-JP"/>
        </w:rPr>
        <w:t>a)</w:t>
      </w:r>
      <w:r w:rsidRPr="002126A0">
        <w:rPr>
          <w:lang w:eastAsia="ja-JP"/>
        </w:rPr>
        <w:tab/>
        <w:t>la Resolución</w:t>
      </w:r>
      <w:r w:rsidR="00E37293">
        <w:rPr>
          <w:lang w:eastAsia="ja-JP"/>
        </w:rPr>
        <w:t> </w:t>
      </w:r>
      <w:r w:rsidRPr="002126A0">
        <w:rPr>
          <w:lang w:eastAsia="ja-JP"/>
        </w:rPr>
        <w:t>122 (Rev. Guadalajara, 2010) de la Conferencia de Plenipotenciarios, en la cual se resuelve que la AMNT abordará adecuadamente temas estratégicos de normalización y se alienta a los Estados Miembros, a los Miembros de Sector del UIT-T y a los Presidentes y Vicepresidentes de las Comisiones de Estudio a concentrar sus trabajos, entre otras cosas, en la determinación y el análisis de los aspectos estratégicos de la normalización en sus preparativos para la AMNT, con el fin de facilitar los trabajos de la Asamblea;</w:t>
      </w:r>
    </w:p>
    <w:p w:rsidR="00F46FAA" w:rsidRPr="002126A0" w:rsidRDefault="00F46FAA" w:rsidP="00F46FAA">
      <w:pPr>
        <w:rPr>
          <w:lang w:eastAsia="ja-JP"/>
        </w:rPr>
      </w:pPr>
      <w:r w:rsidRPr="002126A0">
        <w:rPr>
          <w:i/>
          <w:iCs/>
          <w:lang w:eastAsia="ja-JP"/>
        </w:rPr>
        <w:t>b)</w:t>
      </w:r>
      <w:r w:rsidRPr="002126A0">
        <w:rPr>
          <w:lang w:eastAsia="ja-JP"/>
        </w:rPr>
        <w:tab/>
        <w:t>que los intereses de los países en desarrollo se promueven garantizando un planteamiento coordinado de la normalización en lo que concierne a las cuestiones estratégicas de la misma;</w:t>
      </w:r>
    </w:p>
    <w:p w:rsidR="00F46FAA" w:rsidRPr="002126A0" w:rsidRDefault="00F46FAA" w:rsidP="00F46FAA">
      <w:pPr>
        <w:rPr>
          <w:lang w:eastAsia="ja-JP"/>
        </w:rPr>
      </w:pPr>
      <w:r w:rsidRPr="002126A0">
        <w:rPr>
          <w:i/>
          <w:iCs/>
          <w:lang w:eastAsia="ja-JP"/>
        </w:rPr>
        <w:t>c)</w:t>
      </w:r>
      <w:r w:rsidRPr="002126A0">
        <w:rPr>
          <w:lang w:eastAsia="ja-JP"/>
        </w:rPr>
        <w:tab/>
        <w:t>que la AMNT ha acordado una nueva estructura de las Comisiones de Estudio del UIT</w:t>
      </w:r>
      <w:r w:rsidRPr="002126A0">
        <w:rPr>
          <w:lang w:eastAsia="ja-JP"/>
        </w:rPr>
        <w:noBreakHyphen/>
        <w:t>T y mejoras de los métodos de trabajo del UIT-T que ayudarán a este Sector a hacer frente a los retos que se planteen en materia de normalización durante el próximo periodo de estudios 2013</w:t>
      </w:r>
      <w:r w:rsidRPr="002126A0">
        <w:rPr>
          <w:lang w:eastAsia="ja-JP"/>
        </w:rPr>
        <w:noBreakHyphen/>
        <w:t>2016,</w:t>
      </w:r>
    </w:p>
    <w:p w:rsidR="00F46FAA" w:rsidRPr="002126A0" w:rsidRDefault="00F46FAA" w:rsidP="00F46FAA">
      <w:pPr>
        <w:pStyle w:val="Call"/>
        <w:rPr>
          <w:lang w:eastAsia="ja-JP"/>
        </w:rPr>
      </w:pPr>
      <w:r w:rsidRPr="002126A0">
        <w:rPr>
          <w:lang w:eastAsia="ja-JP"/>
        </w:rPr>
        <w:t>reconociendo</w:t>
      </w:r>
    </w:p>
    <w:p w:rsidR="00F46FAA" w:rsidRPr="002126A0" w:rsidRDefault="00F46FAA" w:rsidP="00F46FAA">
      <w:pPr>
        <w:rPr>
          <w:lang w:eastAsia="ja-JP"/>
        </w:rPr>
      </w:pPr>
      <w:r w:rsidRPr="002126A0">
        <w:rPr>
          <w:i/>
          <w:iCs/>
          <w:lang w:eastAsia="ja-JP"/>
        </w:rPr>
        <w:t>a)</w:t>
      </w:r>
      <w:r w:rsidRPr="002126A0">
        <w:rPr>
          <w:lang w:eastAsia="ja-JP"/>
        </w:rPr>
        <w:tab/>
        <w:t>que la coordinación eficaz entre Comisiones de Estudio es fundamental para que el UIT</w:t>
      </w:r>
      <w:r w:rsidRPr="002126A0">
        <w:rPr>
          <w:lang w:eastAsia="ja-JP"/>
        </w:rPr>
        <w:noBreakHyphen/>
        <w:t>T pueda responder a los nuevos retos de la normalización y a las necesidades de sus Miembros;</w:t>
      </w:r>
    </w:p>
    <w:p w:rsidR="00F46FAA" w:rsidRPr="002126A0" w:rsidRDefault="00F46FAA" w:rsidP="00F46FAA">
      <w:pPr>
        <w:rPr>
          <w:lang w:eastAsia="ja-JP"/>
        </w:rPr>
      </w:pPr>
      <w:r w:rsidRPr="002126A0">
        <w:rPr>
          <w:i/>
          <w:iCs/>
          <w:lang w:eastAsia="ja-JP"/>
        </w:rPr>
        <w:t>b)</w:t>
      </w:r>
      <w:r w:rsidRPr="002126A0">
        <w:rPr>
          <w:lang w:eastAsia="ja-JP"/>
        </w:rPr>
        <w:tab/>
        <w:t>que las Comisiones de Estudio del UIT-T son responsables de elaborar Recomendaciones sobre cuestiones técnicas, de explotación y tarificación, sobre la base de las contribuciones sometidas por los Miembros;</w:t>
      </w:r>
    </w:p>
    <w:p w:rsidR="00F46FAA" w:rsidRPr="002126A0" w:rsidRDefault="00F46FAA" w:rsidP="00E37293">
      <w:pPr>
        <w:rPr>
          <w:lang w:eastAsia="ja-JP"/>
        </w:rPr>
      </w:pPr>
      <w:r w:rsidRPr="002126A0">
        <w:rPr>
          <w:i/>
          <w:iCs/>
          <w:lang w:eastAsia="ja-JP"/>
        </w:rPr>
        <w:t>c)</w:t>
      </w:r>
      <w:r w:rsidRPr="002126A0">
        <w:rPr>
          <w:lang w:eastAsia="ja-JP"/>
        </w:rPr>
        <w:tab/>
        <w:t>que la eficaz coordinación de las actividades de normalización ayudaría a alcanzar los objetivos de las Resoluciones</w:t>
      </w:r>
      <w:r w:rsidR="00E37293">
        <w:rPr>
          <w:lang w:eastAsia="ja-JP"/>
        </w:rPr>
        <w:t xml:space="preserve"> </w:t>
      </w:r>
      <w:r w:rsidRPr="002126A0">
        <w:rPr>
          <w:lang w:eastAsia="ja-JP"/>
        </w:rPr>
        <w:t>122 (Rev.</w:t>
      </w:r>
      <w:r w:rsidR="00E37293">
        <w:rPr>
          <w:lang w:eastAsia="ja-JP"/>
        </w:rPr>
        <w:t xml:space="preserve"> </w:t>
      </w:r>
      <w:r w:rsidRPr="002126A0">
        <w:rPr>
          <w:lang w:eastAsia="ja-JP"/>
        </w:rPr>
        <w:t>Guadalajara,</w:t>
      </w:r>
      <w:r w:rsidR="00E37293">
        <w:rPr>
          <w:lang w:eastAsia="ja-JP"/>
        </w:rPr>
        <w:t xml:space="preserve"> </w:t>
      </w:r>
      <w:r w:rsidRPr="002126A0">
        <w:rPr>
          <w:lang w:eastAsia="ja-JP"/>
        </w:rPr>
        <w:t>2010) y 123 (Rev.</w:t>
      </w:r>
      <w:r w:rsidR="00E37293">
        <w:rPr>
          <w:lang w:eastAsia="ja-JP"/>
        </w:rPr>
        <w:t xml:space="preserve"> </w:t>
      </w:r>
      <w:proofErr w:type="spellStart"/>
      <w:r w:rsidRPr="002126A0">
        <w:rPr>
          <w:lang w:eastAsia="ja-JP"/>
        </w:rPr>
        <w:t>Busán</w:t>
      </w:r>
      <w:proofErr w:type="spellEnd"/>
      <w:r w:rsidRPr="002126A0">
        <w:rPr>
          <w:lang w:eastAsia="ja-JP"/>
        </w:rPr>
        <w:t>,</w:t>
      </w:r>
      <w:r w:rsidR="00E37293">
        <w:rPr>
          <w:lang w:eastAsia="ja-JP"/>
        </w:rPr>
        <w:t xml:space="preserve"> </w:t>
      </w:r>
      <w:r w:rsidRPr="002126A0">
        <w:rPr>
          <w:lang w:eastAsia="ja-JP"/>
        </w:rPr>
        <w:t>2014) de la Conferencia de Plenipotenciarios;</w:t>
      </w:r>
    </w:p>
    <w:p w:rsidR="00F46FAA" w:rsidRPr="002126A0" w:rsidRDefault="00E37293" w:rsidP="00F46FAA">
      <w:pPr>
        <w:rPr>
          <w:lang w:eastAsia="ja-JP"/>
        </w:rPr>
      </w:pPr>
      <w:r>
        <w:rPr>
          <w:i/>
          <w:iCs/>
          <w:lang w:eastAsia="ja-JP"/>
        </w:rPr>
        <w:br w:type="page"/>
      </w:r>
      <w:r w:rsidR="00F46FAA" w:rsidRPr="002126A0">
        <w:rPr>
          <w:i/>
          <w:iCs/>
          <w:lang w:eastAsia="ja-JP"/>
        </w:rPr>
        <w:lastRenderedPageBreak/>
        <w:t>d)</w:t>
      </w:r>
      <w:r w:rsidR="00F46FAA" w:rsidRPr="002126A0">
        <w:rPr>
          <w:lang w:eastAsia="ja-JP"/>
        </w:rPr>
        <w:tab/>
        <w:t>que la coordinación operacional puede llevarse a cabo mediante actividades conjuntas de coordinación (JCA), reuniones mixtas de Grupos de Relator, declaraciones de coordinación entre Comisiones de Estudio, y reuniones de Presidentes de Comisiones de Estudio organizadas por el Director de la Oficina de Normalización de las Telecomunicaciones;</w:t>
      </w:r>
    </w:p>
    <w:p w:rsidR="00F46FAA" w:rsidRPr="002126A0" w:rsidRDefault="00F46FAA" w:rsidP="00F46FAA">
      <w:pPr>
        <w:rPr>
          <w:lang w:eastAsia="ja-JP"/>
        </w:rPr>
      </w:pPr>
      <w:r w:rsidRPr="002126A0">
        <w:rPr>
          <w:i/>
          <w:iCs/>
          <w:lang w:eastAsia="ja-JP"/>
        </w:rPr>
        <w:t>e)</w:t>
      </w:r>
      <w:r w:rsidRPr="002126A0">
        <w:rPr>
          <w:lang w:eastAsia="ja-JP"/>
        </w:rPr>
        <w:tab/>
        <w:t>que la adopción de un planteamiento que vaya de lo general a lo particular facilita la coordinación eficaz de la labor de coordinación entre las Comisiones de Estudio, incluida la identificación de vínculos entre temas de trabajo relacionados;</w:t>
      </w:r>
    </w:p>
    <w:p w:rsidR="00F46FAA" w:rsidRPr="002126A0" w:rsidRDefault="00F46FAA" w:rsidP="00F46FAA">
      <w:pPr>
        <w:rPr>
          <w:lang w:eastAsia="ja-JP"/>
        </w:rPr>
      </w:pPr>
      <w:r w:rsidRPr="002126A0">
        <w:rPr>
          <w:i/>
          <w:iCs/>
          <w:lang w:eastAsia="ja-JP"/>
        </w:rPr>
        <w:t>f)</w:t>
      </w:r>
      <w:r w:rsidRPr="002126A0">
        <w:rPr>
          <w:lang w:eastAsia="ja-JP"/>
        </w:rPr>
        <w:tab/>
        <w:t>que el Grupo Asesor de Normalización de las Telecomunicaciones (GANT) puede desempeñar un importante papel garantizando la coordinación entre las Comisiones de Estudio en lo que atañe a las cuestiones de normalización, incluida la medición de los avances logrados en el ámbito de la normalización con respecto a los plazos acordados;</w:t>
      </w:r>
    </w:p>
    <w:p w:rsidR="00F46FAA" w:rsidRPr="002126A0" w:rsidRDefault="00F46FAA" w:rsidP="00F46FAA">
      <w:pPr>
        <w:rPr>
          <w:lang w:eastAsia="ja-JP"/>
        </w:rPr>
      </w:pPr>
      <w:r w:rsidRPr="002126A0">
        <w:rPr>
          <w:i/>
          <w:iCs/>
          <w:lang w:eastAsia="ja-JP"/>
        </w:rPr>
        <w:t>g)</w:t>
      </w:r>
      <w:r w:rsidRPr="002126A0">
        <w:rPr>
          <w:lang w:eastAsia="ja-JP"/>
        </w:rPr>
        <w:tab/>
        <w:t>que procede que la AMNT, como órgano supremo del UIT</w:t>
      </w:r>
      <w:r w:rsidRPr="002126A0">
        <w:rPr>
          <w:lang w:eastAsia="ja-JP"/>
        </w:rPr>
        <w:noBreakHyphen/>
        <w:t>T, determine para cada periodo de estudios las cuestiones de importancia estratégica en el ámbito de la normalización,</w:t>
      </w:r>
    </w:p>
    <w:p w:rsidR="00F46FAA" w:rsidRPr="002126A0" w:rsidRDefault="00F46FAA" w:rsidP="00F46FAA">
      <w:pPr>
        <w:pStyle w:val="Call"/>
        <w:rPr>
          <w:lang w:eastAsia="ja-JP"/>
        </w:rPr>
      </w:pPr>
      <w:r w:rsidRPr="002126A0">
        <w:rPr>
          <w:lang w:eastAsia="ja-JP"/>
        </w:rPr>
        <w:t>teniendo en cuenta</w:t>
      </w:r>
    </w:p>
    <w:p w:rsidR="00F46FAA" w:rsidRPr="002126A0" w:rsidRDefault="00F46FAA" w:rsidP="00F46FAA">
      <w:pPr>
        <w:rPr>
          <w:lang w:eastAsia="ja-JP"/>
        </w:rPr>
      </w:pPr>
      <w:r w:rsidRPr="002126A0">
        <w:rPr>
          <w:lang w:eastAsia="ja-JP"/>
        </w:rPr>
        <w:t>que la coordinación de las actividades de normalización reviste especial importancia en lo que respecta a las cuestiones de normalización de gran prioridad, entre las que figuran por ejemplo:</w:t>
      </w:r>
    </w:p>
    <w:p w:rsidR="00F46FAA" w:rsidRPr="002126A0" w:rsidRDefault="00F46FAA" w:rsidP="00F46FAA">
      <w:pPr>
        <w:pStyle w:val="enumlev1"/>
      </w:pPr>
      <w:r w:rsidRPr="002126A0">
        <w:rPr>
          <w:i/>
          <w:iCs/>
        </w:rPr>
        <w:t>a)</w:t>
      </w:r>
      <w:r w:rsidRPr="002126A0">
        <w:tab/>
        <w:t>la evolución de las redes de la próxima generación (NGN) y redes futuras</w:t>
      </w:r>
      <w:r>
        <w:t xml:space="preserve"> (FN)</w:t>
      </w:r>
      <w:r w:rsidRPr="002126A0">
        <w:t>;</w:t>
      </w:r>
    </w:p>
    <w:p w:rsidR="00F46FAA" w:rsidRPr="002126A0" w:rsidRDefault="00F46FAA" w:rsidP="00F46FAA">
      <w:pPr>
        <w:pStyle w:val="enumlev1"/>
        <w:rPr>
          <w:lang w:eastAsia="ja-JP"/>
        </w:rPr>
      </w:pPr>
      <w:r w:rsidRPr="002126A0">
        <w:rPr>
          <w:i/>
          <w:iCs/>
          <w:lang w:eastAsia="ja-JP"/>
        </w:rPr>
        <w:t>b)</w:t>
      </w:r>
      <w:r w:rsidRPr="002126A0">
        <w:rPr>
          <w:lang w:eastAsia="ja-JP"/>
        </w:rPr>
        <w:tab/>
        <w:t xml:space="preserve">la seguridad (incluida la </w:t>
      </w:r>
      <w:proofErr w:type="spellStart"/>
      <w:r w:rsidRPr="002126A0">
        <w:rPr>
          <w:lang w:eastAsia="ja-JP"/>
        </w:rPr>
        <w:t>ciberseguridad</w:t>
      </w:r>
      <w:proofErr w:type="spellEnd"/>
      <w:r w:rsidRPr="002126A0">
        <w:rPr>
          <w:lang w:eastAsia="ja-JP"/>
        </w:rPr>
        <w:t>);</w:t>
      </w:r>
    </w:p>
    <w:p w:rsidR="00F46FAA" w:rsidRPr="002126A0" w:rsidRDefault="00F46FAA" w:rsidP="00F46FAA">
      <w:pPr>
        <w:pStyle w:val="enumlev1"/>
        <w:rPr>
          <w:lang w:eastAsia="ja-JP"/>
        </w:rPr>
      </w:pPr>
      <w:r w:rsidRPr="002126A0">
        <w:rPr>
          <w:i/>
          <w:iCs/>
          <w:lang w:eastAsia="ja-JP"/>
        </w:rPr>
        <w:t>c)</w:t>
      </w:r>
      <w:r w:rsidRPr="002126A0">
        <w:rPr>
          <w:lang w:eastAsia="ja-JP"/>
        </w:rPr>
        <w:tab/>
        <w:t>los sistemas de telecomunicaciones para operaciones de socorro, incluida resistencia y recuperación de la red;</w:t>
      </w:r>
    </w:p>
    <w:p w:rsidR="00F46FAA" w:rsidRPr="002126A0" w:rsidRDefault="00F46FAA" w:rsidP="00F46FAA">
      <w:pPr>
        <w:pStyle w:val="enumlev1"/>
        <w:rPr>
          <w:lang w:eastAsia="ja-JP"/>
        </w:rPr>
      </w:pPr>
      <w:r w:rsidRPr="002126A0">
        <w:rPr>
          <w:i/>
          <w:iCs/>
          <w:lang w:eastAsia="ja-JP"/>
        </w:rPr>
        <w:t>d)</w:t>
      </w:r>
      <w:r w:rsidRPr="002126A0">
        <w:rPr>
          <w:lang w:eastAsia="ja-JP"/>
        </w:rPr>
        <w:tab/>
        <w:t>las redes eléctricas inteligentes y las redes domésticas;</w:t>
      </w:r>
    </w:p>
    <w:p w:rsidR="00F46FAA" w:rsidRPr="002126A0" w:rsidRDefault="00F46FAA" w:rsidP="00F46FAA">
      <w:pPr>
        <w:pStyle w:val="enumlev1"/>
        <w:rPr>
          <w:lang w:eastAsia="ja-JP"/>
        </w:rPr>
      </w:pPr>
      <w:r w:rsidRPr="002126A0">
        <w:rPr>
          <w:i/>
          <w:iCs/>
          <w:lang w:eastAsia="ja-JP"/>
        </w:rPr>
        <w:t>e)</w:t>
      </w:r>
      <w:r w:rsidRPr="002126A0">
        <w:rPr>
          <w:i/>
          <w:iCs/>
          <w:lang w:eastAsia="ja-JP"/>
        </w:rPr>
        <w:tab/>
      </w:r>
      <w:r w:rsidRPr="002126A0">
        <w:rPr>
          <w:lang w:eastAsia="ja-JP"/>
        </w:rPr>
        <w:t>los sistemas de transporte inteligentes (STI);</w:t>
      </w:r>
    </w:p>
    <w:p w:rsidR="00F46FAA" w:rsidRPr="002126A0" w:rsidRDefault="00F46FAA" w:rsidP="00F46FAA">
      <w:pPr>
        <w:pStyle w:val="enumlev1"/>
        <w:rPr>
          <w:lang w:eastAsia="ja-JP"/>
        </w:rPr>
      </w:pPr>
      <w:r w:rsidRPr="002126A0">
        <w:rPr>
          <w:i/>
          <w:iCs/>
          <w:lang w:eastAsia="ja-JP"/>
        </w:rPr>
        <w:t>f)</w:t>
      </w:r>
      <w:r w:rsidRPr="002126A0">
        <w:rPr>
          <w:i/>
          <w:iCs/>
          <w:lang w:eastAsia="ja-JP"/>
        </w:rPr>
        <w:tab/>
      </w:r>
      <w:r w:rsidRPr="002126A0">
        <w:rPr>
          <w:lang w:eastAsia="ja-JP"/>
        </w:rPr>
        <w:t>Internet de las cosas (</w:t>
      </w:r>
      <w:proofErr w:type="spellStart"/>
      <w:r w:rsidRPr="002126A0">
        <w:rPr>
          <w:lang w:eastAsia="ja-JP"/>
        </w:rPr>
        <w:t>IoT</w:t>
      </w:r>
      <w:proofErr w:type="spellEnd"/>
      <w:r w:rsidRPr="002126A0">
        <w:rPr>
          <w:lang w:eastAsia="ja-JP"/>
        </w:rPr>
        <w:t>)/comunicaciones máquina a máquina (M2M);</w:t>
      </w:r>
    </w:p>
    <w:p w:rsidR="00F46FAA" w:rsidRPr="002126A0" w:rsidRDefault="00F46FAA" w:rsidP="00F46FAA">
      <w:pPr>
        <w:pStyle w:val="enumlev1"/>
        <w:rPr>
          <w:lang w:eastAsia="ja-JP"/>
        </w:rPr>
      </w:pPr>
      <w:r w:rsidRPr="002126A0">
        <w:rPr>
          <w:i/>
          <w:iCs/>
          <w:lang w:eastAsia="ja-JP"/>
        </w:rPr>
        <w:t>g)</w:t>
      </w:r>
      <w:r w:rsidRPr="002126A0">
        <w:rPr>
          <w:i/>
          <w:iCs/>
          <w:lang w:eastAsia="ja-JP"/>
        </w:rPr>
        <w:tab/>
      </w:r>
      <w:r w:rsidRPr="002126A0">
        <w:rPr>
          <w:lang w:eastAsia="ja-JP"/>
        </w:rPr>
        <w:t>la computación en la nube;</w:t>
      </w:r>
    </w:p>
    <w:p w:rsidR="00F46FAA" w:rsidRPr="002126A0" w:rsidRDefault="00F46FAA" w:rsidP="00F46FAA">
      <w:pPr>
        <w:pStyle w:val="enumlev1"/>
        <w:rPr>
          <w:lang w:eastAsia="ja-JP"/>
        </w:rPr>
      </w:pPr>
      <w:r w:rsidRPr="002126A0">
        <w:rPr>
          <w:i/>
          <w:iCs/>
          <w:lang w:eastAsia="ja-JP"/>
        </w:rPr>
        <w:t>h</w:t>
      </w:r>
      <w:r w:rsidRPr="002126A0">
        <w:rPr>
          <w:lang w:eastAsia="ja-JP"/>
        </w:rPr>
        <w:t>)</w:t>
      </w:r>
      <w:r w:rsidRPr="002126A0">
        <w:rPr>
          <w:lang w:eastAsia="ja-JP"/>
        </w:rPr>
        <w:tab/>
        <w:t>las cuestiones relacionadas con Internet;</w:t>
      </w:r>
    </w:p>
    <w:p w:rsidR="00F46FAA" w:rsidRPr="002126A0" w:rsidRDefault="00F46FAA" w:rsidP="00F46FAA">
      <w:pPr>
        <w:pStyle w:val="enumlev1"/>
        <w:rPr>
          <w:lang w:eastAsia="ja-JP"/>
        </w:rPr>
      </w:pPr>
      <w:r w:rsidRPr="002126A0">
        <w:rPr>
          <w:i/>
          <w:iCs/>
          <w:lang w:eastAsia="ja-JP"/>
        </w:rPr>
        <w:t>i)</w:t>
      </w:r>
      <w:r w:rsidRPr="002126A0">
        <w:rPr>
          <w:i/>
          <w:iCs/>
          <w:lang w:eastAsia="ja-JP"/>
        </w:rPr>
        <w:tab/>
      </w:r>
      <w:r w:rsidRPr="002126A0">
        <w:rPr>
          <w:lang w:eastAsia="ja-JP"/>
        </w:rPr>
        <w:t>las</w:t>
      </w:r>
      <w:r w:rsidRPr="002126A0">
        <w:rPr>
          <w:i/>
          <w:iCs/>
          <w:lang w:eastAsia="ja-JP"/>
        </w:rPr>
        <w:t xml:space="preserve"> </w:t>
      </w:r>
      <w:r w:rsidRPr="002126A0">
        <w:rPr>
          <w:lang w:eastAsia="ja-JP"/>
        </w:rPr>
        <w:t xml:space="preserve">pruebas de conformidad </w:t>
      </w:r>
      <w:r>
        <w:rPr>
          <w:lang w:eastAsia="ja-JP"/>
        </w:rPr>
        <w:t>e interoperabilidad (C+I)</w:t>
      </w:r>
      <w:r w:rsidRPr="002126A0">
        <w:rPr>
          <w:lang w:eastAsia="ja-JP"/>
        </w:rPr>
        <w:t>,</w:t>
      </w:r>
    </w:p>
    <w:p w:rsidR="00F46FAA" w:rsidRPr="002126A0" w:rsidRDefault="00F46FAA" w:rsidP="00F46FAA">
      <w:pPr>
        <w:pStyle w:val="Call"/>
        <w:rPr>
          <w:lang w:eastAsia="ja-JP"/>
        </w:rPr>
      </w:pPr>
      <w:r w:rsidRPr="002126A0">
        <w:rPr>
          <w:lang w:eastAsia="ja-JP"/>
        </w:rPr>
        <w:t>destacando</w:t>
      </w:r>
    </w:p>
    <w:p w:rsidR="00F46FAA" w:rsidRPr="002126A0" w:rsidRDefault="00F46FAA" w:rsidP="00F46FAA">
      <w:pPr>
        <w:rPr>
          <w:lang w:eastAsia="ja-JP"/>
        </w:rPr>
      </w:pPr>
      <w:r w:rsidRPr="002126A0">
        <w:rPr>
          <w:lang w:eastAsia="ja-JP"/>
        </w:rPr>
        <w:t>que la coordinación debe servir para mejorar la eficacia de las actividades del UIT-T, y no debe limitar la autoridad de cada una de las Comisiones de Estudio para elaborar Recomendaciones basadas en contribuciones de los Miembros,</w:t>
      </w:r>
    </w:p>
    <w:p w:rsidR="00F46FAA" w:rsidRPr="002126A0" w:rsidRDefault="00F46FAA" w:rsidP="00F46FAA">
      <w:pPr>
        <w:pStyle w:val="Call"/>
        <w:rPr>
          <w:lang w:eastAsia="ja-JP"/>
        </w:rPr>
      </w:pPr>
      <w:r w:rsidRPr="002126A0">
        <w:rPr>
          <w:lang w:eastAsia="ja-JP"/>
        </w:rPr>
        <w:t>resuelve</w:t>
      </w:r>
    </w:p>
    <w:p w:rsidR="00F46FAA" w:rsidRPr="002126A0" w:rsidRDefault="00F46FAA" w:rsidP="00F46FAA">
      <w:pPr>
        <w:rPr>
          <w:lang w:eastAsia="ja-JP"/>
        </w:rPr>
      </w:pPr>
      <w:r w:rsidRPr="002126A0">
        <w:rPr>
          <w:lang w:eastAsia="ja-JP"/>
        </w:rPr>
        <w:t>que la coordinación de las actividades del UIT</w:t>
      </w:r>
      <w:r w:rsidRPr="002126A0">
        <w:rPr>
          <w:lang w:eastAsia="ja-JP"/>
        </w:rPr>
        <w:noBreakHyphen/>
        <w:t>T en lo que respecta a las cuestiones de normalización de alta prioridad y las relacionadas con la labor de más de una Comisión de Estudio garantice:</w:t>
      </w:r>
    </w:p>
    <w:p w:rsidR="00F46FAA" w:rsidRPr="002126A0" w:rsidRDefault="00F46FAA" w:rsidP="00F46FAA">
      <w:pPr>
        <w:pStyle w:val="enumlev1"/>
        <w:rPr>
          <w:lang w:eastAsia="ja-JP"/>
        </w:rPr>
      </w:pPr>
      <w:r w:rsidRPr="002126A0">
        <w:rPr>
          <w:lang w:eastAsia="ja-JP"/>
        </w:rPr>
        <w:t>i)</w:t>
      </w:r>
      <w:r w:rsidRPr="002126A0">
        <w:rPr>
          <w:lang w:eastAsia="ja-JP"/>
        </w:rPr>
        <w:tab/>
        <w:t>la definición de objetivos y prioridades de alto nivel para los estudios del UIT</w:t>
      </w:r>
      <w:r w:rsidRPr="002126A0">
        <w:rPr>
          <w:lang w:eastAsia="ja-JP"/>
        </w:rPr>
        <w:noBreakHyphen/>
        <w:t>T aplicando una perspectiva mundial;</w:t>
      </w:r>
    </w:p>
    <w:p w:rsidR="00F46FAA" w:rsidRPr="002126A0" w:rsidRDefault="00F46FAA" w:rsidP="00F46FAA">
      <w:pPr>
        <w:pStyle w:val="enumlev1"/>
        <w:rPr>
          <w:lang w:eastAsia="ja-JP"/>
        </w:rPr>
      </w:pPr>
      <w:r w:rsidRPr="002126A0">
        <w:rPr>
          <w:lang w:eastAsia="ja-JP"/>
        </w:rPr>
        <w:t>ii)</w:t>
      </w:r>
      <w:r w:rsidRPr="002126A0">
        <w:rPr>
          <w:lang w:eastAsia="ja-JP"/>
        </w:rPr>
        <w:tab/>
        <w:t>la cooperación entre Comision</w:t>
      </w:r>
      <w:bookmarkStart w:id="10" w:name="_GoBack"/>
      <w:bookmarkEnd w:id="10"/>
      <w:r w:rsidRPr="002126A0">
        <w:rPr>
          <w:lang w:eastAsia="ja-JP"/>
        </w:rPr>
        <w:t>es de Estudio, incluyendo el evitar la duplicación de trabajos e identificando vínculos entre temas de trabajo relacionados;</w:t>
      </w:r>
    </w:p>
    <w:p w:rsidR="00F46FAA" w:rsidRPr="002126A0" w:rsidRDefault="00F46FAA" w:rsidP="00F46FAA">
      <w:pPr>
        <w:pStyle w:val="enumlev1"/>
        <w:rPr>
          <w:lang w:eastAsia="ja-JP"/>
        </w:rPr>
      </w:pPr>
      <w:r w:rsidRPr="002126A0">
        <w:rPr>
          <w:lang w:eastAsia="ja-JP"/>
        </w:rPr>
        <w:t>iii)</w:t>
      </w:r>
      <w:r w:rsidRPr="002126A0">
        <w:rPr>
          <w:lang w:eastAsia="ja-JP"/>
        </w:rPr>
        <w:tab/>
        <w:t>la coordinación planificada de los plazos, productos finales, objetivos e hitos para las actividades de normalización;</w:t>
      </w:r>
    </w:p>
    <w:p w:rsidR="00F46FAA" w:rsidRPr="002126A0" w:rsidRDefault="00F46FAA" w:rsidP="00F46FAA">
      <w:pPr>
        <w:pStyle w:val="enumlev1"/>
        <w:rPr>
          <w:lang w:eastAsia="ja-JP"/>
        </w:rPr>
      </w:pPr>
      <w:r w:rsidRPr="002126A0">
        <w:rPr>
          <w:lang w:eastAsia="ja-JP"/>
        </w:rPr>
        <w:t>iv)</w:t>
      </w:r>
      <w:r w:rsidRPr="002126A0">
        <w:rPr>
          <w:lang w:eastAsia="ja-JP"/>
        </w:rPr>
        <w:tab/>
        <w:t>la toma en consideración de los intereses de los países en desarrollo y el fomento y facilitación de su participación en estas actividades;</w:t>
      </w:r>
    </w:p>
    <w:p w:rsidR="00F46FAA" w:rsidRPr="002126A0" w:rsidRDefault="00F46FAA" w:rsidP="00F46FAA">
      <w:pPr>
        <w:pStyle w:val="enumlev1"/>
        <w:rPr>
          <w:lang w:eastAsia="ja-JP"/>
        </w:rPr>
      </w:pPr>
      <w:r w:rsidRPr="002126A0">
        <w:rPr>
          <w:lang w:eastAsia="ja-JP"/>
        </w:rPr>
        <w:t>v)</w:t>
      </w:r>
      <w:r w:rsidRPr="002126A0">
        <w:rPr>
          <w:lang w:eastAsia="ja-JP"/>
        </w:rPr>
        <w:tab/>
        <w:t>la cooperación y coordinación con los Sectores de Radiocomunicaciones y de Desarrollo de las Telecomunicaciones de la UIT y con otros órganos de normalización externos,</w:t>
      </w:r>
    </w:p>
    <w:p w:rsidR="00F46FAA" w:rsidRPr="002126A0" w:rsidRDefault="00E37293" w:rsidP="00F46FAA">
      <w:pPr>
        <w:pStyle w:val="Call"/>
        <w:rPr>
          <w:lang w:eastAsia="ja-JP"/>
        </w:rPr>
      </w:pPr>
      <w:r>
        <w:rPr>
          <w:lang w:eastAsia="ja-JP"/>
        </w:rPr>
        <w:br w:type="page"/>
      </w:r>
      <w:r w:rsidR="00F46FAA" w:rsidRPr="002126A0">
        <w:rPr>
          <w:lang w:eastAsia="ja-JP"/>
        </w:rPr>
        <w:lastRenderedPageBreak/>
        <w:t>encarga al Grupo Asesor de Normalización de las Telecomunicaciones</w:t>
      </w:r>
    </w:p>
    <w:p w:rsidR="00F46FAA" w:rsidRPr="002126A0" w:rsidRDefault="00F46FAA" w:rsidP="00F46FAA">
      <w:pPr>
        <w:rPr>
          <w:lang w:eastAsia="ja-JP"/>
        </w:rPr>
      </w:pPr>
      <w:r w:rsidRPr="002126A0">
        <w:rPr>
          <w:lang w:eastAsia="ja-JP"/>
        </w:rPr>
        <w:t>1</w:t>
      </w:r>
      <w:r w:rsidRPr="002126A0">
        <w:rPr>
          <w:lang w:eastAsia="ja-JP"/>
        </w:rPr>
        <w:tab/>
        <w:t>que asuma un papel activo para garantizar la coordinación entre Comisiones de Estudio, especialmente en lo que se refiere a los temas de normalización prioritaria que se estén estudiando en más de una Comisión de Estudio, en especial:</w:t>
      </w:r>
    </w:p>
    <w:p w:rsidR="00F46FAA" w:rsidRPr="002126A0" w:rsidRDefault="00F46FAA" w:rsidP="00F46FAA">
      <w:pPr>
        <w:pStyle w:val="enumlev1"/>
        <w:rPr>
          <w:lang w:eastAsia="ja-JP"/>
        </w:rPr>
      </w:pPr>
      <w:r w:rsidRPr="002126A0">
        <w:rPr>
          <w:lang w:eastAsia="ja-JP"/>
        </w:rPr>
        <w:t>i)</w:t>
      </w:r>
      <w:r w:rsidRPr="002126A0">
        <w:rPr>
          <w:lang w:eastAsia="ja-JP"/>
        </w:rPr>
        <w:tab/>
        <w:t xml:space="preserve">que supervise los trabajos de todas las </w:t>
      </w:r>
      <w:r>
        <w:rPr>
          <w:lang w:eastAsia="ja-JP"/>
        </w:rPr>
        <w:t>JCA</w:t>
      </w:r>
      <w:r w:rsidRPr="002126A0">
        <w:rPr>
          <w:lang w:eastAsia="ja-JP"/>
        </w:rPr>
        <w:t xml:space="preserve"> y recomiende además el establecimiento de esas actividades, llegado el caso, y que invite a los grupos de coordinación a celebrar las reuniones necesarias para alcanzar los objetivos fijados para dichas actividades;</w:t>
      </w:r>
    </w:p>
    <w:p w:rsidR="00F46FAA" w:rsidRPr="002126A0" w:rsidRDefault="00F46FAA" w:rsidP="00F46FAA">
      <w:pPr>
        <w:pStyle w:val="enumlev1"/>
        <w:rPr>
          <w:lang w:eastAsia="ja-JP"/>
        </w:rPr>
      </w:pPr>
      <w:r w:rsidRPr="002126A0">
        <w:rPr>
          <w:lang w:eastAsia="ja-JP"/>
        </w:rPr>
        <w:t>ii)</w:t>
      </w:r>
      <w:r w:rsidRPr="002126A0">
        <w:rPr>
          <w:lang w:eastAsia="ja-JP"/>
        </w:rPr>
        <w:tab/>
        <w:t>que identifique necesidades y determine los cambios adecuados que deban realizarse ante la duplicación de cuestiones, que comprende, entre otras cosas, la atribución de un mandato a una Comisión de Estudio para que lleve a cabo una labor de coordinación;</w:t>
      </w:r>
    </w:p>
    <w:p w:rsidR="00F46FAA" w:rsidRPr="002126A0" w:rsidRDefault="00F46FAA" w:rsidP="00F46FAA">
      <w:pPr>
        <w:pStyle w:val="enumlev1"/>
        <w:rPr>
          <w:lang w:eastAsia="ja-JP"/>
        </w:rPr>
      </w:pPr>
      <w:r w:rsidRPr="002126A0">
        <w:rPr>
          <w:lang w:eastAsia="ja-JP"/>
        </w:rPr>
        <w:t>iii)</w:t>
      </w:r>
      <w:r w:rsidRPr="002126A0">
        <w:rPr>
          <w:lang w:eastAsia="ja-JP"/>
        </w:rPr>
        <w:tab/>
        <w:t>que ofrezca asesoramiento sobre nuevas mejoras en los métodos de trabajo de las actividades conjuntas de coordinación;</w:t>
      </w:r>
    </w:p>
    <w:p w:rsidR="00F46FAA" w:rsidRPr="002126A0" w:rsidRDefault="00F46FAA" w:rsidP="00F46FAA">
      <w:pPr>
        <w:rPr>
          <w:lang w:eastAsia="ja-JP"/>
        </w:rPr>
      </w:pPr>
      <w:r w:rsidRPr="002126A0">
        <w:rPr>
          <w:lang w:eastAsia="ja-JP"/>
        </w:rPr>
        <w:t>2</w:t>
      </w:r>
      <w:r w:rsidRPr="002126A0">
        <w:rPr>
          <w:lang w:eastAsia="ja-JP"/>
        </w:rPr>
        <w:tab/>
        <w:t>que tenga en cuenta, y en su caso aplique, el asesoramiento facilitado al GANT por otros grupos creados con miras a una coordinación eficaz de los temas de normalización de alta prioridad y conjuntos.</w:t>
      </w:r>
    </w:p>
    <w:p w:rsidR="002A35AB" w:rsidRDefault="002A35AB" w:rsidP="00734F4D"/>
    <w:p w:rsidR="002A35AB" w:rsidRDefault="002A35AB" w:rsidP="00734F4D"/>
    <w:p w:rsidR="002A35AB" w:rsidRDefault="002A35AB" w:rsidP="00734F4D"/>
    <w:p w:rsidR="002A35AB" w:rsidRDefault="002A35AB" w:rsidP="00734F4D"/>
    <w:p w:rsidR="002A35AB" w:rsidRDefault="002A35AB" w:rsidP="00734F4D"/>
    <w:p w:rsidR="002A35AB" w:rsidRDefault="002A35AB" w:rsidP="00734F4D"/>
    <w:p w:rsidR="002A35AB" w:rsidRDefault="002A35AB" w:rsidP="00734F4D"/>
    <w:p w:rsidR="002A35AB" w:rsidRDefault="002A35AB" w:rsidP="00734F4D"/>
    <w:p w:rsidR="002A35AB" w:rsidRDefault="002A35AB" w:rsidP="00734F4D"/>
    <w:p w:rsidR="002A35AB" w:rsidRDefault="002A35AB" w:rsidP="00734F4D"/>
    <w:p w:rsidR="002A35AB" w:rsidRDefault="002A35AB" w:rsidP="00734F4D"/>
    <w:p w:rsidR="002A35AB" w:rsidRDefault="002A35AB" w:rsidP="00734F4D"/>
    <w:p w:rsidR="002A35AB" w:rsidRDefault="002A35AB" w:rsidP="00734F4D"/>
    <w:p w:rsidR="002A35AB" w:rsidRDefault="002A35AB" w:rsidP="00734F4D"/>
    <w:p w:rsidR="002A35AB" w:rsidRDefault="002A35AB" w:rsidP="00734F4D"/>
    <w:p w:rsidR="002A35AB" w:rsidRDefault="002A35AB" w:rsidP="00734F4D"/>
    <w:p w:rsidR="002A35AB" w:rsidRDefault="002A35AB" w:rsidP="00734F4D"/>
    <w:p w:rsidR="002A35AB" w:rsidRDefault="002A35AB" w:rsidP="00734F4D"/>
    <w:p w:rsidR="002A35AB" w:rsidRDefault="002A35AB" w:rsidP="00734F4D"/>
    <w:p w:rsidR="002A35AB" w:rsidRDefault="002A35AB" w:rsidP="00734F4D"/>
    <w:p w:rsidR="002A35AB" w:rsidRDefault="002A35AB" w:rsidP="00734F4D"/>
    <w:p w:rsidR="002A35AB" w:rsidRDefault="002A35AB" w:rsidP="00734F4D"/>
    <w:p w:rsidR="002A35AB" w:rsidRDefault="002A35AB" w:rsidP="00734F4D"/>
    <w:p w:rsidR="002A35AB" w:rsidRDefault="002A35AB" w:rsidP="00734F4D"/>
    <w:p w:rsidR="002A35AB" w:rsidRDefault="002A35AB" w:rsidP="00734F4D"/>
    <w:p w:rsidR="00E37293" w:rsidRDefault="00E37293" w:rsidP="00734F4D"/>
    <w:sectPr w:rsidR="00E37293" w:rsidSect="00E37293">
      <w:headerReference w:type="even" r:id="rId10"/>
      <w:headerReference w:type="default" r:id="rId11"/>
      <w:footerReference w:type="even" r:id="rId12"/>
      <w:footerReference w:type="default" r:id="rId13"/>
      <w:footerReference w:type="first" r:id="rId14"/>
      <w:pgSz w:w="11907" w:h="16834" w:code="9"/>
      <w:pgMar w:top="1134" w:right="1134" w:bottom="1134" w:left="1134" w:header="567" w:footer="567" w:gutter="0"/>
      <w:pgNumType w:start="1"/>
      <w:cols w:space="720"/>
      <w:vAlign w:val="both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04AC" w:rsidRDefault="00E604AC">
      <w:r>
        <w:separator/>
      </w:r>
    </w:p>
  </w:endnote>
  <w:endnote w:type="continuationSeparator" w:id="0">
    <w:p w:rsidR="00E604AC" w:rsidRDefault="00E60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E7D" w:rsidRDefault="00877E7D" w:rsidP="00EE47E4">
    <w:pPr>
      <w:pStyle w:val="FooterQP"/>
      <w:rPr>
        <w:lang w:val="en-US"/>
      </w:rPr>
    </w:pPr>
    <w:r w:rsidRPr="002D6EB1">
      <w:rPr>
        <w:b w:val="0"/>
      </w:rPr>
      <w:fldChar w:fldCharType="begin"/>
    </w:r>
    <w:r w:rsidRPr="00877E7D">
      <w:rPr>
        <w:b w:val="0"/>
        <w:lang w:val="es-ES"/>
      </w:rPr>
      <w:instrText xml:space="preserve"> PAGE  \* MERGEFORMAT </w:instrText>
    </w:r>
    <w:r w:rsidRPr="002D6EB1">
      <w:rPr>
        <w:b w:val="0"/>
      </w:rPr>
      <w:fldChar w:fldCharType="separate"/>
    </w:r>
    <w:r w:rsidR="00952ECA">
      <w:rPr>
        <w:b w:val="0"/>
        <w:noProof/>
        <w:lang w:val="es-ES"/>
      </w:rPr>
      <w:t>2</w:t>
    </w:r>
    <w:r w:rsidRPr="002D6EB1">
      <w:rPr>
        <w:b w:val="0"/>
      </w:rPr>
      <w:fldChar w:fldCharType="end"/>
    </w:r>
    <w:r w:rsidRPr="00877E7D">
      <w:rPr>
        <w:lang w:val="es-ES"/>
      </w:rPr>
      <w:tab/>
    </w:r>
    <w:r>
      <w:t>AMNT</w:t>
    </w:r>
    <w:r w:rsidRPr="00877E7D">
      <w:rPr>
        <w:lang w:val="es-ES"/>
      </w:rPr>
      <w:t>-1</w:t>
    </w:r>
    <w:r w:rsidR="00885482">
      <w:rPr>
        <w:lang w:val="es-ES"/>
      </w:rPr>
      <w:t>6</w:t>
    </w:r>
    <w:r w:rsidRPr="00877E7D">
      <w:rPr>
        <w:lang w:val="es-ES"/>
      </w:rPr>
      <w:t xml:space="preserve"> –</w:t>
    </w:r>
    <w:r>
      <w:rPr>
        <w:lang w:val="es-ES"/>
      </w:rPr>
      <w:t xml:space="preserve"> </w:t>
    </w:r>
    <w:r w:rsidRPr="00877E7D">
      <w:rPr>
        <w:lang w:val="es-ES"/>
      </w:rPr>
      <w:t>Resolución</w:t>
    </w:r>
    <w:r w:rsidR="00EE47E4">
      <w:rPr>
        <w:lang w:val="es-ES"/>
      </w:rPr>
      <w:t xml:space="preserve"> </w:t>
    </w:r>
    <w:r w:rsidR="00EE47E4">
      <w:fldChar w:fldCharType="begin"/>
    </w:r>
    <w:r w:rsidR="00EE47E4">
      <w:rPr>
        <w:lang w:val="en-US"/>
      </w:rPr>
      <w:instrText>styleref href</w:instrText>
    </w:r>
    <w:r w:rsidR="00EE47E4">
      <w:fldChar w:fldCharType="separate"/>
    </w:r>
    <w:r w:rsidR="00952ECA">
      <w:rPr>
        <w:noProof/>
      </w:rPr>
      <w:t>45</w:t>
    </w:r>
    <w:r w:rsidR="00EE47E4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E7D" w:rsidRPr="00877E7D" w:rsidRDefault="00877E7D" w:rsidP="00EE47E4">
    <w:pPr>
      <w:pStyle w:val="FooterQP"/>
      <w:rPr>
        <w:b w:val="0"/>
        <w:lang w:val="en-US"/>
      </w:rPr>
    </w:pPr>
    <w:r>
      <w:tab/>
    </w:r>
    <w:r>
      <w:tab/>
      <w:t>AMNT</w:t>
    </w:r>
    <w:r w:rsidR="00A072AF">
      <w:rPr>
        <w:lang w:val="en-US"/>
      </w:rPr>
      <w:t>-16</w:t>
    </w:r>
    <w:r>
      <w:rPr>
        <w:lang w:val="en-US"/>
      </w:rPr>
      <w:t xml:space="preserve"> – </w:t>
    </w:r>
    <w:proofErr w:type="spellStart"/>
    <w:r>
      <w:rPr>
        <w:lang w:val="en-US"/>
      </w:rPr>
      <w:t>Resolución</w:t>
    </w:r>
    <w:proofErr w:type="spellEnd"/>
    <w:r w:rsidR="00EE47E4">
      <w:rPr>
        <w:lang w:val="en-US"/>
      </w:rPr>
      <w:t xml:space="preserve"> </w:t>
    </w:r>
    <w:r w:rsidR="00EE47E4">
      <w:fldChar w:fldCharType="begin"/>
    </w:r>
    <w:r w:rsidR="00EE47E4">
      <w:rPr>
        <w:lang w:val="en-US"/>
      </w:rPr>
      <w:instrText>styleref href</w:instrText>
    </w:r>
    <w:r w:rsidR="00EE47E4">
      <w:fldChar w:fldCharType="separate"/>
    </w:r>
    <w:r w:rsidR="00952ECA">
      <w:rPr>
        <w:noProof/>
      </w:rPr>
      <w:t>45</w:t>
    </w:r>
    <w:r w:rsidR="00EE47E4">
      <w:fldChar w:fldCharType="end"/>
    </w:r>
    <w:r>
      <w:rPr>
        <w:lang w:val="en-US"/>
      </w:rPr>
      <w:tab/>
    </w:r>
    <w:r>
      <w:rPr>
        <w:b w:val="0"/>
      </w:rPr>
      <w:fldChar w:fldCharType="begin"/>
    </w:r>
    <w:r>
      <w:rPr>
        <w:b w:val="0"/>
        <w:lang w:val="en-US"/>
      </w:rPr>
      <w:instrText xml:space="preserve"> PAGE  \* MERGEFORMAT </w:instrText>
    </w:r>
    <w:r>
      <w:rPr>
        <w:b w:val="0"/>
      </w:rPr>
      <w:fldChar w:fldCharType="separate"/>
    </w:r>
    <w:r w:rsidR="00952ECA">
      <w:rPr>
        <w:b w:val="0"/>
        <w:noProof/>
        <w:lang w:val="en-US"/>
      </w:rPr>
      <w:t>3</w:t>
    </w:r>
    <w:r>
      <w:rPr>
        <w:b w:val="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22AD" w:rsidRPr="00A922AD" w:rsidRDefault="00A922AD" w:rsidP="00ED006D">
    <w:pPr>
      <w:pStyle w:val="FooterQP"/>
      <w:rPr>
        <w:b w:val="0"/>
        <w:lang w:val="en-US"/>
      </w:rPr>
    </w:pPr>
    <w:r>
      <w:tab/>
    </w:r>
    <w:r>
      <w:tab/>
      <w:t>AMNT</w:t>
    </w:r>
    <w:r>
      <w:rPr>
        <w:lang w:val="en-US"/>
      </w:rPr>
      <w:t xml:space="preserve">-16 – </w:t>
    </w:r>
    <w:proofErr w:type="spellStart"/>
    <w:r>
      <w:rPr>
        <w:lang w:val="en-US"/>
      </w:rPr>
      <w:t>Resolución</w:t>
    </w:r>
    <w:proofErr w:type="spellEnd"/>
    <w:r>
      <w:rPr>
        <w:lang w:val="en-US"/>
      </w:rPr>
      <w:t xml:space="preserve"> </w:t>
    </w:r>
    <w:r w:rsidR="00ED006D">
      <w:fldChar w:fldCharType="begin"/>
    </w:r>
    <w:r w:rsidR="00ED006D">
      <w:rPr>
        <w:lang w:val="en-US"/>
      </w:rPr>
      <w:instrText>styleref href</w:instrText>
    </w:r>
    <w:r w:rsidR="00ED006D">
      <w:fldChar w:fldCharType="separate"/>
    </w:r>
    <w:r w:rsidR="00952ECA">
      <w:rPr>
        <w:noProof/>
      </w:rPr>
      <w:t>45</w:t>
    </w:r>
    <w:r w:rsidR="00ED006D">
      <w:fldChar w:fldCharType="end"/>
    </w:r>
    <w:r>
      <w:rPr>
        <w:lang w:val="en-US"/>
      </w:rPr>
      <w:tab/>
    </w:r>
    <w:r>
      <w:rPr>
        <w:b w:val="0"/>
      </w:rPr>
      <w:fldChar w:fldCharType="begin"/>
    </w:r>
    <w:r>
      <w:rPr>
        <w:b w:val="0"/>
        <w:lang w:val="en-US"/>
      </w:rPr>
      <w:instrText xml:space="preserve"> PAGE  \* MERGEFORMAT </w:instrText>
    </w:r>
    <w:r>
      <w:rPr>
        <w:b w:val="0"/>
      </w:rPr>
      <w:fldChar w:fldCharType="separate"/>
    </w:r>
    <w:r w:rsidR="00734F4D">
      <w:rPr>
        <w:b w:val="0"/>
        <w:noProof/>
        <w:lang w:val="en-US"/>
      </w:rPr>
      <w:t>1</w:t>
    </w:r>
    <w:r>
      <w:rPr>
        <w:b w:val="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04AC" w:rsidRDefault="00E604AC">
      <w:r>
        <w:t>____________________</w:t>
      </w:r>
    </w:p>
  </w:footnote>
  <w:footnote w:type="continuationSeparator" w:id="0">
    <w:p w:rsidR="00E604AC" w:rsidRDefault="00E604AC">
      <w:r>
        <w:continuationSeparator/>
      </w:r>
    </w:p>
  </w:footnote>
  <w:footnote w:id="1">
    <w:p w:rsidR="00F46FAA" w:rsidRPr="00F57C1D" w:rsidRDefault="00F46FAA" w:rsidP="00F46FAA">
      <w:pPr>
        <w:pStyle w:val="FootnoteText"/>
      </w:pPr>
      <w:r w:rsidRPr="00F57C1D">
        <w:rPr>
          <w:rStyle w:val="FootnoteReference"/>
        </w:rPr>
        <w:t>1</w:t>
      </w:r>
      <w:r>
        <w:tab/>
      </w:r>
      <w:r w:rsidRPr="008C4DC5">
        <w:t>Este término comprende los países menos adelantados, los pequeños Estados insulares en desarrollo, los países en desarrollo sin litoral y los países con economías en transición.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F26" w:rsidRPr="00D075E1" w:rsidRDefault="006D0F26" w:rsidP="00D075E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F26" w:rsidRPr="00D075E1" w:rsidRDefault="006D0F26" w:rsidP="00D075E1">
    <w:pPr>
      <w:pStyle w:val="Header"/>
      <w:rPr>
        <w:rStyle w:val="PageNumber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F7CFB4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202F9A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CE067C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1262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7F92A2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C4A62B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128D86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31A8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EBEDA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0D7489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oNotHyphenateCaps/>
  <w:evenAndOddHeaders/>
  <w:drawingGridHorizontalSpacing w:val="120"/>
  <w:displayHorizontalDrawingGridEvery w:val="0"/>
  <w:displayVerticalDrawingGridEvery w:val="0"/>
  <w:doNotShadeFormData/>
  <w:noPunctuationKerning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6D55"/>
    <w:rsid w:val="00011D16"/>
    <w:rsid w:val="0001598B"/>
    <w:rsid w:val="00021556"/>
    <w:rsid w:val="00044B4D"/>
    <w:rsid w:val="00065BE4"/>
    <w:rsid w:val="00082EA6"/>
    <w:rsid w:val="00096419"/>
    <w:rsid w:val="000B08A1"/>
    <w:rsid w:val="000B3B7D"/>
    <w:rsid w:val="000E0592"/>
    <w:rsid w:val="000E0C3D"/>
    <w:rsid w:val="000E6A10"/>
    <w:rsid w:val="00104176"/>
    <w:rsid w:val="00104723"/>
    <w:rsid w:val="00115F55"/>
    <w:rsid w:val="001166BD"/>
    <w:rsid w:val="00153A2F"/>
    <w:rsid w:val="00160F88"/>
    <w:rsid w:val="00164FB0"/>
    <w:rsid w:val="001958EC"/>
    <w:rsid w:val="001C4D78"/>
    <w:rsid w:val="001D1F48"/>
    <w:rsid w:val="001E3C05"/>
    <w:rsid w:val="001E47B2"/>
    <w:rsid w:val="001F5708"/>
    <w:rsid w:val="001F7101"/>
    <w:rsid w:val="0021547F"/>
    <w:rsid w:val="00217CDB"/>
    <w:rsid w:val="00223031"/>
    <w:rsid w:val="00241D6F"/>
    <w:rsid w:val="00245661"/>
    <w:rsid w:val="00256525"/>
    <w:rsid w:val="00256F54"/>
    <w:rsid w:val="0029052C"/>
    <w:rsid w:val="00295585"/>
    <w:rsid w:val="002A35AB"/>
    <w:rsid w:val="00315C1E"/>
    <w:rsid w:val="003518D5"/>
    <w:rsid w:val="00372B66"/>
    <w:rsid w:val="00377687"/>
    <w:rsid w:val="003C2D00"/>
    <w:rsid w:val="003E33A8"/>
    <w:rsid w:val="003F0680"/>
    <w:rsid w:val="00400600"/>
    <w:rsid w:val="004442F6"/>
    <w:rsid w:val="00466E41"/>
    <w:rsid w:val="004F1EA7"/>
    <w:rsid w:val="0052251F"/>
    <w:rsid w:val="005313AC"/>
    <w:rsid w:val="005330B1"/>
    <w:rsid w:val="005428C5"/>
    <w:rsid w:val="005435AA"/>
    <w:rsid w:val="0055021E"/>
    <w:rsid w:val="00585ED1"/>
    <w:rsid w:val="005A4F08"/>
    <w:rsid w:val="006349BE"/>
    <w:rsid w:val="00642735"/>
    <w:rsid w:val="00643BC7"/>
    <w:rsid w:val="00671751"/>
    <w:rsid w:val="006A2304"/>
    <w:rsid w:val="006C1E98"/>
    <w:rsid w:val="006C5ED6"/>
    <w:rsid w:val="006C62D4"/>
    <w:rsid w:val="006D0F26"/>
    <w:rsid w:val="006F5455"/>
    <w:rsid w:val="007057EE"/>
    <w:rsid w:val="00712378"/>
    <w:rsid w:val="00734F4D"/>
    <w:rsid w:val="00735E06"/>
    <w:rsid w:val="00743611"/>
    <w:rsid w:val="0079215F"/>
    <w:rsid w:val="007A0BE3"/>
    <w:rsid w:val="007A6C56"/>
    <w:rsid w:val="007B0D90"/>
    <w:rsid w:val="007C04D8"/>
    <w:rsid w:val="007C64E7"/>
    <w:rsid w:val="007C7F35"/>
    <w:rsid w:val="008028AE"/>
    <w:rsid w:val="00812CE2"/>
    <w:rsid w:val="008222EF"/>
    <w:rsid w:val="00831A21"/>
    <w:rsid w:val="00841271"/>
    <w:rsid w:val="00855B0A"/>
    <w:rsid w:val="00862C3A"/>
    <w:rsid w:val="00865C7D"/>
    <w:rsid w:val="00877E7D"/>
    <w:rsid w:val="00885482"/>
    <w:rsid w:val="00892A35"/>
    <w:rsid w:val="008B09EB"/>
    <w:rsid w:val="008B2002"/>
    <w:rsid w:val="008C357D"/>
    <w:rsid w:val="008C6F85"/>
    <w:rsid w:val="008D1B79"/>
    <w:rsid w:val="008D5D1B"/>
    <w:rsid w:val="008D6B1E"/>
    <w:rsid w:val="008E70B2"/>
    <w:rsid w:val="008F7079"/>
    <w:rsid w:val="00906FCA"/>
    <w:rsid w:val="00917AD8"/>
    <w:rsid w:val="009215A0"/>
    <w:rsid w:val="009242C6"/>
    <w:rsid w:val="00946DF2"/>
    <w:rsid w:val="00952ECA"/>
    <w:rsid w:val="009560C3"/>
    <w:rsid w:val="00956FFA"/>
    <w:rsid w:val="009B4B48"/>
    <w:rsid w:val="009C06D6"/>
    <w:rsid w:val="009E4ACC"/>
    <w:rsid w:val="00A048CE"/>
    <w:rsid w:val="00A054FD"/>
    <w:rsid w:val="00A072AF"/>
    <w:rsid w:val="00A1158B"/>
    <w:rsid w:val="00A16E12"/>
    <w:rsid w:val="00A23640"/>
    <w:rsid w:val="00A300F8"/>
    <w:rsid w:val="00A31A3C"/>
    <w:rsid w:val="00A428C4"/>
    <w:rsid w:val="00A5029E"/>
    <w:rsid w:val="00A5430F"/>
    <w:rsid w:val="00A64176"/>
    <w:rsid w:val="00A762C1"/>
    <w:rsid w:val="00A7749A"/>
    <w:rsid w:val="00A922AD"/>
    <w:rsid w:val="00AC2B2D"/>
    <w:rsid w:val="00AD62D4"/>
    <w:rsid w:val="00B122C8"/>
    <w:rsid w:val="00B24C2D"/>
    <w:rsid w:val="00B31246"/>
    <w:rsid w:val="00B450BE"/>
    <w:rsid w:val="00B57627"/>
    <w:rsid w:val="00B96F52"/>
    <w:rsid w:val="00BD5BF5"/>
    <w:rsid w:val="00BE0A5C"/>
    <w:rsid w:val="00BE14B0"/>
    <w:rsid w:val="00C028FA"/>
    <w:rsid w:val="00C10AF4"/>
    <w:rsid w:val="00C2286E"/>
    <w:rsid w:val="00C307BC"/>
    <w:rsid w:val="00C3111E"/>
    <w:rsid w:val="00C37FA4"/>
    <w:rsid w:val="00C87C51"/>
    <w:rsid w:val="00C92632"/>
    <w:rsid w:val="00C97C18"/>
    <w:rsid w:val="00CC2761"/>
    <w:rsid w:val="00CD1B1B"/>
    <w:rsid w:val="00CD7789"/>
    <w:rsid w:val="00CF15EA"/>
    <w:rsid w:val="00D075E1"/>
    <w:rsid w:val="00D13CDA"/>
    <w:rsid w:val="00D23B4C"/>
    <w:rsid w:val="00D460E6"/>
    <w:rsid w:val="00D5161F"/>
    <w:rsid w:val="00D74EFE"/>
    <w:rsid w:val="00D9465C"/>
    <w:rsid w:val="00D962F2"/>
    <w:rsid w:val="00D976F2"/>
    <w:rsid w:val="00DC4B81"/>
    <w:rsid w:val="00DD71D5"/>
    <w:rsid w:val="00DE4D43"/>
    <w:rsid w:val="00E16169"/>
    <w:rsid w:val="00E26A91"/>
    <w:rsid w:val="00E37293"/>
    <w:rsid w:val="00E461D8"/>
    <w:rsid w:val="00E604AC"/>
    <w:rsid w:val="00E654F0"/>
    <w:rsid w:val="00E72AD0"/>
    <w:rsid w:val="00ED006D"/>
    <w:rsid w:val="00ED48FA"/>
    <w:rsid w:val="00ED6590"/>
    <w:rsid w:val="00EE233D"/>
    <w:rsid w:val="00EE47E4"/>
    <w:rsid w:val="00EE5183"/>
    <w:rsid w:val="00F40D91"/>
    <w:rsid w:val="00F46759"/>
    <w:rsid w:val="00F46FAA"/>
    <w:rsid w:val="00F517A1"/>
    <w:rsid w:val="00F547A9"/>
    <w:rsid w:val="00F56432"/>
    <w:rsid w:val="00F64291"/>
    <w:rsid w:val="00F72501"/>
    <w:rsid w:val="00F816C3"/>
    <w:rsid w:val="00F86EA2"/>
    <w:rsid w:val="00F968E6"/>
    <w:rsid w:val="00FB6D55"/>
    <w:rsid w:val="00FD0876"/>
    <w:rsid w:val="00FD4011"/>
    <w:rsid w:val="00FD6CCF"/>
    <w:rsid w:val="00FF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84553B84-8405-4C30-BD3A-4BFE1A0A9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s-ES_tradnl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15E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eastAsia="en-US"/>
    </w:rPr>
  </w:style>
  <w:style w:type="paragraph" w:styleId="Heading1">
    <w:name w:val="heading 1"/>
    <w:basedOn w:val="Normal"/>
    <w:next w:val="Normal"/>
    <w:qFormat/>
    <w:rsid w:val="008E70B2"/>
    <w:pPr>
      <w:keepNext/>
      <w:keepLines/>
      <w:spacing w:before="360"/>
      <w:ind w:left="794" w:hanging="794"/>
      <w:jc w:val="left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qFormat/>
    <w:rsid w:val="00082EA6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082EA6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082EA6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082EA6"/>
    <w:pPr>
      <w:outlineLvl w:val="4"/>
    </w:pPr>
  </w:style>
  <w:style w:type="paragraph" w:styleId="Heading6">
    <w:name w:val="heading 6"/>
    <w:basedOn w:val="Heading4"/>
    <w:next w:val="Normal"/>
    <w:qFormat/>
    <w:rsid w:val="00082EA6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082EA6"/>
    <w:pPr>
      <w:outlineLvl w:val="6"/>
    </w:pPr>
  </w:style>
  <w:style w:type="paragraph" w:styleId="Heading8">
    <w:name w:val="heading 8"/>
    <w:basedOn w:val="Heading6"/>
    <w:next w:val="Normal"/>
    <w:qFormat/>
    <w:rsid w:val="00082EA6"/>
    <w:pPr>
      <w:outlineLvl w:val="7"/>
    </w:pPr>
  </w:style>
  <w:style w:type="paragraph" w:styleId="Heading9">
    <w:name w:val="heading 9"/>
    <w:basedOn w:val="Heading6"/>
    <w:next w:val="Normal"/>
    <w:qFormat/>
    <w:rsid w:val="00082EA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082EA6"/>
  </w:style>
  <w:style w:type="paragraph" w:styleId="TOC4">
    <w:name w:val="toc 4"/>
    <w:basedOn w:val="TOC3"/>
    <w:semiHidden/>
    <w:rsid w:val="00082EA6"/>
  </w:style>
  <w:style w:type="paragraph" w:styleId="TOC3">
    <w:name w:val="toc 3"/>
    <w:basedOn w:val="TOC2"/>
    <w:semiHidden/>
    <w:rsid w:val="00082EA6"/>
  </w:style>
  <w:style w:type="paragraph" w:styleId="TOC2">
    <w:name w:val="toc 2"/>
    <w:basedOn w:val="TOC1"/>
    <w:semiHidden/>
    <w:rsid w:val="00082EA6"/>
    <w:pPr>
      <w:spacing w:before="80"/>
      <w:ind w:left="1531" w:hanging="851"/>
    </w:pPr>
  </w:style>
  <w:style w:type="paragraph" w:styleId="TOC1">
    <w:name w:val="toc 1"/>
    <w:basedOn w:val="Normal"/>
    <w:semiHidden/>
    <w:rsid w:val="00082EA6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082EA6"/>
  </w:style>
  <w:style w:type="paragraph" w:styleId="TOC6">
    <w:name w:val="toc 6"/>
    <w:basedOn w:val="TOC4"/>
    <w:semiHidden/>
    <w:rsid w:val="00082EA6"/>
  </w:style>
  <w:style w:type="paragraph" w:styleId="TOC5">
    <w:name w:val="toc 5"/>
    <w:basedOn w:val="TOC4"/>
    <w:semiHidden/>
    <w:rsid w:val="00082EA6"/>
  </w:style>
  <w:style w:type="paragraph" w:styleId="Footer">
    <w:name w:val="footer"/>
    <w:basedOn w:val="Normal"/>
    <w:link w:val="FooterChar"/>
    <w:uiPriority w:val="99"/>
    <w:rsid w:val="00082EA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aliases w:val="h,Header/Footer"/>
    <w:basedOn w:val="Normal"/>
    <w:link w:val="HeaderChar"/>
    <w:uiPriority w:val="99"/>
    <w:rsid w:val="00082EA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Appel note de bas de p,Footnote Reference/"/>
    <w:rsid w:val="00082EA6"/>
    <w:rPr>
      <w:rFonts w:cs="Times New Roman"/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C3111E"/>
    <w:pPr>
      <w:keepLines/>
      <w:tabs>
        <w:tab w:val="left" w:pos="255"/>
      </w:tabs>
      <w:spacing w:before="80"/>
      <w:ind w:left="255" w:hanging="255"/>
    </w:pPr>
    <w:rPr>
      <w:sz w:val="20"/>
    </w:rPr>
  </w:style>
  <w:style w:type="paragraph" w:customStyle="1" w:styleId="Note">
    <w:name w:val="Note"/>
    <w:basedOn w:val="Normal"/>
    <w:rsid w:val="00223031"/>
    <w:pPr>
      <w:spacing w:before="80"/>
    </w:pPr>
    <w:rPr>
      <w:sz w:val="20"/>
    </w:rPr>
  </w:style>
  <w:style w:type="paragraph" w:customStyle="1" w:styleId="Section1">
    <w:name w:val="Section_1"/>
    <w:basedOn w:val="Normal"/>
    <w:next w:val="Normal"/>
    <w:rsid w:val="00082EA6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enumlev1">
    <w:name w:val="enumlev1"/>
    <w:basedOn w:val="Normal"/>
    <w:link w:val="enumlev1Char"/>
    <w:rsid w:val="00082EA6"/>
    <w:pPr>
      <w:spacing w:before="80"/>
      <w:ind w:left="794" w:hanging="794"/>
    </w:pPr>
  </w:style>
  <w:style w:type="paragraph" w:customStyle="1" w:styleId="enumlev2">
    <w:name w:val="enumlev2"/>
    <w:basedOn w:val="enumlev1"/>
    <w:rsid w:val="00082EA6"/>
    <w:pPr>
      <w:ind w:left="1191" w:hanging="397"/>
    </w:pPr>
  </w:style>
  <w:style w:type="paragraph" w:customStyle="1" w:styleId="enumlev3">
    <w:name w:val="enumlev3"/>
    <w:basedOn w:val="enumlev2"/>
    <w:rsid w:val="00082EA6"/>
    <w:pPr>
      <w:ind w:left="1588"/>
    </w:pPr>
  </w:style>
  <w:style w:type="paragraph" w:customStyle="1" w:styleId="Section2">
    <w:name w:val="Section_2"/>
    <w:basedOn w:val="Normal"/>
    <w:next w:val="Normal"/>
    <w:rsid w:val="00082EA6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Equation">
    <w:name w:val="Equation"/>
    <w:basedOn w:val="Normal"/>
    <w:rsid w:val="00082EA6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082EA6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082EA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eastAsia="en-US"/>
    </w:rPr>
  </w:style>
  <w:style w:type="paragraph" w:styleId="TOC9">
    <w:name w:val="toc 9"/>
    <w:basedOn w:val="TOC3"/>
    <w:semiHidden/>
    <w:rsid w:val="00082EA6"/>
  </w:style>
  <w:style w:type="paragraph" w:customStyle="1" w:styleId="Chaptitle">
    <w:name w:val="Chap_title"/>
    <w:basedOn w:val="Normal"/>
    <w:next w:val="Normalaftertitle"/>
    <w:rsid w:val="00082EA6"/>
    <w:pPr>
      <w:keepNext/>
      <w:keepLines/>
      <w:spacing w:before="240"/>
      <w:jc w:val="center"/>
    </w:pPr>
    <w:rPr>
      <w:b/>
      <w:sz w:val="28"/>
    </w:rPr>
  </w:style>
  <w:style w:type="paragraph" w:styleId="Index1">
    <w:name w:val="index 1"/>
    <w:basedOn w:val="Normal"/>
    <w:next w:val="Normal"/>
    <w:semiHidden/>
    <w:rsid w:val="00082EA6"/>
    <w:pPr>
      <w:jc w:val="left"/>
    </w:pPr>
  </w:style>
  <w:style w:type="paragraph" w:customStyle="1" w:styleId="Formal">
    <w:name w:val="Formal"/>
    <w:basedOn w:val="ASN1"/>
    <w:rsid w:val="00082EA6"/>
    <w:rPr>
      <w:b w:val="0"/>
    </w:rPr>
  </w:style>
  <w:style w:type="paragraph" w:customStyle="1" w:styleId="AnnexNoTitle">
    <w:name w:val="Annex_NoTitle"/>
    <w:basedOn w:val="Normal"/>
    <w:next w:val="Normalaftertitle"/>
    <w:rsid w:val="00082EA6"/>
    <w:pPr>
      <w:keepNext/>
      <w:keepLines/>
      <w:spacing w:before="720"/>
      <w:jc w:val="center"/>
    </w:pPr>
    <w:rPr>
      <w:b/>
      <w:sz w:val="28"/>
    </w:rPr>
  </w:style>
  <w:style w:type="character" w:customStyle="1" w:styleId="Appdef">
    <w:name w:val="App_def"/>
    <w:rsid w:val="00082EA6"/>
    <w:rPr>
      <w:rFonts w:ascii="Times New Roman" w:hAnsi="Times New Roman" w:cs="Times New Roman"/>
      <w:b/>
    </w:rPr>
  </w:style>
  <w:style w:type="character" w:customStyle="1" w:styleId="Appref">
    <w:name w:val="App_ref"/>
    <w:rsid w:val="00082EA6"/>
    <w:rPr>
      <w:rFonts w:cs="Times New Roman"/>
    </w:rPr>
  </w:style>
  <w:style w:type="paragraph" w:customStyle="1" w:styleId="AppendixNoTitle">
    <w:name w:val="Appendix_NoTitle"/>
    <w:basedOn w:val="AnnexNoTitle"/>
    <w:next w:val="Normalaftertitle"/>
    <w:rsid w:val="00082EA6"/>
  </w:style>
  <w:style w:type="character" w:customStyle="1" w:styleId="Artdef">
    <w:name w:val="Art_def"/>
    <w:rsid w:val="00082EA6"/>
    <w:rPr>
      <w:rFonts w:ascii="Times New Roman" w:hAnsi="Times New Roman" w:cs="Times New Roman"/>
      <w:b/>
    </w:rPr>
  </w:style>
  <w:style w:type="paragraph" w:customStyle="1" w:styleId="Artheading">
    <w:name w:val="Art_heading"/>
    <w:basedOn w:val="Normal"/>
    <w:next w:val="Normalaftertitle"/>
    <w:rsid w:val="00082EA6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082EA6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rsid w:val="00082EA6"/>
    <w:rPr>
      <w:rFonts w:cs="Times New Roman"/>
    </w:rPr>
  </w:style>
  <w:style w:type="paragraph" w:customStyle="1" w:styleId="Arttitle">
    <w:name w:val="Art_title"/>
    <w:basedOn w:val="Normal"/>
    <w:next w:val="Normalaftertitle"/>
    <w:rsid w:val="00082EA6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082EA6"/>
    <w:pPr>
      <w:keepNext/>
      <w:keepLines/>
      <w:spacing w:before="16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082EA6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Equationlegend">
    <w:name w:val="Equation_legend"/>
    <w:basedOn w:val="Normal"/>
    <w:rsid w:val="00082EA6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uiPriority w:val="99"/>
    <w:rsid w:val="00082EA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link w:val="FigureChar"/>
    <w:rsid w:val="00082EA6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082EA6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082EA6"/>
    <w:pPr>
      <w:keepLines/>
      <w:spacing w:before="240" w:after="120"/>
      <w:jc w:val="center"/>
    </w:pPr>
  </w:style>
  <w:style w:type="paragraph" w:customStyle="1" w:styleId="FirstFooter">
    <w:name w:val="FirstFooter"/>
    <w:basedOn w:val="Footer"/>
    <w:rsid w:val="00082EA6"/>
    <w:pPr>
      <w:tabs>
        <w:tab w:val="clear" w:pos="5954"/>
        <w:tab w:val="clear" w:pos="9639"/>
      </w:tabs>
      <w:overflowPunct/>
      <w:autoSpaceDE/>
      <w:autoSpaceDN/>
      <w:adjustRightInd/>
      <w:spacing w:before="40"/>
      <w:jc w:val="left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link w:val="FooterQPChar"/>
    <w:rsid w:val="00082EA6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082EA6"/>
    <w:pPr>
      <w:keepNext/>
      <w:spacing w:before="160"/>
      <w:jc w:val="left"/>
    </w:pPr>
    <w:rPr>
      <w:b/>
    </w:rPr>
  </w:style>
  <w:style w:type="paragraph" w:customStyle="1" w:styleId="Headingi">
    <w:name w:val="Heading_i"/>
    <w:basedOn w:val="Normal"/>
    <w:next w:val="Normal"/>
    <w:rsid w:val="00082EA6"/>
    <w:pPr>
      <w:keepNext/>
      <w:spacing w:before="160"/>
      <w:jc w:val="left"/>
    </w:pPr>
    <w:rPr>
      <w:i/>
    </w:rPr>
  </w:style>
  <w:style w:type="paragraph" w:styleId="Index2">
    <w:name w:val="index 2"/>
    <w:basedOn w:val="Normal"/>
    <w:next w:val="Normal"/>
    <w:semiHidden/>
    <w:rsid w:val="00082EA6"/>
    <w:pPr>
      <w:ind w:left="284"/>
      <w:jc w:val="left"/>
    </w:pPr>
  </w:style>
  <w:style w:type="paragraph" w:styleId="Index3">
    <w:name w:val="index 3"/>
    <w:basedOn w:val="Normal"/>
    <w:next w:val="Normal"/>
    <w:semiHidden/>
    <w:rsid w:val="00082EA6"/>
    <w:pPr>
      <w:ind w:left="567"/>
      <w:jc w:val="left"/>
    </w:pPr>
  </w:style>
  <w:style w:type="paragraph" w:customStyle="1" w:styleId="Normalaftertitle">
    <w:name w:val="Normal_after_title"/>
    <w:basedOn w:val="Normal"/>
    <w:next w:val="Normal"/>
    <w:rsid w:val="00082EA6"/>
    <w:pPr>
      <w:spacing w:before="360"/>
    </w:pPr>
  </w:style>
  <w:style w:type="paragraph" w:customStyle="1" w:styleId="PartNo">
    <w:name w:val="Part_No"/>
    <w:basedOn w:val="Normal"/>
    <w:next w:val="Partref"/>
    <w:rsid w:val="00082EA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082EA6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082EA6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082EA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082EA6"/>
  </w:style>
  <w:style w:type="paragraph" w:customStyle="1" w:styleId="RecNo">
    <w:name w:val="Rec_No"/>
    <w:basedOn w:val="Normal"/>
    <w:next w:val="Rectitle"/>
    <w:rsid w:val="00082EA6"/>
    <w:pPr>
      <w:keepNext/>
      <w:keepLines/>
      <w:spacing w:before="0"/>
      <w:jc w:val="left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082EA6"/>
  </w:style>
  <w:style w:type="paragraph" w:customStyle="1" w:styleId="Recref">
    <w:name w:val="Rec_ref"/>
    <w:basedOn w:val="Normal"/>
    <w:next w:val="Recdate"/>
    <w:rsid w:val="00082EA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082EA6"/>
  </w:style>
  <w:style w:type="paragraph" w:customStyle="1" w:styleId="Rectitle">
    <w:name w:val="Rec_title"/>
    <w:basedOn w:val="Normal"/>
    <w:next w:val="Normalaftertitle"/>
    <w:rsid w:val="00082EA6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082EA6"/>
  </w:style>
  <w:style w:type="paragraph" w:customStyle="1" w:styleId="Reftext">
    <w:name w:val="Ref_text"/>
    <w:basedOn w:val="Normal"/>
    <w:rsid w:val="00082EA6"/>
    <w:pPr>
      <w:ind w:left="794" w:hanging="794"/>
      <w:jc w:val="left"/>
    </w:pPr>
  </w:style>
  <w:style w:type="character" w:styleId="PageNumber">
    <w:name w:val="page number"/>
    <w:rsid w:val="00082EA6"/>
    <w:rPr>
      <w:rFonts w:cs="Times New Roman"/>
    </w:rPr>
  </w:style>
  <w:style w:type="paragraph" w:customStyle="1" w:styleId="Repdate">
    <w:name w:val="Rep_date"/>
    <w:basedOn w:val="Recdate"/>
    <w:next w:val="Normalaftertitle"/>
    <w:rsid w:val="00082EA6"/>
  </w:style>
  <w:style w:type="paragraph" w:customStyle="1" w:styleId="RepNo">
    <w:name w:val="Rep_No"/>
    <w:basedOn w:val="RecNo"/>
    <w:next w:val="Reptitle"/>
    <w:rsid w:val="00082EA6"/>
  </w:style>
  <w:style w:type="paragraph" w:customStyle="1" w:styleId="Repref">
    <w:name w:val="Rep_ref"/>
    <w:basedOn w:val="Recref"/>
    <w:next w:val="Repdate"/>
    <w:rsid w:val="00082EA6"/>
  </w:style>
  <w:style w:type="paragraph" w:customStyle="1" w:styleId="Reptitle">
    <w:name w:val="Rep_title"/>
    <w:basedOn w:val="Rectitle"/>
    <w:next w:val="Repref"/>
    <w:rsid w:val="00082EA6"/>
  </w:style>
  <w:style w:type="paragraph" w:customStyle="1" w:styleId="Resdate">
    <w:name w:val="Res_date"/>
    <w:basedOn w:val="Recdate"/>
    <w:next w:val="Normalaftertitle"/>
    <w:rsid w:val="00082EA6"/>
  </w:style>
  <w:style w:type="character" w:customStyle="1" w:styleId="Resdef">
    <w:name w:val="Res_def"/>
    <w:rsid w:val="00082EA6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Restitle"/>
    <w:link w:val="ResNoChar"/>
    <w:rsid w:val="00082EA6"/>
  </w:style>
  <w:style w:type="paragraph" w:customStyle="1" w:styleId="Resref">
    <w:name w:val="Res_ref"/>
    <w:basedOn w:val="Recref"/>
    <w:next w:val="Resdate"/>
    <w:qFormat/>
    <w:rsid w:val="00082EA6"/>
  </w:style>
  <w:style w:type="paragraph" w:customStyle="1" w:styleId="Restitle">
    <w:name w:val="Res_title"/>
    <w:basedOn w:val="Rectitle"/>
    <w:next w:val="Resref"/>
    <w:link w:val="RestitleChar"/>
    <w:rsid w:val="00082EA6"/>
  </w:style>
  <w:style w:type="paragraph" w:customStyle="1" w:styleId="SectionNo">
    <w:name w:val="Section_No"/>
    <w:basedOn w:val="Normal"/>
    <w:next w:val="Sectiontitle"/>
    <w:rsid w:val="00082EA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082EA6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082EA6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082EA6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character" w:customStyle="1" w:styleId="Tablefreq">
    <w:name w:val="Table_freq"/>
    <w:rsid w:val="00082EA6"/>
    <w:rPr>
      <w:rFonts w:cs="Times New Roman"/>
      <w:b/>
      <w:color w:val="auto"/>
    </w:rPr>
  </w:style>
  <w:style w:type="paragraph" w:customStyle="1" w:styleId="Tablehead">
    <w:name w:val="Table_head"/>
    <w:basedOn w:val="Normal"/>
    <w:next w:val="Tabletext"/>
    <w:link w:val="TableheadChar"/>
    <w:rsid w:val="00082EA6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082EA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character" w:styleId="Hyperlink">
    <w:name w:val="Hyperlink"/>
    <w:rsid w:val="00082EA6"/>
    <w:rPr>
      <w:rFonts w:cs="Times New Roman"/>
      <w:color w:val="0000FF"/>
      <w:u w:val="single"/>
    </w:rPr>
  </w:style>
  <w:style w:type="paragraph" w:customStyle="1" w:styleId="Tabletext">
    <w:name w:val="Table_text"/>
    <w:basedOn w:val="Normal"/>
    <w:rsid w:val="00082EA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</w:style>
  <w:style w:type="paragraph" w:customStyle="1" w:styleId="TableNoTitle">
    <w:name w:val="Table_NoTitle"/>
    <w:basedOn w:val="Normal"/>
    <w:next w:val="Tablehead"/>
    <w:rsid w:val="00082EA6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082EA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082EA6"/>
  </w:style>
  <w:style w:type="paragraph" w:customStyle="1" w:styleId="Title3">
    <w:name w:val="Title 3"/>
    <w:basedOn w:val="Title2"/>
    <w:next w:val="Title4"/>
    <w:rsid w:val="00082EA6"/>
    <w:rPr>
      <w:caps w:val="0"/>
    </w:rPr>
  </w:style>
  <w:style w:type="paragraph" w:customStyle="1" w:styleId="Title4">
    <w:name w:val="Title 4"/>
    <w:basedOn w:val="Title3"/>
    <w:next w:val="Heading1"/>
    <w:rsid w:val="00082EA6"/>
    <w:rPr>
      <w:b/>
    </w:rPr>
  </w:style>
  <w:style w:type="table" w:styleId="TableGrid">
    <w:name w:val="Table Grid"/>
    <w:basedOn w:val="TableNormal"/>
    <w:rsid w:val="00FB6D5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title">
    <w:name w:val="Ref_title"/>
    <w:basedOn w:val="Normal"/>
    <w:next w:val="Reftext"/>
    <w:rsid w:val="00082EA6"/>
    <w:pPr>
      <w:spacing w:before="480"/>
      <w:jc w:val="center"/>
    </w:pPr>
    <w:rPr>
      <w:b/>
    </w:rPr>
  </w:style>
  <w:style w:type="character" w:customStyle="1" w:styleId="TableheadChar">
    <w:name w:val="Table_head Char"/>
    <w:link w:val="Tablehead"/>
    <w:locked/>
    <w:rsid w:val="00BD5BF5"/>
    <w:rPr>
      <w:rFonts w:cs="Times New Roman"/>
      <w:b/>
      <w:sz w:val="22"/>
      <w:lang w:val="es-ES_tradnl" w:eastAsia="en-US" w:bidi="ar-SA"/>
    </w:rPr>
  </w:style>
  <w:style w:type="character" w:customStyle="1" w:styleId="FigureChar">
    <w:name w:val="Figure Char"/>
    <w:link w:val="Figure"/>
    <w:locked/>
    <w:rsid w:val="00065BE4"/>
    <w:rPr>
      <w:rFonts w:cs="Times New Roman"/>
      <w:sz w:val="24"/>
      <w:lang w:val="es-ES_tradnl" w:eastAsia="en-US" w:bidi="ar-SA"/>
    </w:rPr>
  </w:style>
  <w:style w:type="paragraph" w:customStyle="1" w:styleId="TableNotitle0">
    <w:name w:val="Table_No &amp; title"/>
    <w:basedOn w:val="Normal"/>
    <w:next w:val="Tablehead"/>
    <w:rsid w:val="00FB6D55"/>
    <w:pPr>
      <w:keepNext/>
      <w:keepLines/>
      <w:spacing w:before="360" w:after="120"/>
      <w:jc w:val="center"/>
    </w:pPr>
    <w:rPr>
      <w:b/>
    </w:rPr>
  </w:style>
  <w:style w:type="character" w:customStyle="1" w:styleId="Heading2Char">
    <w:name w:val="Heading 2 Char"/>
    <w:link w:val="Heading2"/>
    <w:locked/>
    <w:rsid w:val="00FB6D55"/>
    <w:rPr>
      <w:rFonts w:cs="Times New Roman"/>
      <w:b/>
      <w:sz w:val="24"/>
      <w:lang w:val="es-ES_tradnl" w:eastAsia="en-US" w:bidi="ar-SA"/>
    </w:rPr>
  </w:style>
  <w:style w:type="character" w:customStyle="1" w:styleId="enumlev1Char">
    <w:name w:val="enumlev1 Char"/>
    <w:link w:val="enumlev1"/>
    <w:uiPriority w:val="99"/>
    <w:locked/>
    <w:rsid w:val="00C87C51"/>
    <w:rPr>
      <w:rFonts w:cs="Times New Roman"/>
      <w:sz w:val="24"/>
      <w:lang w:val="es-ES_tradnl" w:eastAsia="en-US" w:bidi="ar-SA"/>
    </w:rPr>
  </w:style>
  <w:style w:type="paragraph" w:customStyle="1" w:styleId="TableText0">
    <w:name w:val="Table_Text"/>
    <w:basedOn w:val="Normal"/>
    <w:rsid w:val="00FB6D5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</w:style>
  <w:style w:type="paragraph" w:customStyle="1" w:styleId="TableHead0">
    <w:name w:val="Table_Head"/>
    <w:basedOn w:val="TableText0"/>
    <w:rsid w:val="00FB6D55"/>
    <w:pPr>
      <w:spacing w:before="80" w:after="80"/>
      <w:jc w:val="center"/>
    </w:pPr>
    <w:rPr>
      <w:b/>
    </w:rPr>
  </w:style>
  <w:style w:type="character" w:customStyle="1" w:styleId="FooterQPChar">
    <w:name w:val="Footer_QP Char"/>
    <w:link w:val="FooterQP"/>
    <w:locked/>
    <w:rsid w:val="00C87C51"/>
    <w:rPr>
      <w:rFonts w:cs="Times New Roman"/>
      <w:b/>
      <w:sz w:val="22"/>
      <w:lang w:val="es-ES_tradnl" w:eastAsia="en-US" w:bidi="ar-SA"/>
    </w:rPr>
  </w:style>
  <w:style w:type="character" w:customStyle="1" w:styleId="FooterChar">
    <w:name w:val="Footer Char"/>
    <w:link w:val="Footer"/>
    <w:uiPriority w:val="99"/>
    <w:rsid w:val="006F5455"/>
    <w:rPr>
      <w:rFonts w:ascii="Times New Roman" w:hAnsi="Times New Roman"/>
      <w:caps/>
      <w:noProof/>
      <w:sz w:val="16"/>
      <w:lang w:val="es-ES_tradnl" w:eastAsia="en-US"/>
    </w:rPr>
  </w:style>
  <w:style w:type="character" w:customStyle="1" w:styleId="HeaderChar">
    <w:name w:val="Header Char"/>
    <w:aliases w:val="h Char,Header/Footer Char"/>
    <w:link w:val="Header"/>
    <w:uiPriority w:val="99"/>
    <w:rsid w:val="006F5455"/>
    <w:rPr>
      <w:rFonts w:ascii="Times New Roman" w:hAnsi="Times New Roman"/>
      <w:sz w:val="18"/>
      <w:lang w:val="es-ES_tradnl" w:eastAsia="en-U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link w:val="FootnoteText"/>
    <w:uiPriority w:val="99"/>
    <w:rsid w:val="00C3111E"/>
    <w:rPr>
      <w:rFonts w:ascii="Times New Roman" w:hAnsi="Times New Roman"/>
      <w:lang w:val="es-ES_tradnl" w:eastAsia="en-US"/>
    </w:rPr>
  </w:style>
  <w:style w:type="character" w:customStyle="1" w:styleId="CallChar">
    <w:name w:val="Call Char"/>
    <w:link w:val="Call"/>
    <w:rsid w:val="006F5455"/>
    <w:rPr>
      <w:rFonts w:ascii="Times New Roman" w:hAnsi="Times New Roman"/>
      <w:i/>
      <w:sz w:val="24"/>
      <w:lang w:val="es-ES_tradnl" w:eastAsia="en-US"/>
    </w:rPr>
  </w:style>
  <w:style w:type="character" w:customStyle="1" w:styleId="RestitleChar">
    <w:name w:val="Res_title Char"/>
    <w:link w:val="Restitle"/>
    <w:rsid w:val="006F5455"/>
    <w:rPr>
      <w:rFonts w:ascii="Times New Roman" w:hAnsi="Times New Roman"/>
      <w:b/>
      <w:sz w:val="28"/>
      <w:lang w:val="es-ES_tradnl" w:eastAsia="en-US"/>
    </w:rPr>
  </w:style>
  <w:style w:type="character" w:customStyle="1" w:styleId="ResNoChar">
    <w:name w:val="Res_No Char"/>
    <w:link w:val="ResNo"/>
    <w:rsid w:val="006F5455"/>
    <w:rPr>
      <w:rFonts w:ascii="Times New Roman" w:hAnsi="Times New Roman"/>
      <w:b/>
      <w:sz w:val="28"/>
      <w:lang w:val="es-ES_tradnl" w:eastAsia="en-US"/>
    </w:rPr>
  </w:style>
  <w:style w:type="character" w:customStyle="1" w:styleId="href">
    <w:name w:val="href"/>
    <w:rsid w:val="006F5455"/>
  </w:style>
  <w:style w:type="paragraph" w:customStyle="1" w:styleId="AppendixNo">
    <w:name w:val="Appendix_No"/>
    <w:basedOn w:val="Normal"/>
    <w:next w:val="Normal"/>
    <w:rsid w:val="006F5455"/>
    <w:pPr>
      <w:keepNext/>
      <w:keepLines/>
      <w:spacing w:before="480" w:after="80"/>
      <w:jc w:val="center"/>
    </w:pPr>
    <w:rPr>
      <w:caps/>
      <w:sz w:val="28"/>
      <w:lang w:val="en-GB"/>
    </w:rPr>
  </w:style>
  <w:style w:type="paragraph" w:customStyle="1" w:styleId="Appendixtitle">
    <w:name w:val="Appendix_title"/>
    <w:basedOn w:val="Normal"/>
    <w:next w:val="Normal"/>
    <w:uiPriority w:val="99"/>
    <w:rsid w:val="006F5455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  <w:lang w:val="en-GB"/>
    </w:rPr>
  </w:style>
  <w:style w:type="paragraph" w:customStyle="1" w:styleId="FigureNo">
    <w:name w:val="Figure_No"/>
    <w:basedOn w:val="Normal"/>
    <w:next w:val="Figuretitle"/>
    <w:rsid w:val="006F5455"/>
    <w:pPr>
      <w:keepNext/>
      <w:keepLines/>
      <w:spacing w:before="480" w:after="120"/>
      <w:jc w:val="center"/>
    </w:pPr>
    <w:rPr>
      <w:caps/>
      <w:lang w:val="en-GB"/>
    </w:rPr>
  </w:style>
  <w:style w:type="paragraph" w:customStyle="1" w:styleId="Figuretitle">
    <w:name w:val="Figure_title"/>
    <w:basedOn w:val="Normal"/>
    <w:next w:val="Normal"/>
    <w:uiPriority w:val="99"/>
    <w:rsid w:val="006F5455"/>
    <w:pPr>
      <w:keepLines/>
      <w:spacing w:before="0" w:after="480"/>
      <w:jc w:val="center"/>
    </w:pPr>
    <w:rPr>
      <w:rFonts w:ascii="Times New Roman Bold" w:hAnsi="Times New Roman Bold"/>
      <w:b/>
      <w:lang w:val="en-GB"/>
    </w:rPr>
  </w:style>
  <w:style w:type="paragraph" w:styleId="NormalWeb">
    <w:name w:val="Normal (Web)"/>
    <w:basedOn w:val="Normal"/>
    <w:uiPriority w:val="99"/>
    <w:unhideWhenUsed/>
    <w:rsid w:val="006F545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Normalaftertitle0">
    <w:name w:val="Normal after title"/>
    <w:basedOn w:val="Normal"/>
    <w:next w:val="Normal"/>
    <w:link w:val="NormalaftertitleChar"/>
    <w:rsid w:val="006F545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lang w:val="en-GB"/>
    </w:rPr>
  </w:style>
  <w:style w:type="character" w:customStyle="1" w:styleId="NormalaftertitleChar">
    <w:name w:val="Normal after title Char"/>
    <w:link w:val="Normalaftertitle0"/>
    <w:locked/>
    <w:rsid w:val="006F5455"/>
    <w:rPr>
      <w:rFonts w:ascii="Times New Roman" w:hAnsi="Times New Roman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tiner\Application%20Data\Microsoft\Templates\QuickPub%20-%20ITU\QP-Piano\QPUB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A3FEF8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08721-284D-4666-B881-29EE0430B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QPUBS.dot</Template>
  <TotalTime>12</TotalTime>
  <Pages>5</Pages>
  <Words>1390</Words>
  <Characters>7651</Characters>
  <Application>Microsoft Office Word</Application>
  <DocSecurity>0</DocSecurity>
  <Lines>63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UIT-T Rec. E.802 (02/2007) Marco y metodología para la determinación y la aplicación de parámetros de calidad de servicio</vt:lpstr>
    </vt:vector>
  </TitlesOfParts>
  <Company>ITU</Company>
  <LinksUpToDate>false</LinksUpToDate>
  <CharactersWithSpaces>9023</CharactersWithSpaces>
  <SharedDoc>false</SharedDoc>
  <HLinks>
    <vt:vector size="6" baseType="variant">
      <vt:variant>
        <vt:i4>5832768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 T/ipr/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UIT-T Rec. E.802 (02/2007) Marco y metodología para la determinación y la aplicación de parámetros de calidad de servicio</dc:title>
  <dc:subject>SERIE E: EXPLOTACIÓN GENERAL DE LA RED, SERVICIO TELEFÓNICO, EXPLOTACIÓN DEL SERVICIO Y FACTORES HUMANOS - Calidad de los servicios de telecomunicación: conceptos, modelos, objetivos, planificación de la seguridad de funcionamiento – Términos y definicion</dc:subject>
  <dc:creator>ITU-T</dc:creator>
  <cp:keywords>E.802,E,802</cp:keywords>
  <dc:description>Saved by MRG106308 at 10:22:31 on 06.12.2007</dc:description>
  <cp:lastModifiedBy>Angel Martinez Romera</cp:lastModifiedBy>
  <cp:revision>9</cp:revision>
  <cp:lastPrinted>2016-12-15T15:58:00Z</cp:lastPrinted>
  <dcterms:created xsi:type="dcterms:W3CDTF">2016-12-15T14:19:00Z</dcterms:created>
  <dcterms:modified xsi:type="dcterms:W3CDTF">2016-12-15T16:01:00Z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E.802</vt:lpwstr>
  </property>
  <property fmtid="{D5CDD505-2E9C-101B-9397-08002B2CF9AE}" pid="3" name="docdate">
    <vt:lpwstr>8 de febrero de 2007</vt:lpwstr>
  </property>
  <property fmtid="{D5CDD505-2E9C-101B-9397-08002B2CF9AE}" pid="4" name="doctitle">
    <vt:lpwstr>Marco y metodología para la determinación y la aplicación de parámetros de calidad de servicio</vt:lpwstr>
  </property>
  <property fmtid="{D5CDD505-2E9C-101B-9397-08002B2CF9AE}" pid="5" name="doctitle2">
    <vt:lpwstr>SERIE E: EXPLOTACIÓN GENERAL DE LA RED, SERVICIO TELEFÓNICO, EXPLOTACIÓN DEL SERVICIO Y FACTORES HUMANOS Calidad de los servicios de telecomunicación: conceptos, modelos, objetivos, planificación de la seguridad de funcionamiento – Términos y definiciones</vt:lpwstr>
  </property>
</Properties>
</file>